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680" w:type="dxa"/>
        <w:tblLayout w:type="fixed"/>
        <w:tblCellMar>
          <w:top w:w="144" w:type="dxa"/>
          <w:left w:w="144" w:type="dxa"/>
          <w:bottom w:w="144" w:type="dxa"/>
          <w:right w:w="144" w:type="dxa"/>
        </w:tblCellMar>
        <w:tblLook w:val="04A0" w:firstRow="1" w:lastRow="0" w:firstColumn="1" w:lastColumn="0" w:noHBand="0" w:noVBand="1"/>
      </w:tblPr>
      <w:tblGrid>
        <w:gridCol w:w="1710"/>
        <w:gridCol w:w="2430"/>
        <w:gridCol w:w="2250"/>
        <w:gridCol w:w="1800"/>
        <w:gridCol w:w="1980"/>
        <w:gridCol w:w="3510"/>
      </w:tblGrid>
      <w:tr w:rsidR="002F15A9" w:rsidRPr="002F15A9" w14:paraId="5ED36B4D" w14:textId="77777777" w:rsidTr="000B387E">
        <w:trPr>
          <w:trHeight w:val="290"/>
        </w:trPr>
        <w:tc>
          <w:tcPr>
            <w:tcW w:w="1710" w:type="dxa"/>
            <w:tcBorders>
              <w:top w:val="single" w:sz="8" w:space="0" w:color="000000"/>
              <w:left w:val="nil"/>
              <w:bottom w:val="single" w:sz="8" w:space="0" w:color="000000"/>
              <w:right w:val="nil"/>
            </w:tcBorders>
            <w:shd w:val="clear" w:color="auto" w:fill="auto"/>
            <w:hideMark/>
          </w:tcPr>
          <w:p w14:paraId="5DE9145F"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Citation</w:t>
            </w:r>
          </w:p>
        </w:tc>
        <w:tc>
          <w:tcPr>
            <w:tcW w:w="2430" w:type="dxa"/>
            <w:tcBorders>
              <w:top w:val="single" w:sz="8" w:space="0" w:color="000000"/>
              <w:left w:val="nil"/>
              <w:bottom w:val="single" w:sz="8" w:space="0" w:color="000000"/>
              <w:right w:val="nil"/>
            </w:tcBorders>
            <w:shd w:val="clear" w:color="auto" w:fill="auto"/>
            <w:hideMark/>
          </w:tcPr>
          <w:p w14:paraId="51BF78B2"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Aim</w:t>
            </w:r>
          </w:p>
        </w:tc>
        <w:tc>
          <w:tcPr>
            <w:tcW w:w="2250" w:type="dxa"/>
            <w:tcBorders>
              <w:top w:val="single" w:sz="8" w:space="0" w:color="000000"/>
              <w:left w:val="nil"/>
              <w:bottom w:val="single" w:sz="8" w:space="0" w:color="000000"/>
              <w:right w:val="nil"/>
            </w:tcBorders>
            <w:shd w:val="clear" w:color="auto" w:fill="auto"/>
            <w:hideMark/>
          </w:tcPr>
          <w:p w14:paraId="39862BFE"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Study Design</w:t>
            </w:r>
          </w:p>
        </w:tc>
        <w:tc>
          <w:tcPr>
            <w:tcW w:w="1800" w:type="dxa"/>
            <w:tcBorders>
              <w:top w:val="single" w:sz="8" w:space="0" w:color="000000"/>
              <w:left w:val="nil"/>
              <w:bottom w:val="single" w:sz="8" w:space="0" w:color="000000"/>
              <w:right w:val="nil"/>
            </w:tcBorders>
            <w:shd w:val="clear" w:color="auto" w:fill="auto"/>
            <w:hideMark/>
          </w:tcPr>
          <w:p w14:paraId="6B527541"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Study Setting</w:t>
            </w:r>
          </w:p>
        </w:tc>
        <w:tc>
          <w:tcPr>
            <w:tcW w:w="1980" w:type="dxa"/>
            <w:tcBorders>
              <w:top w:val="single" w:sz="8" w:space="0" w:color="000000"/>
              <w:left w:val="nil"/>
              <w:bottom w:val="single" w:sz="8" w:space="0" w:color="000000"/>
              <w:right w:val="nil"/>
            </w:tcBorders>
            <w:shd w:val="clear" w:color="auto" w:fill="auto"/>
            <w:hideMark/>
          </w:tcPr>
          <w:p w14:paraId="5569317A"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Study sample</w:t>
            </w:r>
          </w:p>
        </w:tc>
        <w:tc>
          <w:tcPr>
            <w:tcW w:w="3510" w:type="dxa"/>
            <w:tcBorders>
              <w:top w:val="single" w:sz="8" w:space="0" w:color="000000"/>
              <w:left w:val="nil"/>
              <w:bottom w:val="single" w:sz="8" w:space="0" w:color="000000"/>
              <w:right w:val="nil"/>
            </w:tcBorders>
            <w:shd w:val="clear" w:color="auto" w:fill="auto"/>
            <w:hideMark/>
          </w:tcPr>
          <w:p w14:paraId="3F9C00B1" w14:textId="77777777" w:rsidR="002F15A9" w:rsidRPr="002F15A9" w:rsidRDefault="002F15A9" w:rsidP="002F15A9">
            <w:pPr>
              <w:spacing w:after="0" w:line="240" w:lineRule="auto"/>
              <w:jc w:val="center"/>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Results</w:t>
            </w:r>
          </w:p>
        </w:tc>
      </w:tr>
      <w:tr w:rsidR="002F15A9" w:rsidRPr="002F15A9" w14:paraId="729FD0D7" w14:textId="77777777" w:rsidTr="000B387E">
        <w:trPr>
          <w:trHeight w:val="240"/>
        </w:trPr>
        <w:tc>
          <w:tcPr>
            <w:tcW w:w="1710" w:type="dxa"/>
            <w:tcBorders>
              <w:top w:val="nil"/>
              <w:left w:val="nil"/>
              <w:bottom w:val="nil"/>
              <w:right w:val="nil"/>
            </w:tcBorders>
            <w:shd w:val="clear" w:color="auto" w:fill="auto"/>
            <w:hideMark/>
          </w:tcPr>
          <w:p w14:paraId="6FC8637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Godfrey, 1989</w:t>
            </w:r>
          </w:p>
        </w:tc>
        <w:tc>
          <w:tcPr>
            <w:tcW w:w="2430" w:type="dxa"/>
            <w:tcBorders>
              <w:top w:val="nil"/>
              <w:left w:val="nil"/>
              <w:bottom w:val="nil"/>
              <w:right w:val="nil"/>
            </w:tcBorders>
            <w:shd w:val="clear" w:color="auto" w:fill="auto"/>
            <w:hideMark/>
          </w:tcPr>
          <w:p w14:paraId="759D3ED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how morbidity events and migration affected the lifestyle of older adults. Identify demographic characteristics, changes in population and family structures, functional disability, and socio-economic support mechanisms.</w:t>
            </w:r>
          </w:p>
        </w:tc>
        <w:tc>
          <w:tcPr>
            <w:tcW w:w="2250" w:type="dxa"/>
            <w:tcBorders>
              <w:top w:val="nil"/>
              <w:left w:val="nil"/>
              <w:bottom w:val="nil"/>
              <w:right w:val="nil"/>
            </w:tcBorders>
            <w:shd w:val="clear" w:color="auto" w:fill="auto"/>
            <w:hideMark/>
          </w:tcPr>
          <w:p w14:paraId="2C80EAA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Mixed methods design including a cross-sectional quantitative component and a qualitative component. Two sampling strategies were used including stratified sampling and multi-stage cluster sampling.</w:t>
            </w:r>
          </w:p>
        </w:tc>
        <w:tc>
          <w:tcPr>
            <w:tcW w:w="1800" w:type="dxa"/>
            <w:tcBorders>
              <w:top w:val="nil"/>
              <w:left w:val="nil"/>
              <w:bottom w:val="nil"/>
              <w:right w:val="nil"/>
            </w:tcBorders>
            <w:shd w:val="clear" w:color="auto" w:fill="auto"/>
            <w:hideMark/>
          </w:tcPr>
          <w:p w14:paraId="68B761E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Sudan, two relief centers in eastern Sudan, 1985 (Ethiopia's Famine and civil war, 1984-1985)</w:t>
            </w:r>
          </w:p>
        </w:tc>
        <w:tc>
          <w:tcPr>
            <w:tcW w:w="1980" w:type="dxa"/>
            <w:tcBorders>
              <w:top w:val="nil"/>
              <w:left w:val="nil"/>
              <w:bottom w:val="nil"/>
              <w:right w:val="nil"/>
            </w:tcBorders>
            <w:shd w:val="clear" w:color="auto" w:fill="auto"/>
            <w:hideMark/>
          </w:tcPr>
          <w:p w14:paraId="5E330B0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383 Ethiopian elderly refugees (aged 45 and above (older) 60 and above (elderly), 48% males)</w:t>
            </w:r>
          </w:p>
        </w:tc>
        <w:tc>
          <w:tcPr>
            <w:tcW w:w="3510" w:type="dxa"/>
            <w:tcBorders>
              <w:top w:val="nil"/>
              <w:left w:val="nil"/>
              <w:bottom w:val="nil"/>
              <w:right w:val="nil"/>
            </w:tcBorders>
            <w:shd w:val="clear" w:color="auto" w:fill="auto"/>
            <w:hideMark/>
          </w:tcPr>
          <w:p w14:paraId="673B8D1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Older adults (over 45) a small proportion of the population. Over half of those aged 60 and above left behind in Tigray. High levels of minor disability, social isolation, and total economic dependency among older adults in Sudan. Basic needs for cloth, food, shelter, transport, seeds, oxen, and farming tools were primary needs. Older adults not specifically considered in health policies.</w:t>
            </w:r>
          </w:p>
        </w:tc>
      </w:tr>
      <w:tr w:rsidR="002F15A9" w:rsidRPr="002F15A9" w14:paraId="73D9C0DF" w14:textId="77777777" w:rsidTr="000B387E">
        <w:trPr>
          <w:trHeight w:val="240"/>
        </w:trPr>
        <w:tc>
          <w:tcPr>
            <w:tcW w:w="1710" w:type="dxa"/>
            <w:tcBorders>
              <w:top w:val="nil"/>
              <w:left w:val="nil"/>
              <w:bottom w:val="nil"/>
              <w:right w:val="nil"/>
            </w:tcBorders>
            <w:shd w:val="clear" w:color="auto" w:fill="auto"/>
            <w:hideMark/>
          </w:tcPr>
          <w:p w14:paraId="781BB81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Goenjian, 1994</w:t>
            </w:r>
          </w:p>
        </w:tc>
        <w:tc>
          <w:tcPr>
            <w:tcW w:w="2430" w:type="dxa"/>
            <w:tcBorders>
              <w:top w:val="nil"/>
              <w:left w:val="nil"/>
              <w:bottom w:val="nil"/>
              <w:right w:val="nil"/>
            </w:tcBorders>
            <w:shd w:val="clear" w:color="auto" w:fill="auto"/>
            <w:hideMark/>
          </w:tcPr>
          <w:p w14:paraId="5A736C6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frequency and severity of posttraumatic stress reactions among elderly and younger adult victims of the 1988 earthquake in Armenia.</w:t>
            </w:r>
          </w:p>
        </w:tc>
        <w:tc>
          <w:tcPr>
            <w:tcW w:w="2250" w:type="dxa"/>
            <w:tcBorders>
              <w:top w:val="nil"/>
              <w:left w:val="nil"/>
              <w:bottom w:val="nil"/>
              <w:right w:val="nil"/>
            </w:tcBorders>
            <w:shd w:val="clear" w:color="auto" w:fill="auto"/>
            <w:hideMark/>
          </w:tcPr>
          <w:p w14:paraId="1911AD7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quantitative cross-sectional design using a two-stage proportional cluster random sampling</w:t>
            </w:r>
          </w:p>
        </w:tc>
        <w:tc>
          <w:tcPr>
            <w:tcW w:w="1800" w:type="dxa"/>
            <w:tcBorders>
              <w:top w:val="nil"/>
              <w:left w:val="nil"/>
              <w:bottom w:val="nil"/>
              <w:right w:val="nil"/>
            </w:tcBorders>
            <w:shd w:val="clear" w:color="auto" w:fill="auto"/>
            <w:hideMark/>
          </w:tcPr>
          <w:p w14:paraId="56387B1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Armenia, Spitak, Gumri, and Yerevan, 1990 (Earthquake in Armenia, 1988)</w:t>
            </w:r>
          </w:p>
        </w:tc>
        <w:tc>
          <w:tcPr>
            <w:tcW w:w="1980" w:type="dxa"/>
            <w:tcBorders>
              <w:top w:val="nil"/>
              <w:left w:val="nil"/>
              <w:bottom w:val="nil"/>
              <w:right w:val="nil"/>
            </w:tcBorders>
            <w:shd w:val="clear" w:color="auto" w:fill="auto"/>
            <w:hideMark/>
          </w:tcPr>
          <w:p w14:paraId="4FD7A29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179 displaced participants including 54 Armenian elderly (aged 59 and above, 56% males)</w:t>
            </w:r>
          </w:p>
        </w:tc>
        <w:tc>
          <w:tcPr>
            <w:tcW w:w="3510" w:type="dxa"/>
            <w:tcBorders>
              <w:top w:val="nil"/>
              <w:left w:val="nil"/>
              <w:bottom w:val="nil"/>
              <w:right w:val="nil"/>
            </w:tcBorders>
            <w:shd w:val="clear" w:color="auto" w:fill="auto"/>
            <w:hideMark/>
          </w:tcPr>
          <w:p w14:paraId="1E851DE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Higher rates of chronic severe posttraumatic stress reactions were found among highly exposed individuals. Elderly scored higher on arousal symptoms and lower on intrusive symptoms compared to younger adults.</w:t>
            </w:r>
          </w:p>
        </w:tc>
      </w:tr>
      <w:tr w:rsidR="002F15A9" w:rsidRPr="002F15A9" w14:paraId="1EC58FF9" w14:textId="77777777" w:rsidTr="000B387E">
        <w:trPr>
          <w:trHeight w:val="283"/>
        </w:trPr>
        <w:tc>
          <w:tcPr>
            <w:tcW w:w="1710" w:type="dxa"/>
            <w:tcBorders>
              <w:top w:val="nil"/>
              <w:left w:val="nil"/>
              <w:bottom w:val="nil"/>
              <w:right w:val="nil"/>
            </w:tcBorders>
            <w:shd w:val="clear" w:color="auto" w:fill="auto"/>
            <w:hideMark/>
          </w:tcPr>
          <w:p w14:paraId="03C9189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Pieterse, 1998</w:t>
            </w:r>
          </w:p>
        </w:tc>
        <w:tc>
          <w:tcPr>
            <w:tcW w:w="2430" w:type="dxa"/>
            <w:tcBorders>
              <w:top w:val="nil"/>
              <w:left w:val="nil"/>
              <w:bottom w:val="nil"/>
              <w:right w:val="nil"/>
            </w:tcBorders>
            <w:shd w:val="clear" w:color="auto" w:fill="auto"/>
            <w:hideMark/>
          </w:tcPr>
          <w:p w14:paraId="54BFEF0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nutritional status of older people in an unstable situation.</w:t>
            </w:r>
          </w:p>
        </w:tc>
        <w:tc>
          <w:tcPr>
            <w:tcW w:w="2250" w:type="dxa"/>
            <w:tcBorders>
              <w:top w:val="nil"/>
              <w:left w:val="nil"/>
              <w:bottom w:val="nil"/>
              <w:right w:val="nil"/>
            </w:tcBorders>
            <w:shd w:val="clear" w:color="auto" w:fill="auto"/>
            <w:hideMark/>
          </w:tcPr>
          <w:p w14:paraId="6240D70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stratified sampling</w:t>
            </w:r>
          </w:p>
        </w:tc>
        <w:tc>
          <w:tcPr>
            <w:tcW w:w="1800" w:type="dxa"/>
            <w:tcBorders>
              <w:top w:val="nil"/>
              <w:left w:val="nil"/>
              <w:bottom w:val="nil"/>
              <w:right w:val="nil"/>
            </w:tcBorders>
            <w:shd w:val="clear" w:color="auto" w:fill="auto"/>
            <w:hideMark/>
          </w:tcPr>
          <w:p w14:paraId="6C85DCF7" w14:textId="6CE492E4"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Tanzania, </w:t>
            </w:r>
            <w:r w:rsidR="00FB10AF" w:rsidRPr="002F15A9">
              <w:rPr>
                <w:rFonts w:ascii="Times New Roman" w:eastAsia="Times New Roman" w:hAnsi="Times New Roman" w:cs="Times New Roman"/>
                <w:color w:val="000000"/>
                <w:sz w:val="20"/>
                <w:szCs w:val="20"/>
              </w:rPr>
              <w:t>Rwandan</w:t>
            </w:r>
            <w:r w:rsidRPr="002F15A9">
              <w:rPr>
                <w:rFonts w:ascii="Times New Roman" w:eastAsia="Times New Roman" w:hAnsi="Times New Roman" w:cs="Times New Roman"/>
                <w:color w:val="000000"/>
                <w:sz w:val="20"/>
                <w:szCs w:val="20"/>
              </w:rPr>
              <w:t xml:space="preserve"> refugee camp in Karagwe district, 1995-1996 (Rwandan civil war, 1990)</w:t>
            </w:r>
          </w:p>
        </w:tc>
        <w:tc>
          <w:tcPr>
            <w:tcW w:w="1980" w:type="dxa"/>
            <w:tcBorders>
              <w:top w:val="nil"/>
              <w:left w:val="nil"/>
              <w:bottom w:val="nil"/>
              <w:right w:val="nil"/>
            </w:tcBorders>
            <w:shd w:val="clear" w:color="auto" w:fill="auto"/>
            <w:hideMark/>
          </w:tcPr>
          <w:p w14:paraId="667ADD2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828 elderly Rwandan refugees (aged 50 and above, 41% males)</w:t>
            </w:r>
          </w:p>
        </w:tc>
        <w:tc>
          <w:tcPr>
            <w:tcW w:w="3510" w:type="dxa"/>
            <w:tcBorders>
              <w:top w:val="nil"/>
              <w:left w:val="nil"/>
              <w:bottom w:val="nil"/>
              <w:right w:val="nil"/>
            </w:tcBorders>
            <w:shd w:val="clear" w:color="auto" w:fill="auto"/>
            <w:hideMark/>
          </w:tcPr>
          <w:p w14:paraId="1281F5F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Prevalence of undernutrition (BMI &lt; 18.5) was 19.5% in men and 13.1% in women. AMA was significantly lower in older age groups. No difference in AFA. Proportion with low BMI higher in kyphosis group.</w:t>
            </w:r>
          </w:p>
        </w:tc>
      </w:tr>
      <w:tr w:rsidR="002F15A9" w:rsidRPr="002F15A9" w14:paraId="07A1C8EC" w14:textId="77777777" w:rsidTr="000B387E">
        <w:trPr>
          <w:trHeight w:val="283"/>
        </w:trPr>
        <w:tc>
          <w:tcPr>
            <w:tcW w:w="1710" w:type="dxa"/>
            <w:tcBorders>
              <w:top w:val="nil"/>
              <w:left w:val="nil"/>
              <w:bottom w:val="nil"/>
              <w:right w:val="nil"/>
            </w:tcBorders>
            <w:shd w:val="clear" w:color="auto" w:fill="auto"/>
            <w:hideMark/>
          </w:tcPr>
          <w:p w14:paraId="1C31006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 Sibai, 2001</w:t>
            </w:r>
          </w:p>
        </w:tc>
        <w:tc>
          <w:tcPr>
            <w:tcW w:w="2430" w:type="dxa"/>
            <w:tcBorders>
              <w:top w:val="nil"/>
              <w:left w:val="nil"/>
              <w:bottom w:val="nil"/>
              <w:right w:val="nil"/>
            </w:tcBorders>
            <w:shd w:val="clear" w:color="auto" w:fill="auto"/>
            <w:hideMark/>
          </w:tcPr>
          <w:p w14:paraId="1EE8303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Initiate a larger 10-year retrospective follow-up study among a cohort of middle-aged and older men and women to assess the long-term impact of multiple and repeated war-related experiences on </w:t>
            </w:r>
            <w:r w:rsidRPr="002F15A9">
              <w:rPr>
                <w:rFonts w:ascii="Times New Roman" w:eastAsia="Times New Roman" w:hAnsi="Times New Roman" w:cs="Times New Roman"/>
                <w:color w:val="000000"/>
                <w:sz w:val="20"/>
                <w:szCs w:val="20"/>
              </w:rPr>
              <w:lastRenderedPageBreak/>
              <w:t>CVD and all-cause mortality.</w:t>
            </w:r>
          </w:p>
        </w:tc>
        <w:tc>
          <w:tcPr>
            <w:tcW w:w="2250" w:type="dxa"/>
            <w:tcBorders>
              <w:top w:val="nil"/>
              <w:left w:val="nil"/>
              <w:bottom w:val="nil"/>
              <w:right w:val="nil"/>
            </w:tcBorders>
            <w:shd w:val="clear" w:color="auto" w:fill="auto"/>
            <w:hideMark/>
          </w:tcPr>
          <w:p w14:paraId="4C8DFFC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retrospective cohort design using multi-stage cluster sampling</w:t>
            </w:r>
          </w:p>
        </w:tc>
        <w:tc>
          <w:tcPr>
            <w:tcW w:w="1800" w:type="dxa"/>
            <w:tcBorders>
              <w:top w:val="nil"/>
              <w:left w:val="nil"/>
              <w:bottom w:val="nil"/>
              <w:right w:val="nil"/>
            </w:tcBorders>
            <w:shd w:val="clear" w:color="auto" w:fill="auto"/>
            <w:hideMark/>
          </w:tcPr>
          <w:p w14:paraId="7E993FD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Lebanon, Beirut, 1983-1994 (Lebanese civil war, 1975-1990)</w:t>
            </w:r>
          </w:p>
        </w:tc>
        <w:tc>
          <w:tcPr>
            <w:tcW w:w="1980" w:type="dxa"/>
            <w:tcBorders>
              <w:top w:val="nil"/>
              <w:left w:val="nil"/>
              <w:bottom w:val="nil"/>
              <w:right w:val="nil"/>
            </w:tcBorders>
            <w:shd w:val="clear" w:color="auto" w:fill="auto"/>
            <w:hideMark/>
          </w:tcPr>
          <w:p w14:paraId="5832115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1567 Lebanese elderly (aged 50 and above, 51% males)</w:t>
            </w:r>
          </w:p>
        </w:tc>
        <w:tc>
          <w:tcPr>
            <w:tcW w:w="3510" w:type="dxa"/>
            <w:tcBorders>
              <w:top w:val="nil"/>
              <w:left w:val="nil"/>
              <w:bottom w:val="nil"/>
              <w:right w:val="nil"/>
            </w:tcBorders>
            <w:shd w:val="clear" w:color="auto" w:fill="auto"/>
            <w:hideMark/>
          </w:tcPr>
          <w:p w14:paraId="13CF028E" w14:textId="77777777"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Women, but not men, had a significantly elevated CVD mortality risk for exposures to human traumas that occurred to them or their families. Exposure to property losses and work-related problems carried a greater mortality risk for men, particularly those with lower levels of education, than for women. Subjects displaced during the </w:t>
            </w:r>
            <w:r w:rsidRPr="002F15A9">
              <w:rPr>
                <w:rFonts w:ascii="Times New Roman" w:eastAsia="Times New Roman" w:hAnsi="Times New Roman" w:cs="Times New Roman"/>
                <w:sz w:val="20"/>
                <w:szCs w:val="20"/>
              </w:rPr>
              <w:lastRenderedPageBreak/>
              <w:t>war had a significantly higher risk for CVD and total mortality. These results suggest that, during prolonged wars, different elements of exposures have a long-term impact on mortality, with effects varying by gender and socioeconomic resources.</w:t>
            </w:r>
          </w:p>
        </w:tc>
      </w:tr>
      <w:tr w:rsidR="002F15A9" w:rsidRPr="002F15A9" w14:paraId="2C50D837" w14:textId="77777777" w:rsidTr="000B387E">
        <w:trPr>
          <w:trHeight w:val="283"/>
        </w:trPr>
        <w:tc>
          <w:tcPr>
            <w:tcW w:w="1710" w:type="dxa"/>
            <w:tcBorders>
              <w:top w:val="nil"/>
              <w:left w:val="nil"/>
              <w:bottom w:val="nil"/>
              <w:right w:val="nil"/>
            </w:tcBorders>
            <w:shd w:val="clear" w:color="auto" w:fill="auto"/>
            <w:hideMark/>
          </w:tcPr>
          <w:p w14:paraId="64A5B63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Pieterse, 2002</w:t>
            </w:r>
          </w:p>
        </w:tc>
        <w:tc>
          <w:tcPr>
            <w:tcW w:w="2430" w:type="dxa"/>
            <w:tcBorders>
              <w:top w:val="nil"/>
              <w:left w:val="nil"/>
              <w:bottom w:val="nil"/>
              <w:right w:val="nil"/>
            </w:tcBorders>
            <w:shd w:val="clear" w:color="auto" w:fill="auto"/>
            <w:hideMark/>
          </w:tcPr>
          <w:p w14:paraId="444C237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the association between nutritional status and handgrip strength in older Rwandan refugees.</w:t>
            </w:r>
          </w:p>
        </w:tc>
        <w:tc>
          <w:tcPr>
            <w:tcW w:w="2250" w:type="dxa"/>
            <w:tcBorders>
              <w:top w:val="nil"/>
              <w:left w:val="nil"/>
              <w:bottom w:val="nil"/>
              <w:right w:val="nil"/>
            </w:tcBorders>
            <w:shd w:val="clear" w:color="auto" w:fill="auto"/>
            <w:hideMark/>
          </w:tcPr>
          <w:p w14:paraId="37F94AA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71B1818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Tanzania, Rwandan refugee camp in the Karagwe district, 1995-1996 (Rwandan civil war, 1994)</w:t>
            </w:r>
          </w:p>
        </w:tc>
        <w:tc>
          <w:tcPr>
            <w:tcW w:w="1980" w:type="dxa"/>
            <w:tcBorders>
              <w:top w:val="nil"/>
              <w:left w:val="nil"/>
              <w:bottom w:val="nil"/>
              <w:right w:val="nil"/>
            </w:tcBorders>
            <w:shd w:val="clear" w:color="auto" w:fill="auto"/>
            <w:hideMark/>
          </w:tcPr>
          <w:p w14:paraId="41C3970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828 elderly Rwandan refugees (aged 50 and above, 50% males)</w:t>
            </w:r>
          </w:p>
        </w:tc>
        <w:tc>
          <w:tcPr>
            <w:tcW w:w="3510" w:type="dxa"/>
            <w:tcBorders>
              <w:top w:val="nil"/>
              <w:left w:val="nil"/>
              <w:bottom w:val="nil"/>
              <w:right w:val="nil"/>
            </w:tcBorders>
            <w:shd w:val="clear" w:color="auto" w:fill="auto"/>
            <w:hideMark/>
          </w:tcPr>
          <w:p w14:paraId="07859FD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Handgrip strength higher in men than women. Positively correlated with BMI and arm muscle area. Relative risk of impaired handgrip strength in individuals with poor nutritional status (BMI&lt;18.5 kg/m2) compared with those of adequate nutritional status was 1.75.</w:t>
            </w:r>
          </w:p>
        </w:tc>
      </w:tr>
      <w:tr w:rsidR="002F15A9" w:rsidRPr="002F15A9" w14:paraId="08C20443" w14:textId="77777777" w:rsidTr="000B387E">
        <w:trPr>
          <w:trHeight w:val="283"/>
        </w:trPr>
        <w:tc>
          <w:tcPr>
            <w:tcW w:w="1710" w:type="dxa"/>
            <w:tcBorders>
              <w:top w:val="nil"/>
              <w:left w:val="nil"/>
              <w:bottom w:val="nil"/>
              <w:right w:val="nil"/>
            </w:tcBorders>
            <w:shd w:val="clear" w:color="auto" w:fill="auto"/>
            <w:hideMark/>
          </w:tcPr>
          <w:p w14:paraId="2F501C8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Pieterse, 2003</w:t>
            </w:r>
          </w:p>
        </w:tc>
        <w:tc>
          <w:tcPr>
            <w:tcW w:w="2430" w:type="dxa"/>
            <w:tcBorders>
              <w:top w:val="nil"/>
              <w:left w:val="nil"/>
              <w:bottom w:val="nil"/>
              <w:right w:val="nil"/>
            </w:tcBorders>
            <w:shd w:val="clear" w:color="auto" w:fill="auto"/>
            <w:hideMark/>
          </w:tcPr>
          <w:p w14:paraId="2F63DF6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Describe risk factors for poor nutrition among older Rwandan refugees.</w:t>
            </w:r>
          </w:p>
        </w:tc>
        <w:tc>
          <w:tcPr>
            <w:tcW w:w="2250" w:type="dxa"/>
            <w:tcBorders>
              <w:top w:val="nil"/>
              <w:left w:val="nil"/>
              <w:bottom w:val="nil"/>
              <w:right w:val="nil"/>
            </w:tcBorders>
            <w:shd w:val="clear" w:color="auto" w:fill="auto"/>
            <w:hideMark/>
          </w:tcPr>
          <w:p w14:paraId="257F5E1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mixed methods design including a cross-sectional quantitative component and a qualitative component. Stratified probability sampling.</w:t>
            </w:r>
          </w:p>
        </w:tc>
        <w:tc>
          <w:tcPr>
            <w:tcW w:w="1800" w:type="dxa"/>
            <w:tcBorders>
              <w:top w:val="nil"/>
              <w:left w:val="nil"/>
              <w:bottom w:val="nil"/>
              <w:right w:val="nil"/>
            </w:tcBorders>
            <w:shd w:val="clear" w:color="auto" w:fill="auto"/>
            <w:hideMark/>
          </w:tcPr>
          <w:p w14:paraId="224A98F7" w14:textId="4A3DD93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Tanzania, </w:t>
            </w:r>
            <w:r w:rsidR="00FB10AF" w:rsidRPr="002F15A9">
              <w:rPr>
                <w:rFonts w:ascii="Times New Roman" w:eastAsia="Times New Roman" w:hAnsi="Times New Roman" w:cs="Times New Roman"/>
                <w:color w:val="000000"/>
                <w:sz w:val="20"/>
                <w:szCs w:val="20"/>
              </w:rPr>
              <w:t>Rwandan</w:t>
            </w:r>
            <w:r w:rsidRPr="002F15A9">
              <w:rPr>
                <w:rFonts w:ascii="Times New Roman" w:eastAsia="Times New Roman" w:hAnsi="Times New Roman" w:cs="Times New Roman"/>
                <w:color w:val="000000"/>
                <w:sz w:val="20"/>
                <w:szCs w:val="20"/>
              </w:rPr>
              <w:t xml:space="preserve"> refugee camp in Karagwe district, 1995-1996 (Rwandan civil war, 1990)</w:t>
            </w:r>
          </w:p>
        </w:tc>
        <w:tc>
          <w:tcPr>
            <w:tcW w:w="1980" w:type="dxa"/>
            <w:tcBorders>
              <w:top w:val="nil"/>
              <w:left w:val="nil"/>
              <w:bottom w:val="nil"/>
              <w:right w:val="nil"/>
            </w:tcBorders>
            <w:shd w:val="clear" w:color="auto" w:fill="auto"/>
            <w:hideMark/>
          </w:tcPr>
          <w:p w14:paraId="22DAFD1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828 elderly Rwandan refugees in the quantitative survey and 12 case studies and group interviews (aged 50 and above, 50% males in the survey)</w:t>
            </w:r>
          </w:p>
        </w:tc>
        <w:tc>
          <w:tcPr>
            <w:tcW w:w="3510" w:type="dxa"/>
            <w:tcBorders>
              <w:top w:val="nil"/>
              <w:left w:val="nil"/>
              <w:bottom w:val="nil"/>
              <w:right w:val="nil"/>
            </w:tcBorders>
            <w:shd w:val="clear" w:color="auto" w:fill="auto"/>
            <w:hideMark/>
          </w:tcPr>
          <w:p w14:paraId="462B5E0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Identified areas of nutritional risk: Physical ability, income, access to land, food ration, meeting basic needs, equal access to essential services, psycho-social trauma.</w:t>
            </w:r>
          </w:p>
        </w:tc>
      </w:tr>
      <w:tr w:rsidR="002F15A9" w:rsidRPr="002F15A9" w14:paraId="472DA979" w14:textId="77777777" w:rsidTr="000B387E">
        <w:trPr>
          <w:trHeight w:val="283"/>
        </w:trPr>
        <w:tc>
          <w:tcPr>
            <w:tcW w:w="1710" w:type="dxa"/>
            <w:tcBorders>
              <w:top w:val="nil"/>
              <w:left w:val="nil"/>
              <w:bottom w:val="nil"/>
              <w:right w:val="nil"/>
            </w:tcBorders>
            <w:shd w:val="clear" w:color="auto" w:fill="auto"/>
            <w:hideMark/>
          </w:tcPr>
          <w:p w14:paraId="1F3EC96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Prueksaritanond, 2007</w:t>
            </w:r>
          </w:p>
        </w:tc>
        <w:tc>
          <w:tcPr>
            <w:tcW w:w="2430" w:type="dxa"/>
            <w:tcBorders>
              <w:top w:val="nil"/>
              <w:left w:val="nil"/>
              <w:bottom w:val="nil"/>
              <w:right w:val="nil"/>
            </w:tcBorders>
            <w:shd w:val="clear" w:color="auto" w:fill="auto"/>
            <w:hideMark/>
          </w:tcPr>
          <w:p w14:paraId="46C14C8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Evaluate physical illnesses, symptoms of depression, and social status among the elderly in Ban Num Khem Community, Thailand after a tsunami.</w:t>
            </w:r>
          </w:p>
        </w:tc>
        <w:tc>
          <w:tcPr>
            <w:tcW w:w="2250" w:type="dxa"/>
            <w:tcBorders>
              <w:top w:val="nil"/>
              <w:left w:val="nil"/>
              <w:bottom w:val="nil"/>
              <w:right w:val="nil"/>
            </w:tcBorders>
            <w:shd w:val="clear" w:color="auto" w:fill="auto"/>
            <w:hideMark/>
          </w:tcPr>
          <w:p w14:paraId="00A1EEA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with all elderly who lived in Ban Nam Khem Community</w:t>
            </w:r>
          </w:p>
        </w:tc>
        <w:tc>
          <w:tcPr>
            <w:tcW w:w="1800" w:type="dxa"/>
            <w:tcBorders>
              <w:top w:val="nil"/>
              <w:left w:val="nil"/>
              <w:bottom w:val="nil"/>
              <w:right w:val="nil"/>
            </w:tcBorders>
            <w:shd w:val="clear" w:color="auto" w:fill="auto"/>
            <w:hideMark/>
          </w:tcPr>
          <w:p w14:paraId="5F4C353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Thailand, Ban Nam Khem Community, 2005 (2004 Indian Ocean earthquake and tsunami, 2004)</w:t>
            </w:r>
          </w:p>
        </w:tc>
        <w:tc>
          <w:tcPr>
            <w:tcW w:w="1980" w:type="dxa"/>
            <w:tcBorders>
              <w:top w:val="nil"/>
              <w:left w:val="nil"/>
              <w:bottom w:val="nil"/>
              <w:right w:val="nil"/>
            </w:tcBorders>
            <w:shd w:val="clear" w:color="auto" w:fill="auto"/>
            <w:hideMark/>
          </w:tcPr>
          <w:p w14:paraId="09A21E3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87 Thai elderly (aged 60 and above, 36% males)</w:t>
            </w:r>
          </w:p>
        </w:tc>
        <w:tc>
          <w:tcPr>
            <w:tcW w:w="3510" w:type="dxa"/>
            <w:tcBorders>
              <w:top w:val="nil"/>
              <w:left w:val="nil"/>
              <w:bottom w:val="nil"/>
              <w:right w:val="nil"/>
            </w:tcBorders>
            <w:shd w:val="clear" w:color="auto" w:fill="auto"/>
            <w:hideMark/>
          </w:tcPr>
          <w:p w14:paraId="2B6E728F" w14:textId="77777777"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There were underweight (11.5%), pre-hypertension (33.3%), hypertension (43.7%), and depression (24.1%). The risks of depression were female, age 65 and over, living alone, loss of income, loss of family members, and hypertension. The majority of them experienced complex physical, psychological, and social problems. Medical and social interventions were still needed. The satisfaction from interventions was found in 79.3%, ranging from the most (11.5%), </w:t>
            </w:r>
            <w:r w:rsidRPr="002F15A9">
              <w:rPr>
                <w:rFonts w:ascii="Times New Roman" w:eastAsia="Times New Roman" w:hAnsi="Times New Roman" w:cs="Times New Roman"/>
                <w:sz w:val="20"/>
                <w:szCs w:val="20"/>
              </w:rPr>
              <w:lastRenderedPageBreak/>
              <w:t>moderate (48.3%), and mild satisfaction (19.5%).</w:t>
            </w:r>
          </w:p>
        </w:tc>
      </w:tr>
      <w:tr w:rsidR="002F15A9" w:rsidRPr="002F15A9" w14:paraId="7FE905AD" w14:textId="77777777" w:rsidTr="000B387E">
        <w:trPr>
          <w:trHeight w:val="283"/>
        </w:trPr>
        <w:tc>
          <w:tcPr>
            <w:tcW w:w="1710" w:type="dxa"/>
            <w:tcBorders>
              <w:top w:val="nil"/>
              <w:left w:val="nil"/>
              <w:bottom w:val="nil"/>
              <w:right w:val="nil"/>
            </w:tcBorders>
            <w:shd w:val="clear" w:color="auto" w:fill="auto"/>
            <w:hideMark/>
          </w:tcPr>
          <w:p w14:paraId="3DCB5269" w14:textId="52CC101A" w:rsidR="002F15A9" w:rsidRPr="002F15A9" w:rsidRDefault="00117339" w:rsidP="002F15A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Mathenge</w:t>
            </w:r>
            <w:r w:rsidR="002F15A9" w:rsidRPr="002F15A9">
              <w:rPr>
                <w:rFonts w:ascii="Times New Roman" w:eastAsia="Times New Roman" w:hAnsi="Times New Roman" w:cs="Times New Roman"/>
                <w:color w:val="000000"/>
                <w:sz w:val="20"/>
                <w:szCs w:val="20"/>
              </w:rPr>
              <w:t>, 2007</w:t>
            </w:r>
          </w:p>
        </w:tc>
        <w:tc>
          <w:tcPr>
            <w:tcW w:w="2430" w:type="dxa"/>
            <w:tcBorders>
              <w:top w:val="nil"/>
              <w:left w:val="nil"/>
              <w:bottom w:val="nil"/>
              <w:right w:val="nil"/>
            </w:tcBorders>
            <w:shd w:val="clear" w:color="auto" w:fill="auto"/>
            <w:hideMark/>
          </w:tcPr>
          <w:p w14:paraId="3C255C9D" w14:textId="5BD741FD"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Conduct a Rapid Assessment for Avoidable Blindness to estimate the magnitude and causes of visual impairment in people aged 50 y in the </w:t>
            </w:r>
            <w:r w:rsidR="00FB10AF" w:rsidRPr="002F15A9">
              <w:rPr>
                <w:rFonts w:ascii="Times New Roman" w:eastAsia="Times New Roman" w:hAnsi="Times New Roman" w:cs="Times New Roman"/>
                <w:color w:val="000000"/>
                <w:sz w:val="20"/>
                <w:szCs w:val="20"/>
              </w:rPr>
              <w:t>post</w:t>
            </w:r>
            <w:r w:rsidR="00FB10AF">
              <w:rPr>
                <w:rFonts w:ascii="Times New Roman" w:eastAsia="Times New Roman" w:hAnsi="Times New Roman" w:cs="Times New Roman"/>
                <w:color w:val="000000"/>
                <w:sz w:val="20"/>
                <w:szCs w:val="20"/>
              </w:rPr>
              <w:t>-</w:t>
            </w:r>
            <w:r w:rsidR="00FB10AF" w:rsidRPr="002F15A9">
              <w:rPr>
                <w:rFonts w:ascii="Times New Roman" w:eastAsia="Times New Roman" w:hAnsi="Times New Roman" w:cs="Times New Roman"/>
                <w:color w:val="000000"/>
                <w:sz w:val="20"/>
                <w:szCs w:val="20"/>
              </w:rPr>
              <w:t>conflict</w:t>
            </w:r>
            <w:r w:rsidRPr="002F15A9">
              <w:rPr>
                <w:rFonts w:ascii="Times New Roman" w:eastAsia="Times New Roman" w:hAnsi="Times New Roman" w:cs="Times New Roman"/>
                <w:color w:val="000000"/>
                <w:sz w:val="20"/>
                <w:szCs w:val="20"/>
              </w:rPr>
              <w:t xml:space="preserve"> area of the Western Province of Rwanda.</w:t>
            </w:r>
          </w:p>
        </w:tc>
        <w:tc>
          <w:tcPr>
            <w:tcW w:w="2250" w:type="dxa"/>
            <w:tcBorders>
              <w:top w:val="nil"/>
              <w:left w:val="nil"/>
              <w:bottom w:val="nil"/>
              <w:right w:val="nil"/>
            </w:tcBorders>
            <w:shd w:val="clear" w:color="auto" w:fill="auto"/>
            <w:hideMark/>
          </w:tcPr>
          <w:p w14:paraId="005EBE0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sampling</w:t>
            </w:r>
          </w:p>
        </w:tc>
        <w:tc>
          <w:tcPr>
            <w:tcW w:w="1800" w:type="dxa"/>
            <w:tcBorders>
              <w:top w:val="nil"/>
              <w:left w:val="nil"/>
              <w:bottom w:val="nil"/>
              <w:right w:val="nil"/>
            </w:tcBorders>
            <w:shd w:val="clear" w:color="auto" w:fill="auto"/>
            <w:hideMark/>
          </w:tcPr>
          <w:p w14:paraId="4DAD58A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Rwanda, Western Province of Rwanda, 2006 (Rwandan civil war)</w:t>
            </w:r>
          </w:p>
        </w:tc>
        <w:tc>
          <w:tcPr>
            <w:tcW w:w="1980" w:type="dxa"/>
            <w:tcBorders>
              <w:top w:val="nil"/>
              <w:left w:val="nil"/>
              <w:bottom w:val="nil"/>
              <w:right w:val="nil"/>
            </w:tcBorders>
            <w:shd w:val="clear" w:color="auto" w:fill="auto"/>
            <w:hideMark/>
          </w:tcPr>
          <w:p w14:paraId="0E2EE26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2206 Rwandan elderly (aged 50 and above, 55% males)</w:t>
            </w:r>
          </w:p>
        </w:tc>
        <w:tc>
          <w:tcPr>
            <w:tcW w:w="3510" w:type="dxa"/>
            <w:tcBorders>
              <w:top w:val="nil"/>
              <w:left w:val="nil"/>
              <w:bottom w:val="nil"/>
              <w:right w:val="nil"/>
            </w:tcBorders>
            <w:shd w:val="clear" w:color="auto" w:fill="auto"/>
            <w:hideMark/>
          </w:tcPr>
          <w:p w14:paraId="37B0423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Unadjusted prevalence of bilateral blindness was 1.8%. Most cases were avoidable (due to cataract, refractive error). Cataract surgical coverage was moderate.</w:t>
            </w:r>
          </w:p>
        </w:tc>
      </w:tr>
      <w:tr w:rsidR="002F15A9" w:rsidRPr="002F15A9" w14:paraId="5641643C" w14:textId="77777777" w:rsidTr="000B387E">
        <w:trPr>
          <w:trHeight w:val="283"/>
        </w:trPr>
        <w:tc>
          <w:tcPr>
            <w:tcW w:w="1710" w:type="dxa"/>
            <w:tcBorders>
              <w:top w:val="nil"/>
              <w:left w:val="nil"/>
              <w:bottom w:val="nil"/>
              <w:right w:val="nil"/>
            </w:tcBorders>
            <w:shd w:val="clear" w:color="auto" w:fill="auto"/>
            <w:hideMark/>
          </w:tcPr>
          <w:p w14:paraId="298BCBE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Chan, 2009</w:t>
            </w:r>
          </w:p>
        </w:tc>
        <w:tc>
          <w:tcPr>
            <w:tcW w:w="2430" w:type="dxa"/>
            <w:tcBorders>
              <w:top w:val="nil"/>
              <w:left w:val="nil"/>
              <w:bottom w:val="nil"/>
              <w:right w:val="nil"/>
            </w:tcBorders>
            <w:shd w:val="clear" w:color="auto" w:fill="auto"/>
            <w:hideMark/>
          </w:tcPr>
          <w:p w14:paraId="731A927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Compare disease patterns and health service utilization among older earthquake survivors in rural and urban areas.</w:t>
            </w:r>
          </w:p>
        </w:tc>
        <w:tc>
          <w:tcPr>
            <w:tcW w:w="2250" w:type="dxa"/>
            <w:tcBorders>
              <w:top w:val="nil"/>
              <w:left w:val="nil"/>
              <w:bottom w:val="nil"/>
              <w:right w:val="nil"/>
            </w:tcBorders>
            <w:shd w:val="clear" w:color="auto" w:fill="auto"/>
            <w:hideMark/>
          </w:tcPr>
          <w:p w14:paraId="5D71E3D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753F0F83" w14:textId="04A34313"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Pakistan, rural </w:t>
            </w:r>
            <w:r w:rsidR="00FB10AF" w:rsidRPr="002F15A9">
              <w:rPr>
                <w:rFonts w:ascii="Times New Roman" w:eastAsia="Times New Roman" w:hAnsi="Times New Roman" w:cs="Times New Roman"/>
                <w:color w:val="000000"/>
                <w:sz w:val="20"/>
                <w:szCs w:val="20"/>
              </w:rPr>
              <w:t>mountainous</w:t>
            </w:r>
            <w:r w:rsidRPr="002F15A9">
              <w:rPr>
                <w:rFonts w:ascii="Times New Roman" w:eastAsia="Times New Roman" w:hAnsi="Times New Roman" w:cs="Times New Roman"/>
                <w:color w:val="000000"/>
                <w:sz w:val="20"/>
                <w:szCs w:val="20"/>
              </w:rPr>
              <w:t xml:space="preserve"> site and urban IDP camp, 2006 (2005 Kashmir Earthquake, Pakistan, 2005)</w:t>
            </w:r>
          </w:p>
        </w:tc>
        <w:tc>
          <w:tcPr>
            <w:tcW w:w="1980" w:type="dxa"/>
            <w:tcBorders>
              <w:top w:val="nil"/>
              <w:left w:val="nil"/>
              <w:bottom w:val="nil"/>
              <w:right w:val="nil"/>
            </w:tcBorders>
            <w:shd w:val="clear" w:color="auto" w:fill="auto"/>
            <w:hideMark/>
          </w:tcPr>
          <w:p w14:paraId="0F43155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125 elderly Pakistani internally displaced and non-displaced affected population (aged above 45, 79% males)</w:t>
            </w:r>
          </w:p>
        </w:tc>
        <w:tc>
          <w:tcPr>
            <w:tcW w:w="3510" w:type="dxa"/>
            <w:tcBorders>
              <w:top w:val="nil"/>
              <w:left w:val="nil"/>
              <w:bottom w:val="nil"/>
              <w:right w:val="nil"/>
            </w:tcBorders>
            <w:shd w:val="clear" w:color="auto" w:fill="auto"/>
            <w:hideMark/>
          </w:tcPr>
          <w:p w14:paraId="1B95A0A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Health profile, access to health care, service availability, and prevalence of non-communicable diseases differed between urban and rural settings. Non-communicable disease management was inadequate during non-acute, post-earthquake medical care. Health service utilization varied by gender.</w:t>
            </w:r>
          </w:p>
        </w:tc>
      </w:tr>
      <w:tr w:rsidR="002F15A9" w:rsidRPr="002F15A9" w14:paraId="2E7A3A81" w14:textId="77777777" w:rsidTr="000B387E">
        <w:trPr>
          <w:trHeight w:val="283"/>
        </w:trPr>
        <w:tc>
          <w:tcPr>
            <w:tcW w:w="1710" w:type="dxa"/>
            <w:tcBorders>
              <w:top w:val="nil"/>
              <w:left w:val="nil"/>
              <w:bottom w:val="nil"/>
              <w:right w:val="nil"/>
            </w:tcBorders>
            <w:shd w:val="clear" w:color="auto" w:fill="auto"/>
            <w:hideMark/>
          </w:tcPr>
          <w:p w14:paraId="25AF40C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Arlappa, 2009</w:t>
            </w:r>
          </w:p>
        </w:tc>
        <w:tc>
          <w:tcPr>
            <w:tcW w:w="2430" w:type="dxa"/>
            <w:tcBorders>
              <w:top w:val="nil"/>
              <w:left w:val="nil"/>
              <w:bottom w:val="nil"/>
              <w:right w:val="nil"/>
            </w:tcBorders>
            <w:shd w:val="clear" w:color="auto" w:fill="auto"/>
            <w:hideMark/>
          </w:tcPr>
          <w:p w14:paraId="4F54796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nutritional status of older adults (&gt;=60 years of age) during a drought in nine drought-affected Indian states.</w:t>
            </w:r>
          </w:p>
        </w:tc>
        <w:tc>
          <w:tcPr>
            <w:tcW w:w="2250" w:type="dxa"/>
            <w:tcBorders>
              <w:top w:val="nil"/>
              <w:left w:val="nil"/>
              <w:bottom w:val="nil"/>
              <w:right w:val="nil"/>
            </w:tcBorders>
            <w:shd w:val="clear" w:color="auto" w:fill="auto"/>
            <w:hideMark/>
          </w:tcPr>
          <w:p w14:paraId="76C2CC0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sampling</w:t>
            </w:r>
          </w:p>
        </w:tc>
        <w:tc>
          <w:tcPr>
            <w:tcW w:w="1800" w:type="dxa"/>
            <w:tcBorders>
              <w:top w:val="nil"/>
              <w:left w:val="nil"/>
              <w:bottom w:val="nil"/>
              <w:right w:val="nil"/>
            </w:tcBorders>
            <w:shd w:val="clear" w:color="auto" w:fill="auto"/>
            <w:hideMark/>
          </w:tcPr>
          <w:p w14:paraId="2A19C6F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India, Andhra Pradesh, Chhattisgarh, Gujarat, Karnataka, Madhya Pradesh, Maharashtra, Orissa, Rajasthan, and Tamil Nadu, 2003 (India severe drought, 2003)</w:t>
            </w:r>
          </w:p>
        </w:tc>
        <w:tc>
          <w:tcPr>
            <w:tcW w:w="1980" w:type="dxa"/>
            <w:tcBorders>
              <w:top w:val="nil"/>
              <w:left w:val="nil"/>
              <w:bottom w:val="nil"/>
              <w:right w:val="nil"/>
            </w:tcBorders>
            <w:shd w:val="clear" w:color="auto" w:fill="auto"/>
            <w:hideMark/>
          </w:tcPr>
          <w:p w14:paraId="39F2C1FB" w14:textId="03218C5A"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3147 rural-dwelling Indian elderly (aged 60 and above, 42% males)</w:t>
            </w:r>
          </w:p>
        </w:tc>
        <w:tc>
          <w:tcPr>
            <w:tcW w:w="3510" w:type="dxa"/>
            <w:tcBorders>
              <w:top w:val="nil"/>
              <w:left w:val="nil"/>
              <w:bottom w:val="nil"/>
              <w:right w:val="nil"/>
            </w:tcBorders>
            <w:shd w:val="clear" w:color="auto" w:fill="auto"/>
            <w:hideMark/>
          </w:tcPr>
          <w:p w14:paraId="3108824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Prevalence of CED was 51.1% among older males, higher in the 70 years and older age group. Varied prevalence among different demographics.</w:t>
            </w:r>
          </w:p>
        </w:tc>
      </w:tr>
      <w:tr w:rsidR="002F15A9" w:rsidRPr="002F15A9" w14:paraId="236A2E1D" w14:textId="77777777" w:rsidTr="000B387E">
        <w:trPr>
          <w:trHeight w:val="283"/>
        </w:trPr>
        <w:tc>
          <w:tcPr>
            <w:tcW w:w="1710" w:type="dxa"/>
            <w:tcBorders>
              <w:top w:val="nil"/>
              <w:left w:val="nil"/>
              <w:bottom w:val="nil"/>
              <w:right w:val="nil"/>
            </w:tcBorders>
            <w:shd w:val="clear" w:color="auto" w:fill="auto"/>
            <w:hideMark/>
          </w:tcPr>
          <w:p w14:paraId="22232B8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Lutala, 2010</w:t>
            </w:r>
          </w:p>
        </w:tc>
        <w:tc>
          <w:tcPr>
            <w:tcW w:w="2430" w:type="dxa"/>
            <w:tcBorders>
              <w:top w:val="nil"/>
              <w:left w:val="nil"/>
              <w:bottom w:val="nil"/>
              <w:right w:val="nil"/>
            </w:tcBorders>
            <w:shd w:val="clear" w:color="auto" w:fill="auto"/>
            <w:hideMark/>
          </w:tcPr>
          <w:p w14:paraId="3A488FA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the behavior of the elderly in seeking care during a time of conflict.</w:t>
            </w:r>
          </w:p>
        </w:tc>
        <w:tc>
          <w:tcPr>
            <w:tcW w:w="2250" w:type="dxa"/>
            <w:tcBorders>
              <w:top w:val="nil"/>
              <w:left w:val="nil"/>
              <w:bottom w:val="nil"/>
              <w:right w:val="nil"/>
            </w:tcBorders>
            <w:shd w:val="clear" w:color="auto" w:fill="auto"/>
            <w:hideMark/>
          </w:tcPr>
          <w:p w14:paraId="0CBC2F2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Quantitative cross-sectional design using a combination of maximum-variation </w:t>
            </w:r>
            <w:r w:rsidRPr="002F15A9">
              <w:rPr>
                <w:rFonts w:ascii="Times New Roman" w:eastAsia="Times New Roman" w:hAnsi="Times New Roman" w:cs="Times New Roman"/>
                <w:color w:val="000000"/>
                <w:sz w:val="20"/>
                <w:szCs w:val="20"/>
              </w:rPr>
              <w:lastRenderedPageBreak/>
              <w:t>sampling (purposive) and cluster sampling</w:t>
            </w:r>
          </w:p>
        </w:tc>
        <w:tc>
          <w:tcPr>
            <w:tcW w:w="1800" w:type="dxa"/>
            <w:tcBorders>
              <w:top w:val="nil"/>
              <w:left w:val="nil"/>
              <w:bottom w:val="nil"/>
              <w:right w:val="nil"/>
            </w:tcBorders>
            <w:shd w:val="clear" w:color="auto" w:fill="auto"/>
            <w:hideMark/>
          </w:tcPr>
          <w:p w14:paraId="2A6975BC" w14:textId="630CFD8C"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D</w:t>
            </w:r>
            <w:r w:rsidR="001E6556">
              <w:rPr>
                <w:rFonts w:ascii="Times New Roman" w:eastAsia="Times New Roman" w:hAnsi="Times New Roman" w:cs="Times New Roman"/>
                <w:color w:val="000000"/>
                <w:sz w:val="20"/>
                <w:szCs w:val="20"/>
              </w:rPr>
              <w:t xml:space="preserve">emocratic </w:t>
            </w:r>
            <w:r w:rsidRPr="002F15A9">
              <w:rPr>
                <w:rFonts w:ascii="Times New Roman" w:eastAsia="Times New Roman" w:hAnsi="Times New Roman" w:cs="Times New Roman"/>
                <w:color w:val="000000"/>
                <w:sz w:val="20"/>
                <w:szCs w:val="20"/>
              </w:rPr>
              <w:t>R</w:t>
            </w:r>
            <w:r w:rsidR="001E6556">
              <w:rPr>
                <w:rFonts w:ascii="Times New Roman" w:eastAsia="Times New Roman" w:hAnsi="Times New Roman" w:cs="Times New Roman"/>
                <w:color w:val="000000"/>
                <w:sz w:val="20"/>
                <w:szCs w:val="20"/>
              </w:rPr>
              <w:t xml:space="preserve">epublic of </w:t>
            </w:r>
            <w:r w:rsidRPr="002F15A9">
              <w:rPr>
                <w:rFonts w:ascii="Times New Roman" w:eastAsia="Times New Roman" w:hAnsi="Times New Roman" w:cs="Times New Roman"/>
                <w:color w:val="000000"/>
                <w:sz w:val="20"/>
                <w:szCs w:val="20"/>
              </w:rPr>
              <w:t>C</w:t>
            </w:r>
            <w:r w:rsidR="001E6556">
              <w:rPr>
                <w:rFonts w:ascii="Times New Roman" w:eastAsia="Times New Roman" w:hAnsi="Times New Roman" w:cs="Times New Roman"/>
                <w:color w:val="000000"/>
                <w:sz w:val="20"/>
                <w:szCs w:val="20"/>
              </w:rPr>
              <w:t>ongo</w:t>
            </w:r>
            <w:r w:rsidRPr="002F15A9">
              <w:rPr>
                <w:rFonts w:ascii="Times New Roman" w:eastAsia="Times New Roman" w:hAnsi="Times New Roman" w:cs="Times New Roman"/>
                <w:color w:val="000000"/>
                <w:sz w:val="20"/>
                <w:szCs w:val="20"/>
              </w:rPr>
              <w:t xml:space="preserve">, Goma, 2003 (War in the </w:t>
            </w:r>
            <w:r w:rsidRPr="002F15A9">
              <w:rPr>
                <w:rFonts w:ascii="Times New Roman" w:eastAsia="Times New Roman" w:hAnsi="Times New Roman" w:cs="Times New Roman"/>
                <w:color w:val="000000"/>
                <w:sz w:val="20"/>
                <w:szCs w:val="20"/>
              </w:rPr>
              <w:lastRenderedPageBreak/>
              <w:t>DRC &amp; Volcanic Eruption in Goma (DRC), Volcano (2002), Conflict (Protracted))</w:t>
            </w:r>
          </w:p>
        </w:tc>
        <w:tc>
          <w:tcPr>
            <w:tcW w:w="1980" w:type="dxa"/>
            <w:tcBorders>
              <w:top w:val="nil"/>
              <w:left w:val="nil"/>
              <w:bottom w:val="nil"/>
              <w:right w:val="nil"/>
            </w:tcBorders>
            <w:shd w:val="clear" w:color="auto" w:fill="auto"/>
            <w:hideMark/>
          </w:tcPr>
          <w:p w14:paraId="2AD6783A" w14:textId="75F996F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500 elderl</w:t>
            </w:r>
            <w:r w:rsidR="00FB10AF">
              <w:rPr>
                <w:rFonts w:ascii="Times New Roman" w:eastAsia="Times New Roman" w:hAnsi="Times New Roman" w:cs="Times New Roman"/>
                <w:color w:val="000000"/>
                <w:sz w:val="20"/>
                <w:szCs w:val="20"/>
              </w:rPr>
              <w:t>ies</w:t>
            </w:r>
            <w:r w:rsidRPr="002F15A9">
              <w:rPr>
                <w:rFonts w:ascii="Times New Roman" w:eastAsia="Times New Roman" w:hAnsi="Times New Roman" w:cs="Times New Roman"/>
                <w:color w:val="000000"/>
                <w:sz w:val="20"/>
                <w:szCs w:val="20"/>
              </w:rPr>
              <w:t xml:space="preserve"> (aged 60 and above, 70% males)</w:t>
            </w:r>
          </w:p>
        </w:tc>
        <w:tc>
          <w:tcPr>
            <w:tcW w:w="3510" w:type="dxa"/>
            <w:tcBorders>
              <w:top w:val="nil"/>
              <w:left w:val="nil"/>
              <w:bottom w:val="nil"/>
              <w:right w:val="nil"/>
            </w:tcBorders>
            <w:shd w:val="clear" w:color="auto" w:fill="auto"/>
            <w:hideMark/>
          </w:tcPr>
          <w:p w14:paraId="00CF152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Public health sector well known and preferred by 37.2%. Only used by 3.2%. Financial support from relatives (33.5%) and fellow believers (20.2%). About </w:t>
            </w:r>
            <w:r w:rsidRPr="002F15A9">
              <w:rPr>
                <w:rFonts w:ascii="Times New Roman" w:eastAsia="Times New Roman" w:hAnsi="Times New Roman" w:cs="Times New Roman"/>
                <w:color w:val="000000"/>
                <w:sz w:val="20"/>
                <w:szCs w:val="20"/>
              </w:rPr>
              <w:lastRenderedPageBreak/>
              <w:t>71% of monetary support from begging and unknown sources. External support often in the form of food. Disease expenses a main concern for the elderly.</w:t>
            </w:r>
          </w:p>
        </w:tc>
      </w:tr>
      <w:tr w:rsidR="002F15A9" w:rsidRPr="002F15A9" w14:paraId="123956DF" w14:textId="77777777" w:rsidTr="000B387E">
        <w:trPr>
          <w:trHeight w:val="283"/>
        </w:trPr>
        <w:tc>
          <w:tcPr>
            <w:tcW w:w="1710" w:type="dxa"/>
            <w:tcBorders>
              <w:top w:val="nil"/>
              <w:left w:val="nil"/>
              <w:bottom w:val="nil"/>
              <w:right w:val="nil"/>
            </w:tcBorders>
            <w:shd w:val="clear" w:color="auto" w:fill="auto"/>
            <w:hideMark/>
          </w:tcPr>
          <w:p w14:paraId="3B77DEE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Ardalan, 2010</w:t>
            </w:r>
          </w:p>
        </w:tc>
        <w:tc>
          <w:tcPr>
            <w:tcW w:w="2430" w:type="dxa"/>
            <w:tcBorders>
              <w:top w:val="nil"/>
              <w:left w:val="nil"/>
              <w:bottom w:val="nil"/>
              <w:right w:val="nil"/>
            </w:tcBorders>
            <w:shd w:val="clear" w:color="auto" w:fill="auto"/>
            <w:hideMark/>
          </w:tcPr>
          <w:p w14:paraId="00B0585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Study the self-perceived needs of older people in the aftermath of the Bam earthquake in Iran in 2003.</w:t>
            </w:r>
          </w:p>
        </w:tc>
        <w:tc>
          <w:tcPr>
            <w:tcW w:w="2250" w:type="dxa"/>
            <w:tcBorders>
              <w:top w:val="nil"/>
              <w:left w:val="nil"/>
              <w:bottom w:val="nil"/>
              <w:right w:val="nil"/>
            </w:tcBorders>
            <w:shd w:val="clear" w:color="auto" w:fill="auto"/>
            <w:hideMark/>
          </w:tcPr>
          <w:p w14:paraId="0839FE2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using purposive sampling</w:t>
            </w:r>
          </w:p>
        </w:tc>
        <w:tc>
          <w:tcPr>
            <w:tcW w:w="1800" w:type="dxa"/>
            <w:tcBorders>
              <w:top w:val="nil"/>
              <w:left w:val="nil"/>
              <w:bottom w:val="nil"/>
              <w:right w:val="nil"/>
            </w:tcBorders>
            <w:shd w:val="clear" w:color="auto" w:fill="auto"/>
            <w:hideMark/>
          </w:tcPr>
          <w:p w14:paraId="33D75A3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Iran, Bam and Baravat, 2003 (Bam Earthquake, 2003)</w:t>
            </w:r>
          </w:p>
        </w:tc>
        <w:tc>
          <w:tcPr>
            <w:tcW w:w="1980" w:type="dxa"/>
            <w:tcBorders>
              <w:top w:val="nil"/>
              <w:left w:val="nil"/>
              <w:bottom w:val="nil"/>
              <w:right w:val="nil"/>
            </w:tcBorders>
            <w:shd w:val="clear" w:color="auto" w:fill="auto"/>
            <w:hideMark/>
          </w:tcPr>
          <w:p w14:paraId="67AC924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56 Iranian elderly (aged 60 and above, 52% males)</w:t>
            </w:r>
          </w:p>
        </w:tc>
        <w:tc>
          <w:tcPr>
            <w:tcW w:w="3510" w:type="dxa"/>
            <w:tcBorders>
              <w:top w:val="nil"/>
              <w:left w:val="nil"/>
              <w:bottom w:val="nil"/>
              <w:right w:val="nil"/>
            </w:tcBorders>
            <w:shd w:val="clear" w:color="auto" w:fill="auto"/>
            <w:hideMark/>
          </w:tcPr>
          <w:p w14:paraId="6273DED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Four major themes identified: inappropriate service delivery, affronts to dignity, feeling insecure, and emotional distress.</w:t>
            </w:r>
          </w:p>
        </w:tc>
      </w:tr>
      <w:tr w:rsidR="002F15A9" w:rsidRPr="002F15A9" w14:paraId="793AA428" w14:textId="77777777" w:rsidTr="000B387E">
        <w:trPr>
          <w:trHeight w:val="283"/>
        </w:trPr>
        <w:tc>
          <w:tcPr>
            <w:tcW w:w="1710" w:type="dxa"/>
            <w:tcBorders>
              <w:top w:val="nil"/>
              <w:left w:val="nil"/>
              <w:bottom w:val="nil"/>
              <w:right w:val="nil"/>
            </w:tcBorders>
            <w:shd w:val="clear" w:color="auto" w:fill="auto"/>
            <w:hideMark/>
          </w:tcPr>
          <w:p w14:paraId="3CC65E4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Liu, 2010</w:t>
            </w:r>
          </w:p>
        </w:tc>
        <w:tc>
          <w:tcPr>
            <w:tcW w:w="2430" w:type="dxa"/>
            <w:tcBorders>
              <w:top w:val="nil"/>
              <w:left w:val="nil"/>
              <w:bottom w:val="nil"/>
              <w:right w:val="nil"/>
            </w:tcBorders>
            <w:shd w:val="clear" w:color="auto" w:fill="auto"/>
            <w:hideMark/>
          </w:tcPr>
          <w:p w14:paraId="211BF5F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Conduct a preliminary assessment of the periodontitis of 65- to 74-year-old victims and compare it with survey data from before the earthquake.</w:t>
            </w:r>
          </w:p>
        </w:tc>
        <w:tc>
          <w:tcPr>
            <w:tcW w:w="2250" w:type="dxa"/>
            <w:tcBorders>
              <w:top w:val="nil"/>
              <w:left w:val="nil"/>
              <w:bottom w:val="nil"/>
              <w:right w:val="nil"/>
            </w:tcBorders>
            <w:shd w:val="clear" w:color="auto" w:fill="auto"/>
            <w:hideMark/>
          </w:tcPr>
          <w:p w14:paraId="48B8616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647D36E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transitional shelters community in Sichuan, April-May 2009 (Wenchuan Earthquake, 2008)</w:t>
            </w:r>
          </w:p>
        </w:tc>
        <w:tc>
          <w:tcPr>
            <w:tcW w:w="1980" w:type="dxa"/>
            <w:tcBorders>
              <w:top w:val="nil"/>
              <w:left w:val="nil"/>
              <w:bottom w:val="nil"/>
              <w:right w:val="nil"/>
            </w:tcBorders>
            <w:shd w:val="clear" w:color="auto" w:fill="auto"/>
            <w:hideMark/>
          </w:tcPr>
          <w:p w14:paraId="32B04C9B" w14:textId="141E451E"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1495 Chinese elderl</w:t>
            </w:r>
            <w:r w:rsidR="00FB10AF">
              <w:rPr>
                <w:rFonts w:ascii="Times New Roman" w:eastAsia="Times New Roman" w:hAnsi="Times New Roman" w:cs="Times New Roman"/>
                <w:color w:val="000000"/>
                <w:sz w:val="20"/>
                <w:szCs w:val="20"/>
              </w:rPr>
              <w:t>ies</w:t>
            </w:r>
            <w:r w:rsidRPr="002F15A9">
              <w:rPr>
                <w:rFonts w:ascii="Times New Roman" w:eastAsia="Times New Roman" w:hAnsi="Times New Roman" w:cs="Times New Roman"/>
                <w:color w:val="000000"/>
                <w:sz w:val="20"/>
                <w:szCs w:val="20"/>
              </w:rPr>
              <w:t xml:space="preserve"> (aged 65 and above, 50% males)</w:t>
            </w:r>
          </w:p>
        </w:tc>
        <w:tc>
          <w:tcPr>
            <w:tcW w:w="3510" w:type="dxa"/>
            <w:tcBorders>
              <w:top w:val="nil"/>
              <w:left w:val="nil"/>
              <w:bottom w:val="nil"/>
              <w:right w:val="nil"/>
            </w:tcBorders>
            <w:shd w:val="clear" w:color="auto" w:fill="auto"/>
            <w:hideMark/>
          </w:tcPr>
          <w:p w14:paraId="3077A67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Increased calculus and gingival bleeding. Higher prevalence of Attachment Loss at various levels. Adverse trends in oral hygiene practice, stress, tobacco abuse, and nutritional intake after the earthquake.</w:t>
            </w:r>
          </w:p>
        </w:tc>
      </w:tr>
      <w:tr w:rsidR="002F15A9" w:rsidRPr="002F15A9" w14:paraId="7656D07A" w14:textId="77777777" w:rsidTr="000B387E">
        <w:trPr>
          <w:trHeight w:val="283"/>
        </w:trPr>
        <w:tc>
          <w:tcPr>
            <w:tcW w:w="1710" w:type="dxa"/>
            <w:tcBorders>
              <w:top w:val="nil"/>
              <w:left w:val="nil"/>
              <w:bottom w:val="nil"/>
              <w:right w:val="nil"/>
            </w:tcBorders>
            <w:shd w:val="clear" w:color="auto" w:fill="auto"/>
            <w:hideMark/>
          </w:tcPr>
          <w:p w14:paraId="59B88CD0" w14:textId="6933FBB5"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Ardalan, 201</w:t>
            </w:r>
            <w:r w:rsidR="00E737F6">
              <w:rPr>
                <w:rFonts w:ascii="Times New Roman" w:eastAsia="Times New Roman" w:hAnsi="Times New Roman" w:cs="Times New Roman"/>
                <w:color w:val="000000"/>
                <w:sz w:val="20"/>
                <w:szCs w:val="20"/>
              </w:rPr>
              <w:t>1</w:t>
            </w:r>
          </w:p>
        </w:tc>
        <w:tc>
          <w:tcPr>
            <w:tcW w:w="2430" w:type="dxa"/>
            <w:tcBorders>
              <w:top w:val="nil"/>
              <w:left w:val="nil"/>
              <w:bottom w:val="nil"/>
              <w:right w:val="nil"/>
            </w:tcBorders>
            <w:shd w:val="clear" w:color="auto" w:fill="auto"/>
            <w:hideMark/>
          </w:tcPr>
          <w:p w14:paraId="17FEF23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Present QoL assessments of elderly survivors five years after the Bam earthquake in Iran, and evaluate the determinants.</w:t>
            </w:r>
          </w:p>
        </w:tc>
        <w:tc>
          <w:tcPr>
            <w:tcW w:w="2250" w:type="dxa"/>
            <w:tcBorders>
              <w:top w:val="nil"/>
              <w:left w:val="nil"/>
              <w:bottom w:val="nil"/>
              <w:right w:val="nil"/>
            </w:tcBorders>
            <w:shd w:val="clear" w:color="auto" w:fill="auto"/>
            <w:hideMark/>
          </w:tcPr>
          <w:p w14:paraId="2A9DE11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systematic random sampling</w:t>
            </w:r>
          </w:p>
        </w:tc>
        <w:tc>
          <w:tcPr>
            <w:tcW w:w="1800" w:type="dxa"/>
            <w:tcBorders>
              <w:top w:val="nil"/>
              <w:left w:val="nil"/>
              <w:bottom w:val="nil"/>
              <w:right w:val="nil"/>
            </w:tcBorders>
            <w:shd w:val="clear" w:color="auto" w:fill="auto"/>
            <w:hideMark/>
          </w:tcPr>
          <w:p w14:paraId="05D2394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Iran, Kerman province, November-December 2008 (Bam Earthquake, 2003)</w:t>
            </w:r>
          </w:p>
        </w:tc>
        <w:tc>
          <w:tcPr>
            <w:tcW w:w="1980" w:type="dxa"/>
            <w:tcBorders>
              <w:top w:val="nil"/>
              <w:left w:val="nil"/>
              <w:bottom w:val="nil"/>
              <w:right w:val="nil"/>
            </w:tcBorders>
            <w:shd w:val="clear" w:color="auto" w:fill="auto"/>
            <w:hideMark/>
          </w:tcPr>
          <w:p w14:paraId="6CEB480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210 Iranian elderly (aged 65 and above, 49% males)</w:t>
            </w:r>
          </w:p>
        </w:tc>
        <w:tc>
          <w:tcPr>
            <w:tcW w:w="3510" w:type="dxa"/>
            <w:tcBorders>
              <w:top w:val="nil"/>
              <w:left w:val="nil"/>
              <w:bottom w:val="nil"/>
              <w:right w:val="nil"/>
            </w:tcBorders>
            <w:shd w:val="clear" w:color="auto" w:fill="auto"/>
            <w:hideMark/>
          </w:tcPr>
          <w:p w14:paraId="1937377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Experiencing the earthquake may adversely affect psychological dimensions of QoL even five years after. Lower QoL associated with various factors.</w:t>
            </w:r>
          </w:p>
        </w:tc>
      </w:tr>
      <w:tr w:rsidR="002F15A9" w:rsidRPr="002F15A9" w14:paraId="25387360" w14:textId="77777777" w:rsidTr="000B387E">
        <w:trPr>
          <w:trHeight w:val="283"/>
        </w:trPr>
        <w:tc>
          <w:tcPr>
            <w:tcW w:w="1710" w:type="dxa"/>
            <w:tcBorders>
              <w:top w:val="nil"/>
              <w:left w:val="nil"/>
              <w:bottom w:val="nil"/>
              <w:right w:val="nil"/>
            </w:tcBorders>
            <w:shd w:val="clear" w:color="auto" w:fill="auto"/>
            <w:hideMark/>
          </w:tcPr>
          <w:p w14:paraId="7B88BDC5" w14:textId="05DEF4AE"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Nomura, 2010</w:t>
            </w:r>
          </w:p>
        </w:tc>
        <w:tc>
          <w:tcPr>
            <w:tcW w:w="2430" w:type="dxa"/>
            <w:tcBorders>
              <w:top w:val="nil"/>
              <w:left w:val="nil"/>
              <w:bottom w:val="nil"/>
              <w:right w:val="nil"/>
            </w:tcBorders>
            <w:shd w:val="clear" w:color="auto" w:fill="auto"/>
            <w:hideMark/>
          </w:tcPr>
          <w:p w14:paraId="47E52CA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Elucidate the relationship between factors of tsunami-related exposure and mental health conditions among the senior residents of tsunami-affected areas in southern Sri Lanka.</w:t>
            </w:r>
          </w:p>
        </w:tc>
        <w:tc>
          <w:tcPr>
            <w:tcW w:w="2250" w:type="dxa"/>
            <w:tcBorders>
              <w:top w:val="nil"/>
              <w:left w:val="nil"/>
              <w:bottom w:val="nil"/>
              <w:right w:val="nil"/>
            </w:tcBorders>
            <w:shd w:val="clear" w:color="auto" w:fill="auto"/>
            <w:hideMark/>
          </w:tcPr>
          <w:p w14:paraId="3DEF90E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2A98017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Sri Lanka, Matara district, April-June 2008 (2004 Indian Ocean earthquake and tsunami, 2004)</w:t>
            </w:r>
          </w:p>
        </w:tc>
        <w:tc>
          <w:tcPr>
            <w:tcW w:w="1980" w:type="dxa"/>
            <w:tcBorders>
              <w:top w:val="nil"/>
              <w:left w:val="nil"/>
              <w:bottom w:val="nil"/>
              <w:right w:val="nil"/>
            </w:tcBorders>
            <w:shd w:val="clear" w:color="auto" w:fill="auto"/>
            <w:hideMark/>
          </w:tcPr>
          <w:p w14:paraId="247DB1AA" w14:textId="30604000"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90 elderly locals in Sri </w:t>
            </w:r>
            <w:r w:rsidR="00FB10AF" w:rsidRPr="002F15A9">
              <w:rPr>
                <w:rFonts w:ascii="Times New Roman" w:eastAsia="Times New Roman" w:hAnsi="Times New Roman" w:cs="Times New Roman"/>
                <w:color w:val="000000"/>
                <w:sz w:val="20"/>
                <w:szCs w:val="20"/>
              </w:rPr>
              <w:t>Lanka</w:t>
            </w:r>
            <w:r w:rsidRPr="002F15A9">
              <w:rPr>
                <w:rFonts w:ascii="Times New Roman" w:eastAsia="Times New Roman" w:hAnsi="Times New Roman" w:cs="Times New Roman"/>
                <w:color w:val="000000"/>
                <w:sz w:val="20"/>
                <w:szCs w:val="20"/>
              </w:rPr>
              <w:t xml:space="preserve"> (aged 60 and above, 48% males)</w:t>
            </w:r>
          </w:p>
        </w:tc>
        <w:tc>
          <w:tcPr>
            <w:tcW w:w="3510" w:type="dxa"/>
            <w:tcBorders>
              <w:top w:val="nil"/>
              <w:left w:val="nil"/>
              <w:bottom w:val="nil"/>
              <w:right w:val="nil"/>
            </w:tcBorders>
            <w:shd w:val="clear" w:color="auto" w:fill="auto"/>
            <w:hideMark/>
          </w:tcPr>
          <w:p w14:paraId="0515826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Catastrophic events in tsunami lead to PTSD in senior survivors. Various factors associated with higher IES-R scores.</w:t>
            </w:r>
          </w:p>
        </w:tc>
      </w:tr>
      <w:tr w:rsidR="002F15A9" w:rsidRPr="002F15A9" w14:paraId="745D7241" w14:textId="77777777" w:rsidTr="000B387E">
        <w:trPr>
          <w:trHeight w:val="283"/>
        </w:trPr>
        <w:tc>
          <w:tcPr>
            <w:tcW w:w="1710" w:type="dxa"/>
            <w:tcBorders>
              <w:top w:val="nil"/>
              <w:left w:val="nil"/>
              <w:bottom w:val="nil"/>
              <w:right w:val="nil"/>
            </w:tcBorders>
            <w:shd w:val="clear" w:color="auto" w:fill="auto"/>
            <w:hideMark/>
          </w:tcPr>
          <w:p w14:paraId="598163F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Wen, 2010</w:t>
            </w:r>
          </w:p>
        </w:tc>
        <w:tc>
          <w:tcPr>
            <w:tcW w:w="2430" w:type="dxa"/>
            <w:tcBorders>
              <w:top w:val="nil"/>
              <w:left w:val="nil"/>
              <w:bottom w:val="nil"/>
              <w:right w:val="nil"/>
            </w:tcBorders>
            <w:shd w:val="clear" w:color="auto" w:fill="auto"/>
            <w:hideMark/>
          </w:tcPr>
          <w:p w14:paraId="53E4D39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Review characteristics of injuries among aged inpatients and provide </w:t>
            </w:r>
            <w:r w:rsidRPr="002F15A9">
              <w:rPr>
                <w:rFonts w:ascii="Times New Roman" w:eastAsia="Times New Roman" w:hAnsi="Times New Roman" w:cs="Times New Roman"/>
                <w:color w:val="000000"/>
                <w:sz w:val="20"/>
                <w:szCs w:val="20"/>
              </w:rPr>
              <w:lastRenderedPageBreak/>
              <w:t>experiences of emergency management for traumatized geriatric patients.</w:t>
            </w:r>
          </w:p>
        </w:tc>
        <w:tc>
          <w:tcPr>
            <w:tcW w:w="2250" w:type="dxa"/>
            <w:tcBorders>
              <w:top w:val="nil"/>
              <w:left w:val="nil"/>
              <w:bottom w:val="nil"/>
              <w:right w:val="nil"/>
            </w:tcBorders>
            <w:shd w:val="clear" w:color="auto" w:fill="auto"/>
            <w:hideMark/>
          </w:tcPr>
          <w:p w14:paraId="0C96586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Quantitative cross-sectional secondary analysis of all medical </w:t>
            </w:r>
            <w:r w:rsidRPr="002F15A9">
              <w:rPr>
                <w:rFonts w:ascii="Times New Roman" w:eastAsia="Times New Roman" w:hAnsi="Times New Roman" w:cs="Times New Roman"/>
                <w:color w:val="000000"/>
                <w:sz w:val="20"/>
                <w:szCs w:val="20"/>
              </w:rPr>
              <w:lastRenderedPageBreak/>
              <w:t>records of earthquake-related geriatric inpatients in West China Hospital</w:t>
            </w:r>
          </w:p>
        </w:tc>
        <w:tc>
          <w:tcPr>
            <w:tcW w:w="1800" w:type="dxa"/>
            <w:tcBorders>
              <w:top w:val="nil"/>
              <w:left w:val="nil"/>
              <w:bottom w:val="nil"/>
              <w:right w:val="nil"/>
            </w:tcBorders>
            <w:shd w:val="clear" w:color="auto" w:fill="auto"/>
            <w:hideMark/>
          </w:tcPr>
          <w:p w14:paraId="7EC9DCE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China, Sichuan, 2008 (Wenchuan Earthquake, 2008)</w:t>
            </w:r>
          </w:p>
        </w:tc>
        <w:tc>
          <w:tcPr>
            <w:tcW w:w="1980" w:type="dxa"/>
            <w:tcBorders>
              <w:top w:val="nil"/>
              <w:left w:val="nil"/>
              <w:bottom w:val="nil"/>
              <w:right w:val="nil"/>
            </w:tcBorders>
            <w:shd w:val="clear" w:color="auto" w:fill="auto"/>
            <w:hideMark/>
          </w:tcPr>
          <w:p w14:paraId="212D5FD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400 Chinese elderly (aged 65 and above, 42% males)</w:t>
            </w:r>
          </w:p>
        </w:tc>
        <w:tc>
          <w:tcPr>
            <w:tcW w:w="3510" w:type="dxa"/>
            <w:tcBorders>
              <w:top w:val="nil"/>
              <w:left w:val="nil"/>
              <w:bottom w:val="nil"/>
              <w:right w:val="nil"/>
            </w:tcBorders>
            <w:shd w:val="clear" w:color="auto" w:fill="auto"/>
            <w:hideMark/>
          </w:tcPr>
          <w:p w14:paraId="64C1A82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Fracture (68.5%, n = 274) was the most common type of injury. The mortality of earthquake-related geriatric patients was </w:t>
            </w:r>
            <w:r w:rsidRPr="002F15A9">
              <w:rPr>
                <w:rFonts w:ascii="Times New Roman" w:eastAsia="Times New Roman" w:hAnsi="Times New Roman" w:cs="Times New Roman"/>
                <w:color w:val="000000"/>
                <w:sz w:val="20"/>
                <w:szCs w:val="20"/>
              </w:rPr>
              <w:lastRenderedPageBreak/>
              <w:t>4.8%, higher than that of all earthquake-related patients.</w:t>
            </w:r>
          </w:p>
        </w:tc>
      </w:tr>
      <w:tr w:rsidR="002F15A9" w:rsidRPr="002F15A9" w14:paraId="1DF01222" w14:textId="77777777" w:rsidTr="000B387E">
        <w:trPr>
          <w:trHeight w:val="283"/>
        </w:trPr>
        <w:tc>
          <w:tcPr>
            <w:tcW w:w="1710" w:type="dxa"/>
            <w:tcBorders>
              <w:top w:val="nil"/>
              <w:left w:val="nil"/>
              <w:bottom w:val="nil"/>
              <w:right w:val="nil"/>
            </w:tcBorders>
            <w:shd w:val="clear" w:color="auto" w:fill="auto"/>
            <w:hideMark/>
          </w:tcPr>
          <w:p w14:paraId="3FF5126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Jia, 2010</w:t>
            </w:r>
          </w:p>
        </w:tc>
        <w:tc>
          <w:tcPr>
            <w:tcW w:w="2430" w:type="dxa"/>
            <w:tcBorders>
              <w:top w:val="nil"/>
              <w:left w:val="nil"/>
              <w:bottom w:val="nil"/>
              <w:right w:val="nil"/>
            </w:tcBorders>
            <w:shd w:val="clear" w:color="auto" w:fill="auto"/>
            <w:hideMark/>
          </w:tcPr>
          <w:p w14:paraId="37CF33A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whether elderly survivors were more likely to develop posttraumatic stress disorder (PTSD) and general psychiatric morbidity.</w:t>
            </w:r>
          </w:p>
        </w:tc>
        <w:tc>
          <w:tcPr>
            <w:tcW w:w="2250" w:type="dxa"/>
            <w:tcBorders>
              <w:top w:val="nil"/>
              <w:left w:val="nil"/>
              <w:bottom w:val="nil"/>
              <w:right w:val="nil"/>
            </w:tcBorders>
            <w:shd w:val="clear" w:color="auto" w:fill="auto"/>
            <w:hideMark/>
          </w:tcPr>
          <w:p w14:paraId="22FDB01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quantitative cross-sectional design using multi-stage systematic sampling</w:t>
            </w:r>
          </w:p>
        </w:tc>
        <w:tc>
          <w:tcPr>
            <w:tcW w:w="1800" w:type="dxa"/>
            <w:tcBorders>
              <w:top w:val="nil"/>
              <w:left w:val="nil"/>
              <w:bottom w:val="nil"/>
              <w:right w:val="nil"/>
            </w:tcBorders>
            <w:shd w:val="clear" w:color="auto" w:fill="auto"/>
            <w:hideMark/>
          </w:tcPr>
          <w:p w14:paraId="795A1A9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Sichuan, August-September 2009 (Wenchuan Earthquake, 2008)</w:t>
            </w:r>
          </w:p>
        </w:tc>
        <w:tc>
          <w:tcPr>
            <w:tcW w:w="1980" w:type="dxa"/>
            <w:tcBorders>
              <w:top w:val="nil"/>
              <w:left w:val="nil"/>
              <w:bottom w:val="nil"/>
              <w:right w:val="nil"/>
            </w:tcBorders>
            <w:shd w:val="clear" w:color="auto" w:fill="auto"/>
            <w:hideMark/>
          </w:tcPr>
          <w:p w14:paraId="10BA9C00" w14:textId="7B969492"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327 survivors including 152 </w:t>
            </w:r>
            <w:r w:rsidR="00FB10AF" w:rsidRPr="002F15A9">
              <w:rPr>
                <w:rFonts w:ascii="Times New Roman" w:eastAsia="Times New Roman" w:hAnsi="Times New Roman" w:cs="Times New Roman"/>
                <w:color w:val="000000"/>
                <w:sz w:val="20"/>
                <w:szCs w:val="20"/>
              </w:rPr>
              <w:t>elderlies</w:t>
            </w:r>
            <w:r w:rsidRPr="002F15A9">
              <w:rPr>
                <w:rFonts w:ascii="Times New Roman" w:eastAsia="Times New Roman" w:hAnsi="Times New Roman" w:cs="Times New Roman"/>
                <w:color w:val="000000"/>
                <w:sz w:val="20"/>
                <w:szCs w:val="20"/>
              </w:rPr>
              <w:t xml:space="preserve"> from Han and other ethnic Chinese minorities (aged 60 and above, </w:t>
            </w:r>
            <w:r w:rsidR="0029152C">
              <w:rPr>
                <w:rFonts w:ascii="Times New Roman" w:eastAsia="Times New Roman" w:hAnsi="Times New Roman" w:cs="Times New Roman"/>
                <w:color w:val="000000"/>
                <w:sz w:val="20"/>
                <w:szCs w:val="20"/>
              </w:rPr>
              <w:t>50%</w:t>
            </w:r>
            <w:r w:rsidRPr="002F15A9">
              <w:rPr>
                <w:rFonts w:ascii="Times New Roman" w:eastAsia="Times New Roman" w:hAnsi="Times New Roman" w:cs="Times New Roman"/>
                <w:color w:val="000000"/>
                <w:sz w:val="20"/>
                <w:szCs w:val="20"/>
              </w:rPr>
              <w:t xml:space="preserve"> males)</w:t>
            </w:r>
          </w:p>
        </w:tc>
        <w:tc>
          <w:tcPr>
            <w:tcW w:w="3510" w:type="dxa"/>
            <w:tcBorders>
              <w:top w:val="nil"/>
              <w:left w:val="nil"/>
              <w:bottom w:val="nil"/>
              <w:right w:val="nil"/>
            </w:tcBorders>
            <w:shd w:val="clear" w:color="auto" w:fill="auto"/>
            <w:hideMark/>
          </w:tcPr>
          <w:p w14:paraId="61FF65C5" w14:textId="0E0B49FC"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Compared with the younger adult survivors, the elderl</w:t>
            </w:r>
            <w:r w:rsidR="00FB10AF">
              <w:rPr>
                <w:rFonts w:ascii="Times New Roman" w:eastAsia="Times New Roman" w:hAnsi="Times New Roman" w:cs="Times New Roman"/>
                <w:sz w:val="20"/>
                <w:szCs w:val="20"/>
              </w:rPr>
              <w:t>ies</w:t>
            </w:r>
            <w:r w:rsidRPr="002F15A9">
              <w:rPr>
                <w:rFonts w:ascii="Times New Roman" w:eastAsia="Times New Roman" w:hAnsi="Times New Roman" w:cs="Times New Roman"/>
                <w:sz w:val="20"/>
                <w:szCs w:val="20"/>
              </w:rPr>
              <w:t xml:space="preserve"> were more likely to have symptoms of PTSD and general psychiatric morbidity. Risk factors, such as being elderly, having been in serious danger, having lost family members, and having felt guilt concerning one's death or injury were significantly associated with developing PTSD; being elderly, having family members or friends seriously injured, and having felt guilt concerning one's death or injury were significantly associated with developing general psychiatric morbidity. Utilization of mental health services is strongly associated with the decreased risk for developing both of the symptoms.</w:t>
            </w:r>
          </w:p>
        </w:tc>
      </w:tr>
      <w:tr w:rsidR="002F15A9" w:rsidRPr="002F15A9" w14:paraId="7E1A272A" w14:textId="77777777" w:rsidTr="000B387E">
        <w:trPr>
          <w:trHeight w:val="283"/>
        </w:trPr>
        <w:tc>
          <w:tcPr>
            <w:tcW w:w="1710" w:type="dxa"/>
            <w:tcBorders>
              <w:top w:val="nil"/>
              <w:left w:val="nil"/>
              <w:bottom w:val="nil"/>
              <w:right w:val="nil"/>
            </w:tcBorders>
            <w:shd w:val="clear" w:color="auto" w:fill="auto"/>
            <w:hideMark/>
          </w:tcPr>
          <w:p w14:paraId="1DF4547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Flaherty, 2011</w:t>
            </w:r>
          </w:p>
        </w:tc>
        <w:tc>
          <w:tcPr>
            <w:tcW w:w="2430" w:type="dxa"/>
            <w:tcBorders>
              <w:top w:val="nil"/>
              <w:left w:val="nil"/>
              <w:bottom w:val="nil"/>
              <w:right w:val="nil"/>
            </w:tcBorders>
            <w:shd w:val="clear" w:color="auto" w:fill="auto"/>
            <w:hideMark/>
          </w:tcPr>
          <w:p w14:paraId="4159BA0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Compare mortality rates among nonagenarians who experienced or did not experience the earthquake and identify risk factors associated with mortality. The hypothesis is that among the very elderly, being exposed to a major stressful event such as an earthquake is a more important risk factor associated with 1-year mortality than </w:t>
            </w:r>
            <w:r w:rsidRPr="002F15A9">
              <w:rPr>
                <w:rFonts w:ascii="Times New Roman" w:eastAsia="Times New Roman" w:hAnsi="Times New Roman" w:cs="Times New Roman"/>
                <w:color w:val="000000"/>
                <w:sz w:val="20"/>
                <w:szCs w:val="20"/>
              </w:rPr>
              <w:lastRenderedPageBreak/>
              <w:t>conventional risk factors such as sociodemographic characteristics, self-rated health, disability, having three or more chronic illnesses, and cognitive impairment.</w:t>
            </w:r>
          </w:p>
        </w:tc>
        <w:tc>
          <w:tcPr>
            <w:tcW w:w="2250" w:type="dxa"/>
            <w:tcBorders>
              <w:top w:val="nil"/>
              <w:left w:val="nil"/>
              <w:bottom w:val="nil"/>
              <w:right w:val="nil"/>
            </w:tcBorders>
            <w:shd w:val="clear" w:color="auto" w:fill="auto"/>
            <w:hideMark/>
          </w:tcPr>
          <w:p w14:paraId="2A42024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cohort study (the Project of Longevity and Aging in Dujiangyan)</w:t>
            </w:r>
          </w:p>
        </w:tc>
        <w:tc>
          <w:tcPr>
            <w:tcW w:w="1800" w:type="dxa"/>
            <w:tcBorders>
              <w:top w:val="nil"/>
              <w:left w:val="nil"/>
              <w:bottom w:val="nil"/>
              <w:right w:val="nil"/>
            </w:tcBorders>
            <w:shd w:val="clear" w:color="auto" w:fill="auto"/>
            <w:hideMark/>
          </w:tcPr>
          <w:p w14:paraId="415EE51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Dujiangyan, 2005 - 2009 (Wenchuan Earthquake, 2008)</w:t>
            </w:r>
          </w:p>
        </w:tc>
        <w:tc>
          <w:tcPr>
            <w:tcW w:w="1980" w:type="dxa"/>
            <w:tcBorders>
              <w:top w:val="nil"/>
              <w:left w:val="nil"/>
              <w:bottom w:val="nil"/>
              <w:right w:val="nil"/>
            </w:tcBorders>
            <w:shd w:val="clear" w:color="auto" w:fill="auto"/>
            <w:hideMark/>
          </w:tcPr>
          <w:p w14:paraId="7087882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463 Chinese elderly (aged 93-95 (Nonagenarians), 33% males)</w:t>
            </w:r>
          </w:p>
        </w:tc>
        <w:tc>
          <w:tcPr>
            <w:tcW w:w="3510" w:type="dxa"/>
            <w:tcBorders>
              <w:top w:val="nil"/>
              <w:left w:val="nil"/>
              <w:bottom w:val="nil"/>
              <w:right w:val="nil"/>
            </w:tcBorders>
            <w:shd w:val="clear" w:color="auto" w:fill="auto"/>
            <w:hideMark/>
          </w:tcPr>
          <w:p w14:paraId="1A7E65F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1-year mortality rates were 8.3% in the pre-earthquake group and 16.2% in the post-earthquake group. Being in the post-earthquake group was the strongest risk factor for mortality. Other significant risk factors included impaired cognition, serum albumin, and serum triglycerides.</w:t>
            </w:r>
          </w:p>
        </w:tc>
      </w:tr>
      <w:tr w:rsidR="002F15A9" w:rsidRPr="002F15A9" w14:paraId="7F69494F" w14:textId="77777777" w:rsidTr="000B387E">
        <w:trPr>
          <w:trHeight w:val="283"/>
        </w:trPr>
        <w:tc>
          <w:tcPr>
            <w:tcW w:w="1710" w:type="dxa"/>
            <w:tcBorders>
              <w:top w:val="nil"/>
              <w:left w:val="nil"/>
              <w:bottom w:val="nil"/>
              <w:right w:val="nil"/>
            </w:tcBorders>
            <w:shd w:val="clear" w:color="auto" w:fill="auto"/>
            <w:hideMark/>
          </w:tcPr>
          <w:p w14:paraId="4C5D7B2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Zhen Zhang, 2011</w:t>
            </w:r>
          </w:p>
        </w:tc>
        <w:tc>
          <w:tcPr>
            <w:tcW w:w="2430" w:type="dxa"/>
            <w:tcBorders>
              <w:top w:val="nil"/>
              <w:left w:val="nil"/>
              <w:bottom w:val="nil"/>
              <w:right w:val="nil"/>
            </w:tcBorders>
            <w:shd w:val="clear" w:color="auto" w:fill="auto"/>
            <w:hideMark/>
          </w:tcPr>
          <w:p w14:paraId="394B768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Estimate the prevalence rates of probable PTSD, anxiety, and depression as common post‐disaster mental disorders among the elderly survivors and identify related risk factors for these psychological disorders, such as exposure to earthquake trauma and demographic variables.</w:t>
            </w:r>
          </w:p>
        </w:tc>
        <w:tc>
          <w:tcPr>
            <w:tcW w:w="2250" w:type="dxa"/>
            <w:tcBorders>
              <w:top w:val="nil"/>
              <w:left w:val="nil"/>
              <w:bottom w:val="nil"/>
              <w:right w:val="nil"/>
            </w:tcBorders>
            <w:shd w:val="clear" w:color="auto" w:fill="auto"/>
            <w:hideMark/>
          </w:tcPr>
          <w:p w14:paraId="1F0F7C6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entire frame??</w:t>
            </w:r>
          </w:p>
        </w:tc>
        <w:tc>
          <w:tcPr>
            <w:tcW w:w="1800" w:type="dxa"/>
            <w:tcBorders>
              <w:top w:val="nil"/>
              <w:left w:val="nil"/>
              <w:bottom w:val="nil"/>
              <w:right w:val="nil"/>
            </w:tcBorders>
            <w:shd w:val="clear" w:color="auto" w:fill="auto"/>
            <w:hideMark/>
          </w:tcPr>
          <w:p w14:paraId="30234C7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temporary settlements, June-July 2009 (Wenchuan earthquake, 2008)</w:t>
            </w:r>
          </w:p>
        </w:tc>
        <w:tc>
          <w:tcPr>
            <w:tcW w:w="1980" w:type="dxa"/>
            <w:tcBorders>
              <w:top w:val="nil"/>
              <w:left w:val="nil"/>
              <w:bottom w:val="nil"/>
              <w:right w:val="nil"/>
            </w:tcBorders>
            <w:shd w:val="clear" w:color="auto" w:fill="auto"/>
            <w:hideMark/>
          </w:tcPr>
          <w:p w14:paraId="55391FA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274 internally displaced Chinese elderly (aged 60 and above, 38% males)</w:t>
            </w:r>
          </w:p>
        </w:tc>
        <w:tc>
          <w:tcPr>
            <w:tcW w:w="3510" w:type="dxa"/>
            <w:tcBorders>
              <w:top w:val="nil"/>
              <w:left w:val="nil"/>
              <w:bottom w:val="nil"/>
              <w:right w:val="nil"/>
            </w:tcBorders>
            <w:shd w:val="clear" w:color="auto" w:fill="auto"/>
            <w:hideMark/>
          </w:tcPr>
          <w:p w14:paraId="0B816E1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Factors associated with earthquake‐exposure intensity, including loss of livelihood, bereavement, injury, and initial fear, were significant risk factors for mental disorders. Women had a higher risk of probable anxiety.</w:t>
            </w:r>
          </w:p>
        </w:tc>
      </w:tr>
      <w:tr w:rsidR="002F15A9" w:rsidRPr="002F15A9" w14:paraId="073D37DB" w14:textId="77777777" w:rsidTr="000B387E">
        <w:trPr>
          <w:trHeight w:val="283"/>
        </w:trPr>
        <w:tc>
          <w:tcPr>
            <w:tcW w:w="1710" w:type="dxa"/>
            <w:tcBorders>
              <w:top w:val="nil"/>
              <w:left w:val="nil"/>
              <w:bottom w:val="nil"/>
              <w:right w:val="nil"/>
            </w:tcBorders>
            <w:shd w:val="clear" w:color="auto" w:fill="auto"/>
            <w:hideMark/>
          </w:tcPr>
          <w:p w14:paraId="052E5D8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 2011</w:t>
            </w:r>
          </w:p>
        </w:tc>
        <w:tc>
          <w:tcPr>
            <w:tcW w:w="2430" w:type="dxa"/>
            <w:tcBorders>
              <w:top w:val="nil"/>
              <w:left w:val="nil"/>
              <w:bottom w:val="nil"/>
              <w:right w:val="nil"/>
            </w:tcBorders>
            <w:shd w:val="clear" w:color="auto" w:fill="auto"/>
            <w:hideMark/>
          </w:tcPr>
          <w:p w14:paraId="5EC7BBD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the impact of an earthquake as well as the role of sense of community as a protective factor against depressive symptoms among older Chinese adults who survived an 8.0 magnitude earthquake in 2008.</w:t>
            </w:r>
          </w:p>
        </w:tc>
        <w:tc>
          <w:tcPr>
            <w:tcW w:w="2250" w:type="dxa"/>
            <w:tcBorders>
              <w:top w:val="nil"/>
              <w:left w:val="nil"/>
              <w:bottom w:val="nil"/>
              <w:right w:val="nil"/>
            </w:tcBorders>
            <w:shd w:val="clear" w:color="auto" w:fill="auto"/>
            <w:hideMark/>
          </w:tcPr>
          <w:p w14:paraId="2F7D39B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sampling</w:t>
            </w:r>
          </w:p>
        </w:tc>
        <w:tc>
          <w:tcPr>
            <w:tcW w:w="1800" w:type="dxa"/>
            <w:tcBorders>
              <w:top w:val="nil"/>
              <w:left w:val="nil"/>
              <w:bottom w:val="nil"/>
              <w:right w:val="nil"/>
            </w:tcBorders>
            <w:shd w:val="clear" w:color="auto" w:fill="auto"/>
            <w:hideMark/>
          </w:tcPr>
          <w:p w14:paraId="721BCD7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one of the largest transitional shelters in Sichuan, 2008 (Wenchuan Earthquake, 2008)</w:t>
            </w:r>
          </w:p>
        </w:tc>
        <w:tc>
          <w:tcPr>
            <w:tcW w:w="1980" w:type="dxa"/>
            <w:tcBorders>
              <w:top w:val="nil"/>
              <w:left w:val="nil"/>
              <w:bottom w:val="nil"/>
              <w:right w:val="nil"/>
            </w:tcBorders>
            <w:shd w:val="clear" w:color="auto" w:fill="auto"/>
            <w:hideMark/>
          </w:tcPr>
          <w:p w14:paraId="2FA6199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298 Chinese elderly (aged 55 and above, 44% males)</w:t>
            </w:r>
          </w:p>
        </w:tc>
        <w:tc>
          <w:tcPr>
            <w:tcW w:w="3510" w:type="dxa"/>
            <w:tcBorders>
              <w:top w:val="nil"/>
              <w:left w:val="nil"/>
              <w:bottom w:val="nil"/>
              <w:right w:val="nil"/>
            </w:tcBorders>
            <w:shd w:val="clear" w:color="auto" w:fill="auto"/>
            <w:hideMark/>
          </w:tcPr>
          <w:p w14:paraId="1231455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Earthquake-associated distress had a direct effect on depression. Sense of community played a protective role.</w:t>
            </w:r>
          </w:p>
        </w:tc>
      </w:tr>
      <w:tr w:rsidR="002F15A9" w:rsidRPr="002F15A9" w14:paraId="0A55394F" w14:textId="77777777" w:rsidTr="000B387E">
        <w:trPr>
          <w:trHeight w:val="283"/>
        </w:trPr>
        <w:tc>
          <w:tcPr>
            <w:tcW w:w="1710" w:type="dxa"/>
            <w:tcBorders>
              <w:top w:val="nil"/>
              <w:left w:val="nil"/>
              <w:bottom w:val="nil"/>
              <w:right w:val="nil"/>
            </w:tcBorders>
            <w:shd w:val="clear" w:color="auto" w:fill="auto"/>
            <w:hideMark/>
          </w:tcPr>
          <w:p w14:paraId="5294709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Ardalan, 2011</w:t>
            </w:r>
          </w:p>
        </w:tc>
        <w:tc>
          <w:tcPr>
            <w:tcW w:w="2430" w:type="dxa"/>
            <w:tcBorders>
              <w:top w:val="nil"/>
              <w:left w:val="nil"/>
              <w:bottom w:val="nil"/>
              <w:right w:val="nil"/>
            </w:tcBorders>
            <w:shd w:val="clear" w:color="auto" w:fill="auto"/>
            <w:hideMark/>
          </w:tcPr>
          <w:p w14:paraId="23B0859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Compare self-reported Activities of Daily Living (ADL) and Instrumental Activities of Daily Living (IADL) status among elderly survivors of the 2003 Bam Earthquake </w:t>
            </w:r>
            <w:r w:rsidRPr="002F15A9">
              <w:rPr>
                <w:rFonts w:ascii="Times New Roman" w:eastAsia="Times New Roman" w:hAnsi="Times New Roman" w:cs="Times New Roman"/>
                <w:color w:val="000000"/>
                <w:sz w:val="20"/>
                <w:szCs w:val="20"/>
              </w:rPr>
              <w:lastRenderedPageBreak/>
              <w:t>before, two months after, and five years after the event and explore related determinants.</w:t>
            </w:r>
          </w:p>
        </w:tc>
        <w:tc>
          <w:tcPr>
            <w:tcW w:w="2250" w:type="dxa"/>
            <w:tcBorders>
              <w:top w:val="nil"/>
              <w:left w:val="nil"/>
              <w:bottom w:val="nil"/>
              <w:right w:val="nil"/>
            </w:tcBorders>
            <w:shd w:val="clear" w:color="auto" w:fill="auto"/>
            <w:hideMark/>
          </w:tcPr>
          <w:p w14:paraId="46018377" w14:textId="05DEF58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Quantitative cross-sectional design (inferred as </w:t>
            </w:r>
            <w:r w:rsidR="00FB10AF" w:rsidRPr="002F15A9">
              <w:rPr>
                <w:rFonts w:ascii="Times New Roman" w:eastAsia="Times New Roman" w:hAnsi="Times New Roman" w:cs="Times New Roman"/>
                <w:color w:val="000000"/>
                <w:sz w:val="20"/>
                <w:szCs w:val="20"/>
              </w:rPr>
              <w:t>longitudinal) using</w:t>
            </w:r>
            <w:r w:rsidRPr="002F15A9">
              <w:rPr>
                <w:rFonts w:ascii="Times New Roman" w:eastAsia="Times New Roman" w:hAnsi="Times New Roman" w:cs="Times New Roman"/>
                <w:color w:val="000000"/>
                <w:sz w:val="20"/>
                <w:szCs w:val="20"/>
              </w:rPr>
              <w:t xml:space="preserve"> multi-stage cluster systematic random sampling</w:t>
            </w:r>
          </w:p>
        </w:tc>
        <w:tc>
          <w:tcPr>
            <w:tcW w:w="1800" w:type="dxa"/>
            <w:tcBorders>
              <w:top w:val="nil"/>
              <w:left w:val="nil"/>
              <w:bottom w:val="nil"/>
              <w:right w:val="nil"/>
            </w:tcBorders>
            <w:shd w:val="clear" w:color="auto" w:fill="auto"/>
            <w:hideMark/>
          </w:tcPr>
          <w:p w14:paraId="431D3A0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Iran, Bam, 2003-2008 (Bam Earthquake, 2003)</w:t>
            </w:r>
          </w:p>
        </w:tc>
        <w:tc>
          <w:tcPr>
            <w:tcW w:w="1980" w:type="dxa"/>
            <w:tcBorders>
              <w:top w:val="nil"/>
              <w:left w:val="nil"/>
              <w:bottom w:val="nil"/>
              <w:right w:val="nil"/>
            </w:tcBorders>
            <w:shd w:val="clear" w:color="auto" w:fill="auto"/>
            <w:hideMark/>
          </w:tcPr>
          <w:p w14:paraId="5347270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210 Iranian elderly (aged 60 and above, 49% males)</w:t>
            </w:r>
          </w:p>
        </w:tc>
        <w:tc>
          <w:tcPr>
            <w:tcW w:w="3510" w:type="dxa"/>
            <w:tcBorders>
              <w:top w:val="nil"/>
              <w:left w:val="nil"/>
              <w:bottom w:val="nil"/>
              <w:right w:val="nil"/>
            </w:tcBorders>
            <w:shd w:val="clear" w:color="auto" w:fill="auto"/>
            <w:hideMark/>
          </w:tcPr>
          <w:p w14:paraId="6BB1429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ADL and IADL scores decreased two months after the earthquake but showed no significant difference between two months and five years after. Access to medical services was not significantly related to ADL or IADL scores.</w:t>
            </w:r>
          </w:p>
        </w:tc>
      </w:tr>
      <w:tr w:rsidR="002F15A9" w:rsidRPr="002F15A9" w14:paraId="240CF788" w14:textId="77777777" w:rsidTr="000B387E">
        <w:trPr>
          <w:trHeight w:val="283"/>
        </w:trPr>
        <w:tc>
          <w:tcPr>
            <w:tcW w:w="1710" w:type="dxa"/>
            <w:tcBorders>
              <w:top w:val="nil"/>
              <w:left w:val="nil"/>
              <w:bottom w:val="nil"/>
              <w:right w:val="nil"/>
            </w:tcBorders>
            <w:shd w:val="clear" w:color="auto" w:fill="auto"/>
            <w:hideMark/>
          </w:tcPr>
          <w:p w14:paraId="45A5B91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Chen, 2012</w:t>
            </w:r>
          </w:p>
        </w:tc>
        <w:tc>
          <w:tcPr>
            <w:tcW w:w="2430" w:type="dxa"/>
            <w:tcBorders>
              <w:top w:val="nil"/>
              <w:left w:val="nil"/>
              <w:bottom w:val="nil"/>
              <w:right w:val="nil"/>
            </w:tcBorders>
            <w:shd w:val="clear" w:color="auto" w:fill="auto"/>
            <w:hideMark/>
          </w:tcPr>
          <w:p w14:paraId="01BA013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the prevalence of PTSD and associated risk factors among elderly Qiang citizens 3 years after the Wenchuan earthquake.</w:t>
            </w:r>
          </w:p>
        </w:tc>
        <w:tc>
          <w:tcPr>
            <w:tcW w:w="2250" w:type="dxa"/>
            <w:tcBorders>
              <w:top w:val="nil"/>
              <w:left w:val="nil"/>
              <w:bottom w:val="nil"/>
              <w:right w:val="nil"/>
            </w:tcBorders>
            <w:shd w:val="clear" w:color="auto" w:fill="auto"/>
            <w:hideMark/>
          </w:tcPr>
          <w:p w14:paraId="57CD89B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random sampling</w:t>
            </w:r>
          </w:p>
        </w:tc>
        <w:tc>
          <w:tcPr>
            <w:tcW w:w="1800" w:type="dxa"/>
            <w:tcBorders>
              <w:top w:val="nil"/>
              <w:left w:val="nil"/>
              <w:bottom w:val="nil"/>
              <w:right w:val="nil"/>
            </w:tcBorders>
            <w:shd w:val="clear" w:color="auto" w:fill="auto"/>
            <w:hideMark/>
          </w:tcPr>
          <w:p w14:paraId="032969E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Beichuan County, 2011 (Wenchuan Earthquake, 2008)</w:t>
            </w:r>
          </w:p>
        </w:tc>
        <w:tc>
          <w:tcPr>
            <w:tcW w:w="1980" w:type="dxa"/>
            <w:tcBorders>
              <w:top w:val="nil"/>
              <w:left w:val="nil"/>
              <w:bottom w:val="nil"/>
              <w:right w:val="nil"/>
            </w:tcBorders>
            <w:shd w:val="clear" w:color="auto" w:fill="auto"/>
            <w:hideMark/>
          </w:tcPr>
          <w:p w14:paraId="66CFCE4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287 Chinese elderly from the Qiang ethnic minority group in villages and temporary settlements (aged 60 and above, 36% males)</w:t>
            </w:r>
          </w:p>
        </w:tc>
        <w:tc>
          <w:tcPr>
            <w:tcW w:w="3510" w:type="dxa"/>
            <w:tcBorders>
              <w:top w:val="nil"/>
              <w:left w:val="nil"/>
              <w:bottom w:val="nil"/>
              <w:right w:val="nil"/>
            </w:tcBorders>
            <w:shd w:val="clear" w:color="auto" w:fill="auto"/>
            <w:hideMark/>
          </w:tcPr>
          <w:p w14:paraId="4D28749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PTSD prevalence: 22.65%. Risk factors included female gender, widowed status, low education, low monthly income, bodily injury, bereavement, and low social support.</w:t>
            </w:r>
          </w:p>
        </w:tc>
      </w:tr>
      <w:tr w:rsidR="002F15A9" w:rsidRPr="002F15A9" w14:paraId="386B2091" w14:textId="77777777" w:rsidTr="000B387E">
        <w:trPr>
          <w:trHeight w:val="283"/>
        </w:trPr>
        <w:tc>
          <w:tcPr>
            <w:tcW w:w="1710" w:type="dxa"/>
            <w:tcBorders>
              <w:top w:val="nil"/>
              <w:left w:val="nil"/>
              <w:bottom w:val="nil"/>
              <w:right w:val="nil"/>
            </w:tcBorders>
            <w:shd w:val="clear" w:color="auto" w:fill="auto"/>
            <w:hideMark/>
          </w:tcPr>
          <w:p w14:paraId="2080E4DD" w14:textId="12B81394"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Wang, 2012</w:t>
            </w:r>
          </w:p>
        </w:tc>
        <w:tc>
          <w:tcPr>
            <w:tcW w:w="2430" w:type="dxa"/>
            <w:tcBorders>
              <w:top w:val="nil"/>
              <w:left w:val="nil"/>
              <w:bottom w:val="nil"/>
              <w:right w:val="nil"/>
            </w:tcBorders>
            <w:shd w:val="clear" w:color="auto" w:fill="auto"/>
            <w:hideMark/>
          </w:tcPr>
          <w:p w14:paraId="0BD8BE9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changes in measures of mental health among elderly Buddhists after the Wenchuan earthquake in China.</w:t>
            </w:r>
          </w:p>
        </w:tc>
        <w:tc>
          <w:tcPr>
            <w:tcW w:w="2250" w:type="dxa"/>
            <w:tcBorders>
              <w:top w:val="nil"/>
              <w:left w:val="nil"/>
              <w:bottom w:val="nil"/>
              <w:right w:val="nil"/>
            </w:tcBorders>
            <w:shd w:val="clear" w:color="auto" w:fill="auto"/>
            <w:hideMark/>
          </w:tcPr>
          <w:p w14:paraId="151370B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repeated cross-sectional design (inferred)</w:t>
            </w:r>
          </w:p>
        </w:tc>
        <w:tc>
          <w:tcPr>
            <w:tcW w:w="1800" w:type="dxa"/>
            <w:tcBorders>
              <w:top w:val="nil"/>
              <w:left w:val="nil"/>
              <w:bottom w:val="nil"/>
              <w:right w:val="nil"/>
            </w:tcBorders>
            <w:shd w:val="clear" w:color="auto" w:fill="auto"/>
            <w:hideMark/>
          </w:tcPr>
          <w:p w14:paraId="25D793C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Beichuan and Mianyang, 2008-2009 (Wenchuan Earthquake, 2008)</w:t>
            </w:r>
          </w:p>
        </w:tc>
        <w:tc>
          <w:tcPr>
            <w:tcW w:w="1980" w:type="dxa"/>
            <w:tcBorders>
              <w:top w:val="nil"/>
              <w:left w:val="nil"/>
              <w:bottom w:val="nil"/>
              <w:right w:val="nil"/>
            </w:tcBorders>
            <w:shd w:val="clear" w:color="auto" w:fill="auto"/>
            <w:hideMark/>
          </w:tcPr>
          <w:p w14:paraId="5A4D8386" w14:textId="3723532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1115 Chinese </w:t>
            </w:r>
            <w:r w:rsidR="00FB10AF" w:rsidRPr="002F15A9">
              <w:rPr>
                <w:rFonts w:ascii="Times New Roman" w:eastAsia="Times New Roman" w:hAnsi="Times New Roman" w:cs="Times New Roman"/>
                <w:color w:val="000000"/>
                <w:sz w:val="20"/>
                <w:szCs w:val="20"/>
              </w:rPr>
              <w:t>elderl</w:t>
            </w:r>
            <w:r w:rsidR="00FB10AF">
              <w:rPr>
                <w:rFonts w:ascii="Times New Roman" w:eastAsia="Times New Roman" w:hAnsi="Times New Roman" w:cs="Times New Roman"/>
                <w:color w:val="000000"/>
                <w:sz w:val="20"/>
                <w:szCs w:val="20"/>
              </w:rPr>
              <w:t>ies</w:t>
            </w:r>
            <w:r w:rsidR="00FB10AF" w:rsidRPr="002F15A9">
              <w:rPr>
                <w:rFonts w:ascii="Times New Roman" w:eastAsia="Times New Roman" w:hAnsi="Times New Roman" w:cs="Times New Roman"/>
                <w:color w:val="000000"/>
                <w:sz w:val="20"/>
                <w:szCs w:val="20"/>
              </w:rPr>
              <w:t xml:space="preserve"> (</w:t>
            </w:r>
            <w:r w:rsidRPr="002F15A9">
              <w:rPr>
                <w:rFonts w:ascii="Times New Roman" w:eastAsia="Times New Roman" w:hAnsi="Times New Roman" w:cs="Times New Roman"/>
                <w:color w:val="000000"/>
                <w:sz w:val="20"/>
                <w:szCs w:val="20"/>
              </w:rPr>
              <w:t>aged 55 and above, 12% males)</w:t>
            </w:r>
          </w:p>
        </w:tc>
        <w:tc>
          <w:tcPr>
            <w:tcW w:w="3510" w:type="dxa"/>
            <w:tcBorders>
              <w:top w:val="nil"/>
              <w:left w:val="nil"/>
              <w:bottom w:val="nil"/>
              <w:right w:val="nil"/>
            </w:tcBorders>
            <w:shd w:val="clear" w:color="auto" w:fill="auto"/>
            <w:hideMark/>
          </w:tcPr>
          <w:p w14:paraId="6ABB8F0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Mental health scores of older Buddhists in severely damaged areas significantly lower than non-religious participants. Scores improved 10 months after the earthquake. Religious faith helped Buddhists recover from trauma. Lower mental health scores suggested deeper impact on those with religious sensitivities but resilience in facing trauma.</w:t>
            </w:r>
          </w:p>
        </w:tc>
      </w:tr>
      <w:tr w:rsidR="002F15A9" w:rsidRPr="002F15A9" w14:paraId="381DB833" w14:textId="77777777" w:rsidTr="000B387E">
        <w:trPr>
          <w:trHeight w:val="283"/>
        </w:trPr>
        <w:tc>
          <w:tcPr>
            <w:tcW w:w="1710" w:type="dxa"/>
            <w:tcBorders>
              <w:top w:val="nil"/>
              <w:left w:val="nil"/>
              <w:bottom w:val="nil"/>
              <w:right w:val="nil"/>
            </w:tcBorders>
            <w:shd w:val="clear" w:color="auto" w:fill="auto"/>
            <w:hideMark/>
          </w:tcPr>
          <w:p w14:paraId="00CD1B6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Wang, 2012</w:t>
            </w:r>
          </w:p>
        </w:tc>
        <w:tc>
          <w:tcPr>
            <w:tcW w:w="2430" w:type="dxa"/>
            <w:tcBorders>
              <w:top w:val="nil"/>
              <w:left w:val="nil"/>
              <w:bottom w:val="nil"/>
              <w:right w:val="nil"/>
            </w:tcBorders>
            <w:shd w:val="clear" w:color="auto" w:fill="auto"/>
            <w:hideMark/>
          </w:tcPr>
          <w:p w14:paraId="57A188F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changes in the mental health status of aging survivors over time and evaluate mental health in a multi-faceted manner.</w:t>
            </w:r>
          </w:p>
        </w:tc>
        <w:tc>
          <w:tcPr>
            <w:tcW w:w="2250" w:type="dxa"/>
            <w:tcBorders>
              <w:top w:val="nil"/>
              <w:left w:val="nil"/>
              <w:bottom w:val="nil"/>
              <w:right w:val="nil"/>
            </w:tcBorders>
            <w:shd w:val="clear" w:color="auto" w:fill="auto"/>
            <w:hideMark/>
          </w:tcPr>
          <w:p w14:paraId="6B0FAB2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longitudinal design</w:t>
            </w:r>
          </w:p>
        </w:tc>
        <w:tc>
          <w:tcPr>
            <w:tcW w:w="1800" w:type="dxa"/>
            <w:tcBorders>
              <w:top w:val="nil"/>
              <w:left w:val="nil"/>
              <w:bottom w:val="nil"/>
              <w:right w:val="nil"/>
            </w:tcBorders>
            <w:shd w:val="clear" w:color="auto" w:fill="auto"/>
            <w:hideMark/>
          </w:tcPr>
          <w:p w14:paraId="532579B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shelter communities northwest of Mianyang city, 2008-2010 (Wenchuan Earthquake, 2008)</w:t>
            </w:r>
          </w:p>
        </w:tc>
        <w:tc>
          <w:tcPr>
            <w:tcW w:w="1980" w:type="dxa"/>
            <w:tcBorders>
              <w:top w:val="nil"/>
              <w:left w:val="nil"/>
              <w:bottom w:val="nil"/>
              <w:right w:val="nil"/>
            </w:tcBorders>
            <w:shd w:val="clear" w:color="auto" w:fill="auto"/>
            <w:hideMark/>
          </w:tcPr>
          <w:p w14:paraId="5FBB4236" w14:textId="3C372DD4"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232 </w:t>
            </w:r>
            <w:r w:rsidR="00FB10AF" w:rsidRPr="002F15A9">
              <w:rPr>
                <w:rFonts w:ascii="Times New Roman" w:eastAsia="Times New Roman" w:hAnsi="Times New Roman" w:cs="Times New Roman"/>
                <w:color w:val="000000"/>
                <w:sz w:val="20"/>
                <w:szCs w:val="20"/>
              </w:rPr>
              <w:t>displaced</w:t>
            </w:r>
            <w:r w:rsidRPr="002F15A9">
              <w:rPr>
                <w:rFonts w:ascii="Times New Roman" w:eastAsia="Times New Roman" w:hAnsi="Times New Roman" w:cs="Times New Roman"/>
                <w:color w:val="000000"/>
                <w:sz w:val="20"/>
                <w:szCs w:val="20"/>
              </w:rPr>
              <w:t xml:space="preserve"> Chinese elderly (aged 55 and above, 46% males)</w:t>
            </w:r>
          </w:p>
        </w:tc>
        <w:tc>
          <w:tcPr>
            <w:tcW w:w="3510" w:type="dxa"/>
            <w:tcBorders>
              <w:top w:val="nil"/>
              <w:left w:val="nil"/>
              <w:bottom w:val="nil"/>
              <w:right w:val="nil"/>
            </w:tcBorders>
            <w:shd w:val="clear" w:color="auto" w:fill="auto"/>
            <w:hideMark/>
          </w:tcPr>
          <w:p w14:paraId="2DE7FE9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follow-up group had a significantly lower IES-R score and lower MHIE score than the initial group ten months after the earthquake.</w:t>
            </w:r>
          </w:p>
        </w:tc>
      </w:tr>
      <w:tr w:rsidR="002F15A9" w:rsidRPr="002F15A9" w14:paraId="46C67774" w14:textId="77777777" w:rsidTr="000B387E">
        <w:trPr>
          <w:trHeight w:val="283"/>
        </w:trPr>
        <w:tc>
          <w:tcPr>
            <w:tcW w:w="1710" w:type="dxa"/>
            <w:tcBorders>
              <w:top w:val="nil"/>
              <w:left w:val="nil"/>
              <w:bottom w:val="nil"/>
              <w:right w:val="nil"/>
            </w:tcBorders>
            <w:shd w:val="clear" w:color="auto" w:fill="auto"/>
            <w:hideMark/>
          </w:tcPr>
          <w:p w14:paraId="673046D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Viswanath, 2012</w:t>
            </w:r>
          </w:p>
        </w:tc>
        <w:tc>
          <w:tcPr>
            <w:tcW w:w="2430" w:type="dxa"/>
            <w:tcBorders>
              <w:top w:val="nil"/>
              <w:left w:val="nil"/>
              <w:bottom w:val="nil"/>
              <w:right w:val="nil"/>
            </w:tcBorders>
            <w:shd w:val="clear" w:color="auto" w:fill="auto"/>
            <w:hideMark/>
          </w:tcPr>
          <w:p w14:paraId="421B209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Compare the psychiatric morbidity in geriatric versus nongeriatric (NG) adults during the initial 3 months following the </w:t>
            </w:r>
            <w:r w:rsidRPr="002F15A9">
              <w:rPr>
                <w:rFonts w:ascii="Times New Roman" w:eastAsia="Times New Roman" w:hAnsi="Times New Roman" w:cs="Times New Roman"/>
                <w:color w:val="000000"/>
                <w:sz w:val="20"/>
                <w:szCs w:val="20"/>
              </w:rPr>
              <w:lastRenderedPageBreak/>
              <w:t>December 2004 tsunami involving the Andaman and Nicobar Islands, India.</w:t>
            </w:r>
          </w:p>
        </w:tc>
        <w:tc>
          <w:tcPr>
            <w:tcW w:w="2250" w:type="dxa"/>
            <w:tcBorders>
              <w:top w:val="nil"/>
              <w:left w:val="nil"/>
              <w:bottom w:val="nil"/>
              <w:right w:val="nil"/>
            </w:tcBorders>
            <w:shd w:val="clear" w:color="auto" w:fill="auto"/>
            <w:hideMark/>
          </w:tcPr>
          <w:p w14:paraId="25BE2350" w14:textId="7B09CF21"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Primary quantitative cross-sectional design </w:t>
            </w:r>
            <w:r w:rsidR="00FB10AF" w:rsidRPr="002F15A9">
              <w:rPr>
                <w:rFonts w:ascii="Times New Roman" w:eastAsia="Times New Roman" w:hAnsi="Times New Roman" w:cs="Times New Roman"/>
                <w:color w:val="000000"/>
                <w:sz w:val="20"/>
                <w:szCs w:val="20"/>
              </w:rPr>
              <w:t>using snowball</w:t>
            </w:r>
            <w:r w:rsidRPr="002F15A9">
              <w:rPr>
                <w:rFonts w:ascii="Times New Roman" w:eastAsia="Times New Roman" w:hAnsi="Times New Roman" w:cs="Times New Roman"/>
                <w:color w:val="000000"/>
                <w:sz w:val="20"/>
                <w:szCs w:val="20"/>
              </w:rPr>
              <w:t xml:space="preserve"> sampli</w:t>
            </w:r>
            <w:r w:rsidR="00FB10AF">
              <w:rPr>
                <w:rFonts w:ascii="Times New Roman" w:eastAsia="Times New Roman" w:hAnsi="Times New Roman" w:cs="Times New Roman"/>
                <w:color w:val="000000"/>
                <w:sz w:val="20"/>
                <w:szCs w:val="20"/>
              </w:rPr>
              <w:t>ng</w:t>
            </w:r>
          </w:p>
        </w:tc>
        <w:tc>
          <w:tcPr>
            <w:tcW w:w="1800" w:type="dxa"/>
            <w:tcBorders>
              <w:top w:val="nil"/>
              <w:left w:val="nil"/>
              <w:bottom w:val="nil"/>
              <w:right w:val="nil"/>
            </w:tcBorders>
            <w:shd w:val="clear" w:color="auto" w:fill="auto"/>
            <w:hideMark/>
          </w:tcPr>
          <w:p w14:paraId="0A5D8178" w14:textId="2C385FFD"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India, 74 relief camps at Port Blair in Andaman and Car </w:t>
            </w:r>
            <w:r w:rsidR="00FB10AF" w:rsidRPr="002F15A9">
              <w:rPr>
                <w:rFonts w:ascii="Times New Roman" w:eastAsia="Times New Roman" w:hAnsi="Times New Roman" w:cs="Times New Roman"/>
                <w:color w:val="000000"/>
                <w:sz w:val="20"/>
                <w:szCs w:val="20"/>
              </w:rPr>
              <w:t>Nicobar</w:t>
            </w:r>
            <w:r w:rsidR="00FB10AF">
              <w:rPr>
                <w:rFonts w:ascii="Times New Roman" w:eastAsia="Times New Roman" w:hAnsi="Times New Roman" w:cs="Times New Roman"/>
                <w:color w:val="000000"/>
                <w:sz w:val="20"/>
                <w:szCs w:val="20"/>
              </w:rPr>
              <w:t xml:space="preserve"> </w:t>
            </w:r>
            <w:r w:rsidR="00FB10AF" w:rsidRPr="002F15A9">
              <w:rPr>
                <w:rFonts w:ascii="Times New Roman" w:eastAsia="Times New Roman" w:hAnsi="Times New Roman" w:cs="Times New Roman"/>
                <w:color w:val="000000"/>
                <w:sz w:val="20"/>
                <w:szCs w:val="20"/>
              </w:rPr>
              <w:t>Islands</w:t>
            </w:r>
            <w:r w:rsidRPr="002F15A9">
              <w:rPr>
                <w:rFonts w:ascii="Times New Roman" w:eastAsia="Times New Roman" w:hAnsi="Times New Roman" w:cs="Times New Roman"/>
                <w:color w:val="000000"/>
                <w:sz w:val="20"/>
                <w:szCs w:val="20"/>
              </w:rPr>
              <w:t xml:space="preserve">, 2004 </w:t>
            </w:r>
            <w:r w:rsidRPr="002F15A9">
              <w:rPr>
                <w:rFonts w:ascii="Times New Roman" w:eastAsia="Times New Roman" w:hAnsi="Times New Roman" w:cs="Times New Roman"/>
                <w:color w:val="000000"/>
                <w:sz w:val="20"/>
                <w:szCs w:val="20"/>
              </w:rPr>
              <w:lastRenderedPageBreak/>
              <w:t>(Indian Ocean earthquake and tsunami, 2004)</w:t>
            </w:r>
          </w:p>
        </w:tc>
        <w:tc>
          <w:tcPr>
            <w:tcW w:w="1980" w:type="dxa"/>
            <w:tcBorders>
              <w:top w:val="nil"/>
              <w:left w:val="nil"/>
              <w:bottom w:val="nil"/>
              <w:right w:val="nil"/>
            </w:tcBorders>
            <w:shd w:val="clear" w:color="auto" w:fill="auto"/>
            <w:hideMark/>
          </w:tcPr>
          <w:p w14:paraId="403C7E0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438 displaced participants including 75 Indian elderly (aged 60 and above, 49% males)</w:t>
            </w:r>
          </w:p>
        </w:tc>
        <w:tc>
          <w:tcPr>
            <w:tcW w:w="3510" w:type="dxa"/>
            <w:tcBorders>
              <w:top w:val="nil"/>
              <w:left w:val="nil"/>
              <w:bottom w:val="nil"/>
              <w:right w:val="nil"/>
            </w:tcBorders>
            <w:shd w:val="clear" w:color="auto" w:fill="auto"/>
            <w:hideMark/>
          </w:tcPr>
          <w:p w14:paraId="6BBCD86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geriatric sample had greater levels of adjustment disorder. Displacement preferences and mental health outcomes differed between geriatric and nongeriatric groups.</w:t>
            </w:r>
          </w:p>
        </w:tc>
      </w:tr>
      <w:tr w:rsidR="002F15A9" w:rsidRPr="002F15A9" w14:paraId="57BA8D05" w14:textId="77777777" w:rsidTr="000B387E">
        <w:trPr>
          <w:trHeight w:val="283"/>
        </w:trPr>
        <w:tc>
          <w:tcPr>
            <w:tcW w:w="1710" w:type="dxa"/>
            <w:tcBorders>
              <w:top w:val="nil"/>
              <w:left w:val="nil"/>
              <w:bottom w:val="nil"/>
              <w:right w:val="nil"/>
            </w:tcBorders>
            <w:shd w:val="clear" w:color="auto" w:fill="auto"/>
            <w:hideMark/>
          </w:tcPr>
          <w:p w14:paraId="46E1722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Zhang, 2012</w:t>
            </w:r>
          </w:p>
        </w:tc>
        <w:tc>
          <w:tcPr>
            <w:tcW w:w="2430" w:type="dxa"/>
            <w:tcBorders>
              <w:top w:val="nil"/>
              <w:left w:val="nil"/>
              <w:bottom w:val="nil"/>
              <w:right w:val="nil"/>
            </w:tcBorders>
            <w:shd w:val="clear" w:color="auto" w:fill="auto"/>
            <w:hideMark/>
          </w:tcPr>
          <w:p w14:paraId="51E65522" w14:textId="45D19B10"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Compare clinical features and outcome of crush-related </w:t>
            </w:r>
            <w:r w:rsidR="0052634F">
              <w:rPr>
                <w:rFonts w:ascii="Times New Roman" w:eastAsia="Times New Roman" w:hAnsi="Times New Roman" w:cs="Times New Roman"/>
                <w:color w:val="000000"/>
                <w:sz w:val="20"/>
                <w:szCs w:val="20"/>
              </w:rPr>
              <w:t>acute kidney injury (AKI)</w:t>
            </w:r>
            <w:r w:rsidRPr="002F15A9">
              <w:rPr>
                <w:rFonts w:ascii="Times New Roman" w:eastAsia="Times New Roman" w:hAnsi="Times New Roman" w:cs="Times New Roman"/>
                <w:color w:val="000000"/>
                <w:sz w:val="20"/>
                <w:szCs w:val="20"/>
              </w:rPr>
              <w:t xml:space="preserve"> between elderly and younger adults in the Wenchuan earthquake.</w:t>
            </w:r>
          </w:p>
        </w:tc>
        <w:tc>
          <w:tcPr>
            <w:tcW w:w="2250" w:type="dxa"/>
            <w:tcBorders>
              <w:top w:val="nil"/>
              <w:left w:val="nil"/>
              <w:bottom w:val="nil"/>
              <w:right w:val="nil"/>
            </w:tcBorders>
            <w:shd w:val="clear" w:color="auto" w:fill="auto"/>
            <w:hideMark/>
          </w:tcPr>
          <w:p w14:paraId="0C5CCDF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quantitative cross-sectional design conducting a questionnaire sent to 17 hospitals in which the casualties were accepted and dialysis was available</w:t>
            </w:r>
          </w:p>
        </w:tc>
        <w:tc>
          <w:tcPr>
            <w:tcW w:w="1800" w:type="dxa"/>
            <w:tcBorders>
              <w:top w:val="nil"/>
              <w:left w:val="nil"/>
              <w:bottom w:val="nil"/>
              <w:right w:val="nil"/>
            </w:tcBorders>
            <w:shd w:val="clear" w:color="auto" w:fill="auto"/>
            <w:hideMark/>
          </w:tcPr>
          <w:p w14:paraId="5F55998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2008 (Wenchuan Earthquake, 2008)</w:t>
            </w:r>
          </w:p>
        </w:tc>
        <w:tc>
          <w:tcPr>
            <w:tcW w:w="1980" w:type="dxa"/>
            <w:tcBorders>
              <w:top w:val="nil"/>
              <w:left w:val="nil"/>
              <w:bottom w:val="nil"/>
              <w:right w:val="nil"/>
            </w:tcBorders>
            <w:shd w:val="clear" w:color="auto" w:fill="auto"/>
            <w:hideMark/>
          </w:tcPr>
          <w:p w14:paraId="71EF96F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242 participants including 45 Chinese elderly (aged 65 and above, 18.6% males)</w:t>
            </w:r>
          </w:p>
        </w:tc>
        <w:tc>
          <w:tcPr>
            <w:tcW w:w="3510" w:type="dxa"/>
            <w:tcBorders>
              <w:top w:val="nil"/>
              <w:left w:val="nil"/>
              <w:bottom w:val="nil"/>
              <w:right w:val="nil"/>
            </w:tcBorders>
            <w:shd w:val="clear" w:color="auto" w:fill="auto"/>
            <w:hideMark/>
          </w:tcPr>
          <w:p w14:paraId="0F80B55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Elderly people were more likely to suffer from crush-related acute kidney injury in the earthquake. They had less severe rhabdomyolysis, more thoracic traumas, more fractures, and lower dialysis requirement. Mortality was considerably higher in the elderly with dialysis-requiring acute kidney injury.</w:t>
            </w:r>
          </w:p>
        </w:tc>
      </w:tr>
      <w:tr w:rsidR="002F15A9" w:rsidRPr="002F15A9" w14:paraId="47F80255" w14:textId="77777777" w:rsidTr="000B387E">
        <w:trPr>
          <w:trHeight w:val="283"/>
        </w:trPr>
        <w:tc>
          <w:tcPr>
            <w:tcW w:w="1710" w:type="dxa"/>
            <w:tcBorders>
              <w:top w:val="nil"/>
              <w:left w:val="nil"/>
              <w:bottom w:val="nil"/>
              <w:right w:val="nil"/>
            </w:tcBorders>
            <w:shd w:val="clear" w:color="auto" w:fill="auto"/>
            <w:hideMark/>
          </w:tcPr>
          <w:p w14:paraId="1FE1BC8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Cao, 2014</w:t>
            </w:r>
          </w:p>
        </w:tc>
        <w:tc>
          <w:tcPr>
            <w:tcW w:w="2430" w:type="dxa"/>
            <w:tcBorders>
              <w:top w:val="nil"/>
              <w:left w:val="nil"/>
              <w:bottom w:val="nil"/>
              <w:right w:val="nil"/>
            </w:tcBorders>
            <w:shd w:val="clear" w:color="auto" w:fill="auto"/>
            <w:hideMark/>
          </w:tcPr>
          <w:p w14:paraId="320A3F2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the prevalence of psychological distress in survivors aged 60 years and older after the Wenchuan earthquake, analyzing risk factors by sex.</w:t>
            </w:r>
          </w:p>
        </w:tc>
        <w:tc>
          <w:tcPr>
            <w:tcW w:w="2250" w:type="dxa"/>
            <w:tcBorders>
              <w:top w:val="nil"/>
              <w:left w:val="nil"/>
              <w:bottom w:val="nil"/>
              <w:right w:val="nil"/>
            </w:tcBorders>
            <w:shd w:val="clear" w:color="auto" w:fill="auto"/>
            <w:hideMark/>
          </w:tcPr>
          <w:p w14:paraId="4E2609F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random sampling</w:t>
            </w:r>
          </w:p>
        </w:tc>
        <w:tc>
          <w:tcPr>
            <w:tcW w:w="1800" w:type="dxa"/>
            <w:tcBorders>
              <w:top w:val="nil"/>
              <w:left w:val="nil"/>
              <w:bottom w:val="nil"/>
              <w:right w:val="nil"/>
            </w:tcBorders>
            <w:shd w:val="clear" w:color="auto" w:fill="auto"/>
            <w:hideMark/>
          </w:tcPr>
          <w:p w14:paraId="2459558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2010 (Wenchuan Earthquake, 2008)</w:t>
            </w:r>
          </w:p>
        </w:tc>
        <w:tc>
          <w:tcPr>
            <w:tcW w:w="1980" w:type="dxa"/>
            <w:tcBorders>
              <w:top w:val="nil"/>
              <w:left w:val="nil"/>
              <w:bottom w:val="nil"/>
              <w:right w:val="nil"/>
            </w:tcBorders>
            <w:shd w:val="clear" w:color="auto" w:fill="auto"/>
            <w:hideMark/>
          </w:tcPr>
          <w:p w14:paraId="1232B4C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257 internally displaced and non-displaced Chinese elderly (aged 60 and above, 48% males)</w:t>
            </w:r>
          </w:p>
        </w:tc>
        <w:tc>
          <w:tcPr>
            <w:tcW w:w="3510" w:type="dxa"/>
            <w:tcBorders>
              <w:top w:val="nil"/>
              <w:left w:val="nil"/>
              <w:bottom w:val="nil"/>
              <w:right w:val="nil"/>
            </w:tcBorders>
            <w:shd w:val="clear" w:color="auto" w:fill="auto"/>
            <w:hideMark/>
          </w:tcPr>
          <w:p w14:paraId="3E4DC12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Higher prevalence of psychological distress in older women. Loss of family members and displacement were significant risk factors for psychological distress in older men. Significant risk factors for older women included low education, chronic diseases, loss of family members, and displacement.</w:t>
            </w:r>
          </w:p>
        </w:tc>
      </w:tr>
      <w:tr w:rsidR="002F15A9" w:rsidRPr="002F15A9" w14:paraId="66177AE5" w14:textId="77777777" w:rsidTr="000B387E">
        <w:trPr>
          <w:trHeight w:val="283"/>
        </w:trPr>
        <w:tc>
          <w:tcPr>
            <w:tcW w:w="1710" w:type="dxa"/>
            <w:tcBorders>
              <w:top w:val="nil"/>
              <w:left w:val="nil"/>
              <w:bottom w:val="nil"/>
              <w:right w:val="nil"/>
            </w:tcBorders>
            <w:shd w:val="clear" w:color="auto" w:fill="auto"/>
            <w:hideMark/>
          </w:tcPr>
          <w:p w14:paraId="107E58D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Wu, 2015</w:t>
            </w:r>
          </w:p>
        </w:tc>
        <w:tc>
          <w:tcPr>
            <w:tcW w:w="2430" w:type="dxa"/>
            <w:tcBorders>
              <w:top w:val="nil"/>
              <w:left w:val="nil"/>
              <w:bottom w:val="nil"/>
              <w:right w:val="nil"/>
            </w:tcBorders>
            <w:shd w:val="clear" w:color="auto" w:fill="auto"/>
            <w:hideMark/>
          </w:tcPr>
          <w:p w14:paraId="5A21E68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post-disaster HRQoL and associated factors among elderly in flood-affected Bazhong, Southwest China.</w:t>
            </w:r>
          </w:p>
        </w:tc>
        <w:tc>
          <w:tcPr>
            <w:tcW w:w="2250" w:type="dxa"/>
            <w:tcBorders>
              <w:top w:val="nil"/>
              <w:left w:val="nil"/>
              <w:bottom w:val="nil"/>
              <w:right w:val="nil"/>
            </w:tcBorders>
            <w:shd w:val="clear" w:color="auto" w:fill="auto"/>
            <w:hideMark/>
          </w:tcPr>
          <w:p w14:paraId="6196718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stratified random cluster sampling sampling</w:t>
            </w:r>
          </w:p>
        </w:tc>
        <w:tc>
          <w:tcPr>
            <w:tcW w:w="1800" w:type="dxa"/>
            <w:tcBorders>
              <w:top w:val="nil"/>
              <w:left w:val="nil"/>
              <w:bottom w:val="nil"/>
              <w:right w:val="nil"/>
            </w:tcBorders>
            <w:shd w:val="clear" w:color="auto" w:fill="auto"/>
            <w:hideMark/>
          </w:tcPr>
          <w:p w14:paraId="638E651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2014 (Bazhong Sichuan flood, 2011)</w:t>
            </w:r>
          </w:p>
        </w:tc>
        <w:tc>
          <w:tcPr>
            <w:tcW w:w="1980" w:type="dxa"/>
            <w:tcBorders>
              <w:top w:val="nil"/>
              <w:left w:val="nil"/>
              <w:bottom w:val="nil"/>
              <w:right w:val="nil"/>
            </w:tcBorders>
            <w:shd w:val="clear" w:color="auto" w:fill="auto"/>
            <w:hideMark/>
          </w:tcPr>
          <w:p w14:paraId="68C918C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1183 Chinese elderly (aged Above 60, 59% males)</w:t>
            </w:r>
          </w:p>
        </w:tc>
        <w:tc>
          <w:tcPr>
            <w:tcW w:w="3510" w:type="dxa"/>
            <w:tcBorders>
              <w:top w:val="nil"/>
              <w:left w:val="nil"/>
              <w:bottom w:val="nil"/>
              <w:right w:val="nil"/>
            </w:tcBorders>
            <w:shd w:val="clear" w:color="auto" w:fill="auto"/>
            <w:hideMark/>
          </w:tcPr>
          <w:p w14:paraId="05C8093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Healthcare-seeking rate higher than reference rate among rural elderly. Lower prevalence of chronic disease. Poor physical health determinants included older age, singlehood, poor sleep patterns, and chronic diseases.</w:t>
            </w:r>
          </w:p>
        </w:tc>
      </w:tr>
      <w:tr w:rsidR="002F15A9" w:rsidRPr="002F15A9" w14:paraId="0B48DE51" w14:textId="77777777" w:rsidTr="000B387E">
        <w:trPr>
          <w:trHeight w:val="283"/>
        </w:trPr>
        <w:tc>
          <w:tcPr>
            <w:tcW w:w="1710" w:type="dxa"/>
            <w:tcBorders>
              <w:top w:val="nil"/>
              <w:left w:val="nil"/>
              <w:bottom w:val="nil"/>
              <w:right w:val="nil"/>
            </w:tcBorders>
            <w:shd w:val="clear" w:color="auto" w:fill="auto"/>
            <w:hideMark/>
          </w:tcPr>
          <w:p w14:paraId="2DD2883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Strong, 2015</w:t>
            </w:r>
          </w:p>
        </w:tc>
        <w:tc>
          <w:tcPr>
            <w:tcW w:w="2430" w:type="dxa"/>
            <w:tcBorders>
              <w:top w:val="nil"/>
              <w:left w:val="nil"/>
              <w:bottom w:val="nil"/>
              <w:right w:val="nil"/>
            </w:tcBorders>
            <w:shd w:val="clear" w:color="auto" w:fill="auto"/>
            <w:hideMark/>
          </w:tcPr>
          <w:p w14:paraId="00BFBA5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Characterize physical and emotional conditions, dietary habits, coping practices, and living conditions of elderly Syrian refugees in Lebanon.</w:t>
            </w:r>
          </w:p>
        </w:tc>
        <w:tc>
          <w:tcPr>
            <w:tcW w:w="2250" w:type="dxa"/>
            <w:tcBorders>
              <w:top w:val="nil"/>
              <w:left w:val="nil"/>
              <w:bottom w:val="nil"/>
              <w:right w:val="nil"/>
            </w:tcBorders>
            <w:shd w:val="clear" w:color="auto" w:fill="auto"/>
            <w:hideMark/>
          </w:tcPr>
          <w:p w14:paraId="565B41D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Mixed methods design including a cross-sectional quantitative component and a qualitative component. Two sampling strategies were used including stratified sampling and </w:t>
            </w:r>
            <w:r w:rsidRPr="002F15A9">
              <w:rPr>
                <w:rFonts w:ascii="Times New Roman" w:eastAsia="Times New Roman" w:hAnsi="Times New Roman" w:cs="Times New Roman"/>
                <w:color w:val="000000"/>
                <w:sz w:val="20"/>
                <w:szCs w:val="20"/>
              </w:rPr>
              <w:lastRenderedPageBreak/>
              <w:t>multi-stage cluster sampling.</w:t>
            </w:r>
          </w:p>
        </w:tc>
        <w:tc>
          <w:tcPr>
            <w:tcW w:w="1800" w:type="dxa"/>
            <w:tcBorders>
              <w:top w:val="nil"/>
              <w:left w:val="nil"/>
              <w:bottom w:val="nil"/>
              <w:right w:val="nil"/>
            </w:tcBorders>
            <w:shd w:val="clear" w:color="auto" w:fill="auto"/>
            <w:hideMark/>
          </w:tcPr>
          <w:p w14:paraId="05FA9AF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Lebanon, 2013 (Syrian War, 2011)</w:t>
            </w:r>
          </w:p>
        </w:tc>
        <w:tc>
          <w:tcPr>
            <w:tcW w:w="1980" w:type="dxa"/>
            <w:tcBorders>
              <w:top w:val="nil"/>
              <w:left w:val="nil"/>
              <w:bottom w:val="nil"/>
              <w:right w:val="nil"/>
            </w:tcBorders>
            <w:shd w:val="clear" w:color="auto" w:fill="auto"/>
            <w:hideMark/>
          </w:tcPr>
          <w:p w14:paraId="7A17FFA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210 elderly Syrian refugees (aged 60 and above, 44% males)</w:t>
            </w:r>
          </w:p>
        </w:tc>
        <w:tc>
          <w:tcPr>
            <w:tcW w:w="3510" w:type="dxa"/>
            <w:tcBorders>
              <w:top w:val="nil"/>
              <w:left w:val="nil"/>
              <w:bottom w:val="nil"/>
              <w:right w:val="nil"/>
            </w:tcBorders>
            <w:shd w:val="clear" w:color="auto" w:fill="auto"/>
            <w:hideMark/>
          </w:tcPr>
          <w:p w14:paraId="05B852B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Two-thirds of older refugees described health status as poor. Most had at least one non-communicable disease (hypertension 60%, diabetes 47%, heart disease 30%). Difficulties in affording medicines reported by 87%. Physical limitations common, with 47% reporting difficulty walking. 61% reported feeling anxious, and significant proportions </w:t>
            </w:r>
            <w:r w:rsidRPr="002F15A9">
              <w:rPr>
                <w:rFonts w:ascii="Times New Roman" w:eastAsia="Times New Roman" w:hAnsi="Times New Roman" w:cs="Times New Roman"/>
                <w:color w:val="000000"/>
                <w:sz w:val="20"/>
                <w:szCs w:val="20"/>
              </w:rPr>
              <w:lastRenderedPageBreak/>
              <w:t>reported feelings of depression, loneliness, and being a burden to their families. 74% dependent on humanitarian assistance.</w:t>
            </w:r>
          </w:p>
        </w:tc>
      </w:tr>
      <w:tr w:rsidR="002F15A9" w:rsidRPr="002F15A9" w14:paraId="76FA282D" w14:textId="77777777" w:rsidTr="000B387E">
        <w:trPr>
          <w:trHeight w:val="283"/>
        </w:trPr>
        <w:tc>
          <w:tcPr>
            <w:tcW w:w="1710" w:type="dxa"/>
            <w:tcBorders>
              <w:top w:val="nil"/>
              <w:left w:val="nil"/>
              <w:bottom w:val="nil"/>
              <w:right w:val="nil"/>
            </w:tcBorders>
            <w:shd w:val="clear" w:color="auto" w:fill="auto"/>
            <w:hideMark/>
          </w:tcPr>
          <w:p w14:paraId="05857BA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Cao, 2015</w:t>
            </w:r>
          </w:p>
        </w:tc>
        <w:tc>
          <w:tcPr>
            <w:tcW w:w="2430" w:type="dxa"/>
            <w:tcBorders>
              <w:top w:val="nil"/>
              <w:left w:val="nil"/>
              <w:bottom w:val="nil"/>
              <w:right w:val="nil"/>
            </w:tcBorders>
            <w:shd w:val="clear" w:color="auto" w:fill="auto"/>
            <w:hideMark/>
          </w:tcPr>
          <w:p w14:paraId="6CE49DC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psychological distress and health-related quality of life (HRQoL) in relocated and nonrelocated survivors aged 60 years and older, and analyze predictors for psychological distress and HRQoL in older survivors 5 years after the 2008 Sichuan earthquake.</w:t>
            </w:r>
          </w:p>
        </w:tc>
        <w:tc>
          <w:tcPr>
            <w:tcW w:w="2250" w:type="dxa"/>
            <w:tcBorders>
              <w:top w:val="nil"/>
              <w:left w:val="nil"/>
              <w:bottom w:val="nil"/>
              <w:right w:val="nil"/>
            </w:tcBorders>
            <w:shd w:val="clear" w:color="auto" w:fill="auto"/>
            <w:hideMark/>
          </w:tcPr>
          <w:p w14:paraId="1986211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sampling</w:t>
            </w:r>
          </w:p>
        </w:tc>
        <w:tc>
          <w:tcPr>
            <w:tcW w:w="1800" w:type="dxa"/>
            <w:tcBorders>
              <w:top w:val="nil"/>
              <w:left w:val="nil"/>
              <w:bottom w:val="nil"/>
              <w:right w:val="nil"/>
            </w:tcBorders>
            <w:shd w:val="clear" w:color="auto" w:fill="auto"/>
            <w:hideMark/>
          </w:tcPr>
          <w:p w14:paraId="49B0D0A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Dujiangyan City, 2013 (Wenchuan Earthquake, 2008)</w:t>
            </w:r>
          </w:p>
        </w:tc>
        <w:tc>
          <w:tcPr>
            <w:tcW w:w="1980" w:type="dxa"/>
            <w:tcBorders>
              <w:top w:val="nil"/>
              <w:left w:val="nil"/>
              <w:bottom w:val="nil"/>
              <w:right w:val="nil"/>
            </w:tcBorders>
            <w:shd w:val="clear" w:color="auto" w:fill="auto"/>
            <w:hideMark/>
          </w:tcPr>
          <w:p w14:paraId="1F41EB0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112 relocated and 156 nonrelocated older Chinese elderly survivors (aged 60 and above, 49% males)</w:t>
            </w:r>
          </w:p>
        </w:tc>
        <w:tc>
          <w:tcPr>
            <w:tcW w:w="3510" w:type="dxa"/>
            <w:tcBorders>
              <w:top w:val="nil"/>
              <w:left w:val="nil"/>
              <w:bottom w:val="nil"/>
              <w:right w:val="nil"/>
            </w:tcBorders>
            <w:shd w:val="clear" w:color="auto" w:fill="auto"/>
            <w:hideMark/>
          </w:tcPr>
          <w:p w14:paraId="3EE1C97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Prevalence of psychological distress higher in relocated group. HRQoL scores lower in relocated older survivors. Relocation was the most significant predictor. Other predictors included advanced age, lower education, loss of family members, chronic illnesses, and death of a spouse.</w:t>
            </w:r>
          </w:p>
        </w:tc>
      </w:tr>
      <w:tr w:rsidR="002F15A9" w:rsidRPr="002F15A9" w14:paraId="3D647A64" w14:textId="77777777" w:rsidTr="000B387E">
        <w:trPr>
          <w:trHeight w:val="283"/>
        </w:trPr>
        <w:tc>
          <w:tcPr>
            <w:tcW w:w="1710" w:type="dxa"/>
            <w:tcBorders>
              <w:top w:val="nil"/>
              <w:left w:val="nil"/>
              <w:bottom w:val="nil"/>
              <w:right w:val="nil"/>
            </w:tcBorders>
            <w:shd w:val="clear" w:color="auto" w:fill="auto"/>
            <w:hideMark/>
          </w:tcPr>
          <w:p w14:paraId="1628B82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Rafiey, 2016</w:t>
            </w:r>
          </w:p>
        </w:tc>
        <w:tc>
          <w:tcPr>
            <w:tcW w:w="2430" w:type="dxa"/>
            <w:tcBorders>
              <w:top w:val="nil"/>
              <w:left w:val="nil"/>
              <w:bottom w:val="nil"/>
              <w:right w:val="nil"/>
            </w:tcBorders>
            <w:shd w:val="clear" w:color="auto" w:fill="auto"/>
            <w:hideMark/>
          </w:tcPr>
          <w:p w14:paraId="332D732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Compare positive mental health between elderly and young earthquake survivors.</w:t>
            </w:r>
          </w:p>
        </w:tc>
        <w:tc>
          <w:tcPr>
            <w:tcW w:w="2250" w:type="dxa"/>
            <w:tcBorders>
              <w:top w:val="nil"/>
              <w:left w:val="nil"/>
              <w:bottom w:val="nil"/>
              <w:right w:val="nil"/>
            </w:tcBorders>
            <w:shd w:val="clear" w:color="auto" w:fill="auto"/>
            <w:hideMark/>
          </w:tcPr>
          <w:p w14:paraId="71A787D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quantitative cross-sectional design using a two-stage proportional cluster random sampling</w:t>
            </w:r>
          </w:p>
        </w:tc>
        <w:tc>
          <w:tcPr>
            <w:tcW w:w="1800" w:type="dxa"/>
            <w:tcBorders>
              <w:top w:val="nil"/>
              <w:left w:val="nil"/>
              <w:bottom w:val="nil"/>
              <w:right w:val="nil"/>
            </w:tcBorders>
            <w:shd w:val="clear" w:color="auto" w:fill="auto"/>
            <w:hideMark/>
          </w:tcPr>
          <w:p w14:paraId="431339C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Azerbaijan, 2015 (East Azerbaijan Earthquakes and flood, 2012)</w:t>
            </w:r>
          </w:p>
        </w:tc>
        <w:tc>
          <w:tcPr>
            <w:tcW w:w="1980" w:type="dxa"/>
            <w:tcBorders>
              <w:top w:val="nil"/>
              <w:left w:val="nil"/>
              <w:bottom w:val="nil"/>
              <w:right w:val="nil"/>
            </w:tcBorders>
            <w:shd w:val="clear" w:color="auto" w:fill="auto"/>
            <w:hideMark/>
          </w:tcPr>
          <w:p w14:paraId="539CEFCB" w14:textId="0706ADF6"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324 participants, including 56 </w:t>
            </w:r>
            <w:r w:rsidR="00FB10AF" w:rsidRPr="002F15A9">
              <w:rPr>
                <w:rFonts w:ascii="Times New Roman" w:eastAsia="Times New Roman" w:hAnsi="Times New Roman" w:cs="Times New Roman"/>
                <w:color w:val="000000"/>
                <w:sz w:val="20"/>
                <w:szCs w:val="20"/>
              </w:rPr>
              <w:t>elderlies</w:t>
            </w:r>
            <w:r w:rsidRPr="002F15A9">
              <w:rPr>
                <w:rFonts w:ascii="Times New Roman" w:eastAsia="Times New Roman" w:hAnsi="Times New Roman" w:cs="Times New Roman"/>
                <w:color w:val="000000"/>
                <w:sz w:val="20"/>
                <w:szCs w:val="20"/>
              </w:rPr>
              <w:t xml:space="preserve"> from Azerbaijan (aged 60 and above, 57% males)</w:t>
            </w:r>
          </w:p>
        </w:tc>
        <w:tc>
          <w:tcPr>
            <w:tcW w:w="3510" w:type="dxa"/>
            <w:tcBorders>
              <w:top w:val="nil"/>
              <w:left w:val="nil"/>
              <w:bottom w:val="nil"/>
              <w:right w:val="nil"/>
            </w:tcBorders>
            <w:shd w:val="clear" w:color="auto" w:fill="auto"/>
            <w:hideMark/>
          </w:tcPr>
          <w:p w14:paraId="46A830C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Older adults had significantly higher overall positive mental health scores (M=34.31, SD=10.52) compared to the younger age group (M=27.48, SD=10.56, t=-4.41; P&lt;0.001). Significant differences remained after controlling for marital status, sex, and employment status.</w:t>
            </w:r>
          </w:p>
        </w:tc>
      </w:tr>
      <w:tr w:rsidR="002F15A9" w:rsidRPr="002F15A9" w14:paraId="2C755BDE" w14:textId="77777777" w:rsidTr="000B387E">
        <w:trPr>
          <w:trHeight w:val="283"/>
        </w:trPr>
        <w:tc>
          <w:tcPr>
            <w:tcW w:w="1710" w:type="dxa"/>
            <w:tcBorders>
              <w:top w:val="nil"/>
              <w:left w:val="nil"/>
              <w:bottom w:val="nil"/>
              <w:right w:val="nil"/>
            </w:tcBorders>
            <w:shd w:val="clear" w:color="auto" w:fill="auto"/>
            <w:hideMark/>
          </w:tcPr>
          <w:p w14:paraId="52B8335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Liang, 2016</w:t>
            </w:r>
          </w:p>
        </w:tc>
        <w:tc>
          <w:tcPr>
            <w:tcW w:w="2430" w:type="dxa"/>
            <w:tcBorders>
              <w:top w:val="nil"/>
              <w:left w:val="nil"/>
              <w:bottom w:val="nil"/>
              <w:right w:val="nil"/>
            </w:tcBorders>
            <w:shd w:val="clear" w:color="auto" w:fill="auto"/>
            <w:hideMark/>
          </w:tcPr>
          <w:p w14:paraId="7F96180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the effect of the socioeconomic status and interpersonal trust of elderly victims of the Ya’an earthquake on their ability to perform activities of daily living (ADLs).</w:t>
            </w:r>
          </w:p>
        </w:tc>
        <w:tc>
          <w:tcPr>
            <w:tcW w:w="2250" w:type="dxa"/>
            <w:tcBorders>
              <w:top w:val="nil"/>
              <w:left w:val="nil"/>
              <w:bottom w:val="nil"/>
              <w:right w:val="nil"/>
            </w:tcBorders>
            <w:shd w:val="clear" w:color="auto" w:fill="auto"/>
            <w:hideMark/>
          </w:tcPr>
          <w:p w14:paraId="3C24775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random sampling</w:t>
            </w:r>
          </w:p>
        </w:tc>
        <w:tc>
          <w:tcPr>
            <w:tcW w:w="1800" w:type="dxa"/>
            <w:tcBorders>
              <w:top w:val="nil"/>
              <w:left w:val="nil"/>
              <w:bottom w:val="nil"/>
              <w:right w:val="nil"/>
            </w:tcBorders>
            <w:shd w:val="clear" w:color="auto" w:fill="auto"/>
            <w:hideMark/>
          </w:tcPr>
          <w:p w14:paraId="5E034AC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Ya'an, Sichuan, 2013 (Lushan Earthquake, 2013)</w:t>
            </w:r>
          </w:p>
        </w:tc>
        <w:tc>
          <w:tcPr>
            <w:tcW w:w="1980" w:type="dxa"/>
            <w:tcBorders>
              <w:top w:val="nil"/>
              <w:left w:val="nil"/>
              <w:bottom w:val="nil"/>
              <w:right w:val="nil"/>
            </w:tcBorders>
            <w:shd w:val="clear" w:color="auto" w:fill="auto"/>
            <w:hideMark/>
          </w:tcPr>
          <w:p w14:paraId="3F59808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691 Chinese elderly (aged 60 and above, 53% males)</w:t>
            </w:r>
          </w:p>
        </w:tc>
        <w:tc>
          <w:tcPr>
            <w:tcW w:w="3510" w:type="dxa"/>
            <w:tcBorders>
              <w:top w:val="nil"/>
              <w:left w:val="nil"/>
              <w:bottom w:val="nil"/>
              <w:right w:val="nil"/>
            </w:tcBorders>
            <w:shd w:val="clear" w:color="auto" w:fill="auto"/>
            <w:hideMark/>
          </w:tcPr>
          <w:p w14:paraId="67A47DA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Factors such as being female, being widowed, having a low educational level, and income negatively affected ADLs, among which education had the greatest influence. Interpersonal trust was vital in enhancing the level of ADLs of elderly victims.</w:t>
            </w:r>
          </w:p>
        </w:tc>
      </w:tr>
      <w:tr w:rsidR="002F15A9" w:rsidRPr="002F15A9" w14:paraId="1A3ED13C" w14:textId="77777777" w:rsidTr="000B387E">
        <w:trPr>
          <w:trHeight w:val="283"/>
        </w:trPr>
        <w:tc>
          <w:tcPr>
            <w:tcW w:w="1710" w:type="dxa"/>
            <w:tcBorders>
              <w:top w:val="nil"/>
              <w:left w:val="nil"/>
              <w:bottom w:val="nil"/>
              <w:right w:val="nil"/>
            </w:tcBorders>
            <w:shd w:val="clear" w:color="auto" w:fill="auto"/>
            <w:hideMark/>
          </w:tcPr>
          <w:p w14:paraId="2D521237" w14:textId="149321AC"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w:t>
            </w:r>
            <w:r w:rsidR="00A73A4B">
              <w:rPr>
                <w:rFonts w:ascii="Times New Roman" w:eastAsia="Times New Roman" w:hAnsi="Times New Roman" w:cs="Times New Roman"/>
                <w:color w:val="000000"/>
                <w:sz w:val="20"/>
                <w:szCs w:val="20"/>
              </w:rPr>
              <w:t>i</w:t>
            </w:r>
            <w:r w:rsidRPr="002F15A9">
              <w:rPr>
                <w:rFonts w:ascii="Times New Roman" w:eastAsia="Times New Roman" w:hAnsi="Times New Roman" w:cs="Times New Roman"/>
                <w:color w:val="000000"/>
                <w:sz w:val="20"/>
                <w:szCs w:val="20"/>
              </w:rPr>
              <w:t>, 2016</w:t>
            </w:r>
          </w:p>
        </w:tc>
        <w:tc>
          <w:tcPr>
            <w:tcW w:w="2430" w:type="dxa"/>
            <w:tcBorders>
              <w:top w:val="nil"/>
              <w:left w:val="nil"/>
              <w:bottom w:val="nil"/>
              <w:right w:val="nil"/>
            </w:tcBorders>
            <w:shd w:val="clear" w:color="auto" w:fill="auto"/>
            <w:hideMark/>
          </w:tcPr>
          <w:p w14:paraId="4091952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Assess the depression, Post-Traumatic Stress disorder (PTSD), and its </w:t>
            </w:r>
            <w:r w:rsidRPr="002F15A9">
              <w:rPr>
                <w:rFonts w:ascii="Times New Roman" w:eastAsia="Times New Roman" w:hAnsi="Times New Roman" w:cs="Times New Roman"/>
                <w:color w:val="000000"/>
                <w:sz w:val="20"/>
                <w:szCs w:val="20"/>
              </w:rPr>
              <w:lastRenderedPageBreak/>
              <w:t>associated factors among the elderly flood victims in Tumpat, Kelantan.</w:t>
            </w:r>
          </w:p>
        </w:tc>
        <w:tc>
          <w:tcPr>
            <w:tcW w:w="2250" w:type="dxa"/>
            <w:tcBorders>
              <w:top w:val="nil"/>
              <w:left w:val="nil"/>
              <w:bottom w:val="nil"/>
              <w:right w:val="nil"/>
            </w:tcBorders>
            <w:shd w:val="clear" w:color="auto" w:fill="auto"/>
            <w:hideMark/>
          </w:tcPr>
          <w:p w14:paraId="2C13FCD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cross-sectional design using stratified sampling</w:t>
            </w:r>
          </w:p>
        </w:tc>
        <w:tc>
          <w:tcPr>
            <w:tcW w:w="1800" w:type="dxa"/>
            <w:tcBorders>
              <w:top w:val="nil"/>
              <w:left w:val="nil"/>
              <w:bottom w:val="nil"/>
              <w:right w:val="nil"/>
            </w:tcBorders>
            <w:shd w:val="clear" w:color="auto" w:fill="auto"/>
            <w:hideMark/>
          </w:tcPr>
          <w:p w14:paraId="15D6BD3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Malaysia, Tumpat, Kelantan, 2015 (2014 Tumpat </w:t>
            </w:r>
            <w:r w:rsidRPr="002F15A9">
              <w:rPr>
                <w:rFonts w:ascii="Times New Roman" w:eastAsia="Times New Roman" w:hAnsi="Times New Roman" w:cs="Times New Roman"/>
                <w:color w:val="000000"/>
                <w:sz w:val="20"/>
                <w:szCs w:val="20"/>
              </w:rPr>
              <w:lastRenderedPageBreak/>
              <w:t>Flood, from 15 December 2014 – 3 January 2015)</w:t>
            </w:r>
          </w:p>
        </w:tc>
        <w:tc>
          <w:tcPr>
            <w:tcW w:w="1980" w:type="dxa"/>
            <w:tcBorders>
              <w:top w:val="nil"/>
              <w:left w:val="nil"/>
              <w:bottom w:val="nil"/>
              <w:right w:val="nil"/>
            </w:tcBorders>
            <w:shd w:val="clear" w:color="auto" w:fill="auto"/>
            <w:hideMark/>
          </w:tcPr>
          <w:p w14:paraId="6A26826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100 Malaysian elderly (aged 60 and above, 47% males)</w:t>
            </w:r>
          </w:p>
        </w:tc>
        <w:tc>
          <w:tcPr>
            <w:tcW w:w="3510" w:type="dxa"/>
            <w:tcBorders>
              <w:top w:val="nil"/>
              <w:left w:val="nil"/>
              <w:bottom w:val="nil"/>
              <w:right w:val="nil"/>
            </w:tcBorders>
            <w:shd w:val="clear" w:color="auto" w:fill="auto"/>
            <w:hideMark/>
          </w:tcPr>
          <w:p w14:paraId="6266BBC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Prevalence of depression and traumatic stress was 15.0% and 17.8%, respectively. Female gender, family </w:t>
            </w:r>
            <w:r w:rsidRPr="002F15A9">
              <w:rPr>
                <w:rFonts w:ascii="Times New Roman" w:eastAsia="Times New Roman" w:hAnsi="Times New Roman" w:cs="Times New Roman"/>
                <w:color w:val="000000"/>
                <w:sz w:val="20"/>
                <w:szCs w:val="20"/>
              </w:rPr>
              <w:lastRenderedPageBreak/>
              <w:t>history of mental illness, and traumatic stress were significant risk factors for depression.</w:t>
            </w:r>
          </w:p>
        </w:tc>
      </w:tr>
      <w:tr w:rsidR="002F15A9" w:rsidRPr="002F15A9" w14:paraId="0EC8EF0C" w14:textId="77777777" w:rsidTr="000B387E">
        <w:trPr>
          <w:trHeight w:val="283"/>
        </w:trPr>
        <w:tc>
          <w:tcPr>
            <w:tcW w:w="1710" w:type="dxa"/>
            <w:tcBorders>
              <w:top w:val="nil"/>
              <w:left w:val="nil"/>
              <w:bottom w:val="nil"/>
              <w:right w:val="nil"/>
            </w:tcBorders>
            <w:shd w:val="clear" w:color="auto" w:fill="auto"/>
            <w:hideMark/>
          </w:tcPr>
          <w:p w14:paraId="76ED9BA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Chukwuorji, 2017</w:t>
            </w:r>
          </w:p>
        </w:tc>
        <w:tc>
          <w:tcPr>
            <w:tcW w:w="2430" w:type="dxa"/>
            <w:tcBorders>
              <w:top w:val="nil"/>
              <w:left w:val="nil"/>
              <w:bottom w:val="nil"/>
              <w:right w:val="nil"/>
            </w:tcBorders>
            <w:shd w:val="clear" w:color="auto" w:fill="auto"/>
            <w:hideMark/>
          </w:tcPr>
          <w:p w14:paraId="147919A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whether core beliefs mediate the relationship between existential concerns and PTSD symptoms in internally displaced older adults.</w:t>
            </w:r>
          </w:p>
        </w:tc>
        <w:tc>
          <w:tcPr>
            <w:tcW w:w="2250" w:type="dxa"/>
            <w:tcBorders>
              <w:top w:val="nil"/>
              <w:left w:val="nil"/>
              <w:bottom w:val="nil"/>
              <w:right w:val="nil"/>
            </w:tcBorders>
            <w:shd w:val="clear" w:color="auto" w:fill="auto"/>
            <w:hideMark/>
          </w:tcPr>
          <w:p w14:paraId="04D905B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14BDEBBF" w14:textId="5F2A636F"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Nigeria, two IDP camps in North Central </w:t>
            </w:r>
            <w:r w:rsidR="00FB10AF" w:rsidRPr="002F15A9">
              <w:rPr>
                <w:rFonts w:ascii="Times New Roman" w:eastAsia="Times New Roman" w:hAnsi="Times New Roman" w:cs="Times New Roman"/>
                <w:color w:val="000000"/>
                <w:sz w:val="20"/>
                <w:szCs w:val="20"/>
              </w:rPr>
              <w:t>Nigeria</w:t>
            </w:r>
            <w:r w:rsidRPr="002F15A9">
              <w:rPr>
                <w:rFonts w:ascii="Times New Roman" w:eastAsia="Times New Roman" w:hAnsi="Times New Roman" w:cs="Times New Roman"/>
                <w:color w:val="000000"/>
                <w:sz w:val="20"/>
                <w:szCs w:val="20"/>
              </w:rPr>
              <w:t>, 2015 (land disputes and tensions between pastoralists and farmers, Not mentioned)</w:t>
            </w:r>
          </w:p>
        </w:tc>
        <w:tc>
          <w:tcPr>
            <w:tcW w:w="1980" w:type="dxa"/>
            <w:tcBorders>
              <w:top w:val="nil"/>
              <w:left w:val="nil"/>
              <w:bottom w:val="nil"/>
              <w:right w:val="nil"/>
            </w:tcBorders>
            <w:shd w:val="clear" w:color="auto" w:fill="auto"/>
            <w:hideMark/>
          </w:tcPr>
          <w:p w14:paraId="5509A7D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279 internally displaced Nigerian elderly (aged 45 and above, 57% males)</w:t>
            </w:r>
          </w:p>
        </w:tc>
        <w:tc>
          <w:tcPr>
            <w:tcW w:w="3510" w:type="dxa"/>
            <w:tcBorders>
              <w:top w:val="nil"/>
              <w:left w:val="nil"/>
              <w:bottom w:val="nil"/>
              <w:right w:val="nil"/>
            </w:tcBorders>
            <w:shd w:val="clear" w:color="auto" w:fill="auto"/>
            <w:hideMark/>
          </w:tcPr>
          <w:p w14:paraId="6E780E4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Existential concerns and core beliefs linked to greater PTSD symptoms. Mediation path significant, suggesting core beliefs as a pathway through which existential concerns influence PTSD symptoms clusters.</w:t>
            </w:r>
          </w:p>
        </w:tc>
      </w:tr>
      <w:tr w:rsidR="002F15A9" w:rsidRPr="002F15A9" w14:paraId="6ABEFDE7" w14:textId="77777777" w:rsidTr="000B387E">
        <w:trPr>
          <w:trHeight w:val="283"/>
        </w:trPr>
        <w:tc>
          <w:tcPr>
            <w:tcW w:w="1710" w:type="dxa"/>
            <w:tcBorders>
              <w:top w:val="nil"/>
              <w:left w:val="nil"/>
              <w:bottom w:val="nil"/>
              <w:right w:val="nil"/>
            </w:tcBorders>
            <w:shd w:val="clear" w:color="auto" w:fill="auto"/>
            <w:hideMark/>
          </w:tcPr>
          <w:p w14:paraId="4D8761D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Xie, 2017</w:t>
            </w:r>
          </w:p>
        </w:tc>
        <w:tc>
          <w:tcPr>
            <w:tcW w:w="2430" w:type="dxa"/>
            <w:tcBorders>
              <w:top w:val="nil"/>
              <w:left w:val="nil"/>
              <w:bottom w:val="nil"/>
              <w:right w:val="nil"/>
            </w:tcBorders>
            <w:shd w:val="clear" w:color="auto" w:fill="auto"/>
            <w:hideMark/>
          </w:tcPr>
          <w:p w14:paraId="5DC0938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the predictors of quality of life and depressive features in older people living in temporary housing 13 months after the Wenchuan earthquake in western China.</w:t>
            </w:r>
          </w:p>
        </w:tc>
        <w:tc>
          <w:tcPr>
            <w:tcW w:w="2250" w:type="dxa"/>
            <w:tcBorders>
              <w:top w:val="nil"/>
              <w:left w:val="nil"/>
              <w:bottom w:val="nil"/>
              <w:right w:val="nil"/>
            </w:tcBorders>
            <w:shd w:val="clear" w:color="auto" w:fill="auto"/>
            <w:hideMark/>
          </w:tcPr>
          <w:p w14:paraId="3FE94F0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7489B255" w14:textId="649B8EE9"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China, two </w:t>
            </w:r>
            <w:r w:rsidR="00FB10AF" w:rsidRPr="002F15A9">
              <w:rPr>
                <w:rFonts w:ascii="Times New Roman" w:eastAsia="Times New Roman" w:hAnsi="Times New Roman" w:cs="Times New Roman"/>
                <w:color w:val="000000"/>
                <w:sz w:val="20"/>
                <w:szCs w:val="20"/>
              </w:rPr>
              <w:t>temporary</w:t>
            </w:r>
            <w:r w:rsidRPr="002F15A9">
              <w:rPr>
                <w:rFonts w:ascii="Times New Roman" w:eastAsia="Times New Roman" w:hAnsi="Times New Roman" w:cs="Times New Roman"/>
                <w:color w:val="000000"/>
                <w:sz w:val="20"/>
                <w:szCs w:val="20"/>
              </w:rPr>
              <w:t xml:space="preserve"> settlements in Wenxing Town and Qingping, 2009 (Wenchuan Earthquake, 2008)</w:t>
            </w:r>
          </w:p>
        </w:tc>
        <w:tc>
          <w:tcPr>
            <w:tcW w:w="1980" w:type="dxa"/>
            <w:tcBorders>
              <w:top w:val="nil"/>
              <w:left w:val="nil"/>
              <w:bottom w:val="nil"/>
              <w:right w:val="nil"/>
            </w:tcBorders>
            <w:shd w:val="clear" w:color="auto" w:fill="auto"/>
            <w:hideMark/>
          </w:tcPr>
          <w:p w14:paraId="618B4B3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189 internally displaced Chinese elderly (aged 65 and above, 38% males)</w:t>
            </w:r>
          </w:p>
        </w:tc>
        <w:tc>
          <w:tcPr>
            <w:tcW w:w="3510" w:type="dxa"/>
            <w:tcBorders>
              <w:top w:val="nil"/>
              <w:left w:val="nil"/>
              <w:bottom w:val="nil"/>
              <w:right w:val="nil"/>
            </w:tcBorders>
            <w:shd w:val="clear" w:color="auto" w:fill="auto"/>
            <w:hideMark/>
          </w:tcPr>
          <w:p w14:paraId="37D1127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Interests/hobbies, subjective support, and family function were positive predictors of quality of life. Instrumental activities of daily living and depressive symptoms were negative predictors.</w:t>
            </w:r>
          </w:p>
        </w:tc>
      </w:tr>
      <w:tr w:rsidR="002F15A9" w:rsidRPr="002F15A9" w14:paraId="7C02E6DF" w14:textId="77777777" w:rsidTr="000B387E">
        <w:trPr>
          <w:trHeight w:val="283"/>
        </w:trPr>
        <w:tc>
          <w:tcPr>
            <w:tcW w:w="1710" w:type="dxa"/>
            <w:tcBorders>
              <w:top w:val="nil"/>
              <w:left w:val="nil"/>
              <w:bottom w:val="nil"/>
              <w:right w:val="nil"/>
            </w:tcBorders>
            <w:shd w:val="clear" w:color="auto" w:fill="auto"/>
            <w:hideMark/>
          </w:tcPr>
          <w:p w14:paraId="3C1F857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Adhikari, 2017</w:t>
            </w:r>
          </w:p>
        </w:tc>
        <w:tc>
          <w:tcPr>
            <w:tcW w:w="2430" w:type="dxa"/>
            <w:tcBorders>
              <w:top w:val="nil"/>
              <w:left w:val="nil"/>
              <w:bottom w:val="nil"/>
              <w:right w:val="nil"/>
            </w:tcBorders>
            <w:shd w:val="clear" w:color="auto" w:fill="auto"/>
            <w:hideMark/>
          </w:tcPr>
          <w:p w14:paraId="205044C8" w14:textId="395F2401"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Identify community perceptions on psychosocial and mental health problems of older people in </w:t>
            </w:r>
            <w:r w:rsidR="00FB10AF" w:rsidRPr="002F15A9">
              <w:rPr>
                <w:rFonts w:ascii="Times New Roman" w:eastAsia="Times New Roman" w:hAnsi="Times New Roman" w:cs="Times New Roman"/>
                <w:color w:val="000000"/>
                <w:sz w:val="20"/>
                <w:szCs w:val="20"/>
              </w:rPr>
              <w:t>post-earthquake</w:t>
            </w:r>
            <w:r w:rsidRPr="002F15A9">
              <w:rPr>
                <w:rFonts w:ascii="Times New Roman" w:eastAsia="Times New Roman" w:hAnsi="Times New Roman" w:cs="Times New Roman"/>
                <w:color w:val="000000"/>
                <w:sz w:val="20"/>
                <w:szCs w:val="20"/>
              </w:rPr>
              <w:t xml:space="preserve"> situation in Nepal.</w:t>
            </w:r>
          </w:p>
        </w:tc>
        <w:tc>
          <w:tcPr>
            <w:tcW w:w="2250" w:type="dxa"/>
            <w:tcBorders>
              <w:top w:val="nil"/>
              <w:left w:val="nil"/>
              <w:bottom w:val="nil"/>
              <w:right w:val="nil"/>
            </w:tcBorders>
            <w:shd w:val="clear" w:color="auto" w:fill="auto"/>
            <w:hideMark/>
          </w:tcPr>
          <w:p w14:paraId="426B6D9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design using purposive and snowballing sampling</w:t>
            </w:r>
          </w:p>
        </w:tc>
        <w:tc>
          <w:tcPr>
            <w:tcW w:w="1800" w:type="dxa"/>
            <w:tcBorders>
              <w:top w:val="nil"/>
              <w:left w:val="nil"/>
              <w:bottom w:val="nil"/>
              <w:right w:val="nil"/>
            </w:tcBorders>
            <w:shd w:val="clear" w:color="auto" w:fill="auto"/>
            <w:hideMark/>
          </w:tcPr>
          <w:p w14:paraId="2E5932B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Nepal, Sindhupalchowk, Gorkha, and Dolakha, July-August 2015 (2015 Nepal Earthquakes, 2015)</w:t>
            </w:r>
          </w:p>
        </w:tc>
        <w:tc>
          <w:tcPr>
            <w:tcW w:w="1980" w:type="dxa"/>
            <w:tcBorders>
              <w:top w:val="nil"/>
              <w:left w:val="nil"/>
              <w:bottom w:val="nil"/>
              <w:right w:val="nil"/>
            </w:tcBorders>
            <w:shd w:val="clear" w:color="auto" w:fill="auto"/>
            <w:hideMark/>
          </w:tcPr>
          <w:p w14:paraId="2EFC95E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30 participants including 4 Nepali older people (aged 60 and above), social workers, school teachers, health workers, and nongovernmental organization workers</w:t>
            </w:r>
          </w:p>
        </w:tc>
        <w:tc>
          <w:tcPr>
            <w:tcW w:w="3510" w:type="dxa"/>
            <w:tcBorders>
              <w:top w:val="nil"/>
              <w:left w:val="nil"/>
              <w:bottom w:val="nil"/>
              <w:right w:val="nil"/>
            </w:tcBorders>
            <w:shd w:val="clear" w:color="auto" w:fill="auto"/>
            <w:hideMark/>
          </w:tcPr>
          <w:p w14:paraId="2B0F10C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Major local vocabulary for older people's psychosocial and mental health problems identified. Causes attributed included physical injury, disability, family conflict, and economic problems. Observations of forgetfulness, tiredness, loss of concentration, restlessness, and isolation.</w:t>
            </w:r>
          </w:p>
        </w:tc>
      </w:tr>
      <w:tr w:rsidR="002F15A9" w:rsidRPr="002F15A9" w14:paraId="21F37198" w14:textId="77777777" w:rsidTr="000B387E">
        <w:trPr>
          <w:trHeight w:val="283"/>
        </w:trPr>
        <w:tc>
          <w:tcPr>
            <w:tcW w:w="1710" w:type="dxa"/>
            <w:tcBorders>
              <w:top w:val="nil"/>
              <w:left w:val="nil"/>
              <w:bottom w:val="nil"/>
              <w:right w:val="nil"/>
            </w:tcBorders>
            <w:shd w:val="clear" w:color="auto" w:fill="auto"/>
            <w:hideMark/>
          </w:tcPr>
          <w:p w14:paraId="165FF7A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Liang, 2017</w:t>
            </w:r>
          </w:p>
        </w:tc>
        <w:tc>
          <w:tcPr>
            <w:tcW w:w="2430" w:type="dxa"/>
            <w:tcBorders>
              <w:top w:val="nil"/>
              <w:left w:val="nil"/>
              <w:bottom w:val="nil"/>
              <w:right w:val="nil"/>
            </w:tcBorders>
            <w:shd w:val="clear" w:color="auto" w:fill="auto"/>
            <w:hideMark/>
          </w:tcPr>
          <w:p w14:paraId="7AAC278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depression and anxiety among Chinese elderly earthquake survivors, addressing relevant correlations.</w:t>
            </w:r>
          </w:p>
        </w:tc>
        <w:tc>
          <w:tcPr>
            <w:tcW w:w="2250" w:type="dxa"/>
            <w:tcBorders>
              <w:top w:val="nil"/>
              <w:left w:val="nil"/>
              <w:bottom w:val="nil"/>
              <w:right w:val="nil"/>
            </w:tcBorders>
            <w:shd w:val="clear" w:color="auto" w:fill="auto"/>
            <w:hideMark/>
          </w:tcPr>
          <w:p w14:paraId="3974E41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random sampling</w:t>
            </w:r>
          </w:p>
        </w:tc>
        <w:tc>
          <w:tcPr>
            <w:tcW w:w="1800" w:type="dxa"/>
            <w:tcBorders>
              <w:top w:val="nil"/>
              <w:left w:val="nil"/>
              <w:bottom w:val="nil"/>
              <w:right w:val="nil"/>
            </w:tcBorders>
            <w:shd w:val="clear" w:color="auto" w:fill="auto"/>
            <w:hideMark/>
          </w:tcPr>
          <w:p w14:paraId="545F515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Ya’an (Lushan Earthquake, 2013)</w:t>
            </w:r>
          </w:p>
        </w:tc>
        <w:tc>
          <w:tcPr>
            <w:tcW w:w="1980" w:type="dxa"/>
            <w:tcBorders>
              <w:top w:val="nil"/>
              <w:left w:val="nil"/>
              <w:bottom w:val="nil"/>
              <w:right w:val="nil"/>
            </w:tcBorders>
            <w:shd w:val="clear" w:color="auto" w:fill="auto"/>
            <w:hideMark/>
          </w:tcPr>
          <w:p w14:paraId="67C09AF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691 Chinese elderly Chinese (aged 60 and above, 53% males)</w:t>
            </w:r>
          </w:p>
        </w:tc>
        <w:tc>
          <w:tcPr>
            <w:tcW w:w="3510" w:type="dxa"/>
            <w:tcBorders>
              <w:top w:val="nil"/>
              <w:left w:val="nil"/>
              <w:bottom w:val="nil"/>
              <w:right w:val="nil"/>
            </w:tcBorders>
            <w:shd w:val="clear" w:color="auto" w:fill="auto"/>
            <w:hideMark/>
          </w:tcPr>
          <w:p w14:paraId="6307166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Elderly earthquake survivors exhibited symptoms of moderate depression and anxiety; depression and anxiety are highly positively correlated.</w:t>
            </w:r>
          </w:p>
        </w:tc>
      </w:tr>
      <w:tr w:rsidR="002F15A9" w:rsidRPr="002F15A9" w14:paraId="1C9F05FD" w14:textId="77777777" w:rsidTr="000B387E">
        <w:trPr>
          <w:trHeight w:val="283"/>
        </w:trPr>
        <w:tc>
          <w:tcPr>
            <w:tcW w:w="1710" w:type="dxa"/>
            <w:tcBorders>
              <w:top w:val="nil"/>
              <w:left w:val="nil"/>
              <w:bottom w:val="nil"/>
              <w:right w:val="nil"/>
            </w:tcBorders>
            <w:shd w:val="clear" w:color="auto" w:fill="auto"/>
            <w:hideMark/>
          </w:tcPr>
          <w:p w14:paraId="1BC727F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Cui, 2017</w:t>
            </w:r>
          </w:p>
        </w:tc>
        <w:tc>
          <w:tcPr>
            <w:tcW w:w="2430" w:type="dxa"/>
            <w:tcBorders>
              <w:top w:val="nil"/>
              <w:left w:val="nil"/>
              <w:bottom w:val="nil"/>
              <w:right w:val="nil"/>
            </w:tcBorders>
            <w:shd w:val="clear" w:color="auto" w:fill="auto"/>
            <w:hideMark/>
          </w:tcPr>
          <w:p w14:paraId="4254454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older people’s needs from a psychosocial perspective.</w:t>
            </w:r>
          </w:p>
        </w:tc>
        <w:tc>
          <w:tcPr>
            <w:tcW w:w="2250" w:type="dxa"/>
            <w:tcBorders>
              <w:top w:val="nil"/>
              <w:left w:val="nil"/>
              <w:bottom w:val="nil"/>
              <w:right w:val="nil"/>
            </w:tcBorders>
            <w:shd w:val="clear" w:color="auto" w:fill="auto"/>
            <w:hideMark/>
          </w:tcPr>
          <w:p w14:paraId="35F3ABBC" w14:textId="1F9EC6BC"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Qualitative design using a combination of systematic and </w:t>
            </w:r>
            <w:r w:rsidR="00FB10AF" w:rsidRPr="002F15A9">
              <w:rPr>
                <w:rFonts w:ascii="Times New Roman" w:eastAsia="Times New Roman" w:hAnsi="Times New Roman" w:cs="Times New Roman"/>
                <w:color w:val="000000"/>
                <w:sz w:val="20"/>
                <w:szCs w:val="20"/>
              </w:rPr>
              <w:t>stratified sampling</w:t>
            </w:r>
          </w:p>
        </w:tc>
        <w:tc>
          <w:tcPr>
            <w:tcW w:w="1800" w:type="dxa"/>
            <w:tcBorders>
              <w:top w:val="nil"/>
              <w:left w:val="nil"/>
              <w:bottom w:val="nil"/>
              <w:right w:val="nil"/>
            </w:tcBorders>
            <w:shd w:val="clear" w:color="auto" w:fill="auto"/>
            <w:hideMark/>
          </w:tcPr>
          <w:p w14:paraId="6010227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Yingxiu town, Z village, 2014 (Wenchuan Earthquake, 2008)</w:t>
            </w:r>
          </w:p>
        </w:tc>
        <w:tc>
          <w:tcPr>
            <w:tcW w:w="1980" w:type="dxa"/>
            <w:tcBorders>
              <w:top w:val="nil"/>
              <w:left w:val="nil"/>
              <w:bottom w:val="nil"/>
              <w:right w:val="nil"/>
            </w:tcBorders>
            <w:shd w:val="clear" w:color="auto" w:fill="auto"/>
            <w:hideMark/>
          </w:tcPr>
          <w:p w14:paraId="6606060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10 Chinese internally displaced elderly (aged 60 and above, 50% males)</w:t>
            </w:r>
          </w:p>
        </w:tc>
        <w:tc>
          <w:tcPr>
            <w:tcW w:w="3510" w:type="dxa"/>
            <w:tcBorders>
              <w:top w:val="nil"/>
              <w:left w:val="nil"/>
              <w:bottom w:val="nil"/>
              <w:right w:val="nil"/>
            </w:tcBorders>
            <w:shd w:val="clear" w:color="auto" w:fill="auto"/>
            <w:hideMark/>
          </w:tcPr>
          <w:p w14:paraId="1022A84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Three major psychosocial problems were identified: constant fear of recurring debris flows, sense of helplessness, and disruption to previous social network.</w:t>
            </w:r>
          </w:p>
        </w:tc>
      </w:tr>
      <w:tr w:rsidR="002F15A9" w:rsidRPr="002F15A9" w14:paraId="25123AF9" w14:textId="77777777" w:rsidTr="000B387E">
        <w:trPr>
          <w:trHeight w:val="283"/>
        </w:trPr>
        <w:tc>
          <w:tcPr>
            <w:tcW w:w="1710" w:type="dxa"/>
            <w:tcBorders>
              <w:top w:val="nil"/>
              <w:left w:val="nil"/>
              <w:bottom w:val="nil"/>
              <w:right w:val="nil"/>
            </w:tcBorders>
            <w:shd w:val="clear" w:color="auto" w:fill="auto"/>
            <w:hideMark/>
          </w:tcPr>
          <w:p w14:paraId="1BB56BF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Ahmadi, 2018</w:t>
            </w:r>
          </w:p>
        </w:tc>
        <w:tc>
          <w:tcPr>
            <w:tcW w:w="2430" w:type="dxa"/>
            <w:tcBorders>
              <w:top w:val="nil"/>
              <w:left w:val="nil"/>
              <w:bottom w:val="nil"/>
              <w:right w:val="nil"/>
            </w:tcBorders>
            <w:shd w:val="clear" w:color="auto" w:fill="auto"/>
            <w:hideMark/>
          </w:tcPr>
          <w:p w14:paraId="19FCA1C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the challenges of daily life of older adults after an earthquake in Iran.</w:t>
            </w:r>
          </w:p>
        </w:tc>
        <w:tc>
          <w:tcPr>
            <w:tcW w:w="2250" w:type="dxa"/>
            <w:tcBorders>
              <w:top w:val="nil"/>
              <w:left w:val="nil"/>
              <w:bottom w:val="nil"/>
              <w:right w:val="nil"/>
            </w:tcBorders>
            <w:shd w:val="clear" w:color="auto" w:fill="auto"/>
            <w:hideMark/>
          </w:tcPr>
          <w:p w14:paraId="0BD7131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design using purposive sampling</w:t>
            </w:r>
          </w:p>
        </w:tc>
        <w:tc>
          <w:tcPr>
            <w:tcW w:w="1800" w:type="dxa"/>
            <w:tcBorders>
              <w:top w:val="nil"/>
              <w:left w:val="nil"/>
              <w:bottom w:val="nil"/>
              <w:right w:val="nil"/>
            </w:tcBorders>
            <w:shd w:val="clear" w:color="auto" w:fill="auto"/>
            <w:hideMark/>
          </w:tcPr>
          <w:p w14:paraId="5504B50B" w14:textId="314488CA"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Iran, 2014-2015 (East Azerbaijan </w:t>
            </w:r>
            <w:r w:rsidR="00FB10AF" w:rsidRPr="002F15A9">
              <w:rPr>
                <w:rFonts w:ascii="Times New Roman" w:eastAsia="Times New Roman" w:hAnsi="Times New Roman" w:cs="Times New Roman"/>
                <w:color w:val="000000"/>
                <w:sz w:val="20"/>
                <w:szCs w:val="20"/>
              </w:rPr>
              <w:t>Earthquakes</w:t>
            </w:r>
            <w:r w:rsidRPr="002F15A9">
              <w:rPr>
                <w:rFonts w:ascii="Times New Roman" w:eastAsia="Times New Roman" w:hAnsi="Times New Roman" w:cs="Times New Roman"/>
                <w:color w:val="000000"/>
                <w:sz w:val="20"/>
                <w:szCs w:val="20"/>
              </w:rPr>
              <w:t xml:space="preserve"> and flood, 2012)</w:t>
            </w:r>
          </w:p>
        </w:tc>
        <w:tc>
          <w:tcPr>
            <w:tcW w:w="1980" w:type="dxa"/>
            <w:tcBorders>
              <w:top w:val="nil"/>
              <w:left w:val="nil"/>
              <w:bottom w:val="nil"/>
              <w:right w:val="nil"/>
            </w:tcBorders>
            <w:shd w:val="clear" w:color="auto" w:fill="auto"/>
            <w:hideMark/>
          </w:tcPr>
          <w:p w14:paraId="30A256B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26 participants including displaced and non-displaced 18 older Iranian adults (aged 60 and above, 44% males), four experts and four caregivers</w:t>
            </w:r>
          </w:p>
        </w:tc>
        <w:tc>
          <w:tcPr>
            <w:tcW w:w="3510" w:type="dxa"/>
            <w:tcBorders>
              <w:top w:val="nil"/>
              <w:left w:val="nil"/>
              <w:bottom w:val="nil"/>
              <w:right w:val="nil"/>
            </w:tcBorders>
            <w:shd w:val="clear" w:color="auto" w:fill="auto"/>
            <w:hideMark/>
          </w:tcPr>
          <w:p w14:paraId="5EE57DA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Three main categories of challenges: Losses, ageism, and disruption in usual routine life. Subcategories identified based on significant characteristics.</w:t>
            </w:r>
          </w:p>
        </w:tc>
      </w:tr>
      <w:tr w:rsidR="002F15A9" w:rsidRPr="002F15A9" w14:paraId="3A3E47FD" w14:textId="77777777" w:rsidTr="000B387E">
        <w:trPr>
          <w:trHeight w:val="283"/>
        </w:trPr>
        <w:tc>
          <w:tcPr>
            <w:tcW w:w="1710" w:type="dxa"/>
            <w:tcBorders>
              <w:top w:val="nil"/>
              <w:left w:val="nil"/>
              <w:bottom w:val="nil"/>
              <w:right w:val="nil"/>
            </w:tcBorders>
            <w:shd w:val="clear" w:color="auto" w:fill="auto"/>
            <w:hideMark/>
          </w:tcPr>
          <w:p w14:paraId="476D2AF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Ahmadi, 2018</w:t>
            </w:r>
          </w:p>
        </w:tc>
        <w:tc>
          <w:tcPr>
            <w:tcW w:w="2430" w:type="dxa"/>
            <w:tcBorders>
              <w:top w:val="nil"/>
              <w:left w:val="nil"/>
              <w:bottom w:val="nil"/>
              <w:right w:val="nil"/>
            </w:tcBorders>
            <w:shd w:val="clear" w:color="auto" w:fill="auto"/>
            <w:hideMark/>
          </w:tcPr>
          <w:p w14:paraId="4216FF2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how older adults responded to challenges after the earthquake in Iran.</w:t>
            </w:r>
          </w:p>
        </w:tc>
        <w:tc>
          <w:tcPr>
            <w:tcW w:w="2250" w:type="dxa"/>
            <w:tcBorders>
              <w:top w:val="nil"/>
              <w:left w:val="nil"/>
              <w:bottom w:val="nil"/>
              <w:right w:val="nil"/>
            </w:tcBorders>
            <w:shd w:val="clear" w:color="auto" w:fill="auto"/>
            <w:hideMark/>
          </w:tcPr>
          <w:p w14:paraId="074773C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design using purposive sampling</w:t>
            </w:r>
          </w:p>
        </w:tc>
        <w:tc>
          <w:tcPr>
            <w:tcW w:w="1800" w:type="dxa"/>
            <w:tcBorders>
              <w:top w:val="nil"/>
              <w:left w:val="nil"/>
              <w:bottom w:val="nil"/>
              <w:right w:val="nil"/>
            </w:tcBorders>
            <w:shd w:val="clear" w:color="auto" w:fill="auto"/>
            <w:hideMark/>
          </w:tcPr>
          <w:p w14:paraId="5B326A3E" w14:textId="12785A20"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East Azerbaijan </w:t>
            </w:r>
            <w:r w:rsidR="00FB10AF" w:rsidRPr="002F15A9">
              <w:rPr>
                <w:rFonts w:ascii="Times New Roman" w:eastAsia="Times New Roman" w:hAnsi="Times New Roman" w:cs="Times New Roman"/>
                <w:color w:val="000000"/>
                <w:sz w:val="20"/>
                <w:szCs w:val="20"/>
              </w:rPr>
              <w:t>Earthquakes</w:t>
            </w:r>
            <w:r w:rsidRPr="002F15A9">
              <w:rPr>
                <w:rFonts w:ascii="Times New Roman" w:eastAsia="Times New Roman" w:hAnsi="Times New Roman" w:cs="Times New Roman"/>
                <w:color w:val="000000"/>
                <w:sz w:val="20"/>
                <w:szCs w:val="20"/>
              </w:rPr>
              <w:t xml:space="preserve"> and flood, 2013 (East Azerbaijan </w:t>
            </w:r>
            <w:r w:rsidR="00FB10AF" w:rsidRPr="002F15A9">
              <w:rPr>
                <w:rFonts w:ascii="Times New Roman" w:eastAsia="Times New Roman" w:hAnsi="Times New Roman" w:cs="Times New Roman"/>
                <w:color w:val="000000"/>
                <w:sz w:val="20"/>
                <w:szCs w:val="20"/>
              </w:rPr>
              <w:t>Earthquakes</w:t>
            </w:r>
            <w:r w:rsidRPr="002F15A9">
              <w:rPr>
                <w:rFonts w:ascii="Times New Roman" w:eastAsia="Times New Roman" w:hAnsi="Times New Roman" w:cs="Times New Roman"/>
                <w:color w:val="000000"/>
                <w:sz w:val="20"/>
                <w:szCs w:val="20"/>
              </w:rPr>
              <w:t xml:space="preserve"> and flood, 2012)</w:t>
            </w:r>
          </w:p>
        </w:tc>
        <w:tc>
          <w:tcPr>
            <w:tcW w:w="1980" w:type="dxa"/>
            <w:tcBorders>
              <w:top w:val="nil"/>
              <w:left w:val="nil"/>
              <w:bottom w:val="nil"/>
              <w:right w:val="nil"/>
            </w:tcBorders>
            <w:shd w:val="clear" w:color="auto" w:fill="auto"/>
            <w:hideMark/>
          </w:tcPr>
          <w:p w14:paraId="3822C68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29 participants including 18 older Iranian adult survivors of the earthquake-stricken areas (aged 60 and above, 44% males), four lay caregivers, and 3 health professionals in disasters, one social worker, 2 relief worker and one disaster psychologist</w:t>
            </w:r>
          </w:p>
        </w:tc>
        <w:tc>
          <w:tcPr>
            <w:tcW w:w="3510" w:type="dxa"/>
            <w:tcBorders>
              <w:top w:val="nil"/>
              <w:left w:val="nil"/>
              <w:bottom w:val="nil"/>
              <w:right w:val="nil"/>
            </w:tcBorders>
            <w:shd w:val="clear" w:color="auto" w:fill="auto"/>
            <w:hideMark/>
          </w:tcPr>
          <w:p w14:paraId="292637F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Adaptive responses: religious coping, sharing feelings and information, coping with new activities, roles, and place. Maladaptive responses: lack of motivation to search for relief supplies, undue dependency, decrease of social activities.</w:t>
            </w:r>
          </w:p>
        </w:tc>
      </w:tr>
      <w:tr w:rsidR="002F15A9" w:rsidRPr="002F15A9" w14:paraId="56699E49" w14:textId="77777777" w:rsidTr="000B387E">
        <w:trPr>
          <w:trHeight w:val="283"/>
        </w:trPr>
        <w:tc>
          <w:tcPr>
            <w:tcW w:w="1710" w:type="dxa"/>
            <w:tcBorders>
              <w:top w:val="nil"/>
              <w:left w:val="nil"/>
              <w:bottom w:val="nil"/>
              <w:right w:val="nil"/>
            </w:tcBorders>
            <w:shd w:val="clear" w:color="auto" w:fill="auto"/>
            <w:hideMark/>
          </w:tcPr>
          <w:p w14:paraId="025C8A6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Chemali, 2018</w:t>
            </w:r>
          </w:p>
        </w:tc>
        <w:tc>
          <w:tcPr>
            <w:tcW w:w="2430" w:type="dxa"/>
            <w:tcBorders>
              <w:top w:val="nil"/>
              <w:left w:val="nil"/>
              <w:bottom w:val="nil"/>
              <w:right w:val="nil"/>
            </w:tcBorders>
            <w:shd w:val="clear" w:color="auto" w:fill="auto"/>
            <w:hideMark/>
          </w:tcPr>
          <w:p w14:paraId="333674E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Survey the needs of elder refugees and understand their perceived support from Lebanese fieldworkers.</w:t>
            </w:r>
          </w:p>
        </w:tc>
        <w:tc>
          <w:tcPr>
            <w:tcW w:w="2250" w:type="dxa"/>
            <w:tcBorders>
              <w:top w:val="nil"/>
              <w:left w:val="nil"/>
              <w:bottom w:val="nil"/>
              <w:right w:val="nil"/>
            </w:tcBorders>
            <w:shd w:val="clear" w:color="auto" w:fill="auto"/>
            <w:hideMark/>
          </w:tcPr>
          <w:p w14:paraId="4B3063F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Mixed methods design including a quantitative cross-sectional design and a qualitative component. Convenience sampling was used.</w:t>
            </w:r>
          </w:p>
        </w:tc>
        <w:tc>
          <w:tcPr>
            <w:tcW w:w="1800" w:type="dxa"/>
            <w:tcBorders>
              <w:top w:val="nil"/>
              <w:left w:val="nil"/>
              <w:bottom w:val="nil"/>
              <w:right w:val="nil"/>
            </w:tcBorders>
            <w:shd w:val="clear" w:color="auto" w:fill="auto"/>
            <w:hideMark/>
          </w:tcPr>
          <w:p w14:paraId="1A77F09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Lebanon, refugee encampments in El-Marj and Bar Elias, 2015 (Syrian War, 2011)</w:t>
            </w:r>
          </w:p>
        </w:tc>
        <w:tc>
          <w:tcPr>
            <w:tcW w:w="1980" w:type="dxa"/>
            <w:tcBorders>
              <w:top w:val="nil"/>
              <w:left w:val="nil"/>
              <w:bottom w:val="nil"/>
              <w:right w:val="nil"/>
            </w:tcBorders>
            <w:shd w:val="clear" w:color="auto" w:fill="auto"/>
            <w:hideMark/>
          </w:tcPr>
          <w:p w14:paraId="0655C65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66 elderly Syrian refugees (aged 65 and above, 41 males)</w:t>
            </w:r>
          </w:p>
        </w:tc>
        <w:tc>
          <w:tcPr>
            <w:tcW w:w="3510" w:type="dxa"/>
            <w:tcBorders>
              <w:top w:val="nil"/>
              <w:left w:val="nil"/>
              <w:bottom w:val="nil"/>
              <w:right w:val="nil"/>
            </w:tcBorders>
            <w:shd w:val="clear" w:color="auto" w:fill="auto"/>
            <w:hideMark/>
          </w:tcPr>
          <w:p w14:paraId="23A6F09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High prevalence of depression and cognitive deficits. Concerns surrounding illness, loneliness, war, and instability. Importance of family connectedness for security and resilience. Elders acting as a source of emotional support for their communities.</w:t>
            </w:r>
          </w:p>
        </w:tc>
      </w:tr>
      <w:tr w:rsidR="002F15A9" w:rsidRPr="002F15A9" w14:paraId="50441904" w14:textId="77777777" w:rsidTr="000B387E">
        <w:trPr>
          <w:trHeight w:val="283"/>
        </w:trPr>
        <w:tc>
          <w:tcPr>
            <w:tcW w:w="1710" w:type="dxa"/>
            <w:tcBorders>
              <w:top w:val="nil"/>
              <w:left w:val="nil"/>
              <w:bottom w:val="nil"/>
              <w:right w:val="nil"/>
            </w:tcBorders>
            <w:shd w:val="clear" w:color="auto" w:fill="auto"/>
            <w:hideMark/>
          </w:tcPr>
          <w:p w14:paraId="2CEA3BE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Hakki, 2018</w:t>
            </w:r>
          </w:p>
        </w:tc>
        <w:tc>
          <w:tcPr>
            <w:tcW w:w="2430" w:type="dxa"/>
            <w:tcBorders>
              <w:top w:val="nil"/>
              <w:left w:val="nil"/>
              <w:bottom w:val="nil"/>
              <w:right w:val="nil"/>
            </w:tcBorders>
            <w:shd w:val="clear" w:color="auto" w:fill="auto"/>
            <w:hideMark/>
          </w:tcPr>
          <w:p w14:paraId="3108B72E" w14:textId="0284D276"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Discover the utility of a</w:t>
            </w:r>
            <w:r w:rsidR="0052634F" w:rsidRPr="0052634F">
              <w:rPr>
                <w:rFonts w:ascii="Times New Roman" w:eastAsia="Times New Roman" w:hAnsi="Times New Roman" w:cs="Times New Roman"/>
                <w:color w:val="000000"/>
                <w:sz w:val="20"/>
                <w:szCs w:val="20"/>
              </w:rPr>
              <w:t xml:space="preserve"> psychosocial</w:t>
            </w:r>
            <w:r w:rsidRPr="002F15A9">
              <w:rPr>
                <w:rFonts w:ascii="Times New Roman" w:eastAsia="Times New Roman" w:hAnsi="Times New Roman" w:cs="Times New Roman"/>
                <w:color w:val="000000"/>
                <w:sz w:val="20"/>
                <w:szCs w:val="20"/>
              </w:rPr>
              <w:t xml:space="preserve"> group </w:t>
            </w:r>
            <w:r w:rsidR="0052634F" w:rsidRPr="0052634F">
              <w:rPr>
                <w:rFonts w:ascii="Times New Roman" w:eastAsia="Times New Roman" w:hAnsi="Times New Roman" w:cs="Times New Roman"/>
                <w:color w:val="000000"/>
                <w:sz w:val="20"/>
                <w:szCs w:val="20"/>
              </w:rPr>
              <w:t xml:space="preserve">art </w:t>
            </w:r>
            <w:r w:rsidRPr="002F15A9">
              <w:rPr>
                <w:rFonts w:ascii="Times New Roman" w:eastAsia="Times New Roman" w:hAnsi="Times New Roman" w:cs="Times New Roman"/>
                <w:color w:val="000000"/>
                <w:sz w:val="20"/>
                <w:szCs w:val="20"/>
              </w:rPr>
              <w:t xml:space="preserve">program </w:t>
            </w:r>
            <w:r w:rsidR="0052634F" w:rsidRPr="0052634F">
              <w:rPr>
                <w:rFonts w:ascii="Times New Roman" w:eastAsia="Times New Roman" w:hAnsi="Times New Roman" w:cs="Times New Roman"/>
                <w:color w:val="000000"/>
                <w:sz w:val="20"/>
                <w:szCs w:val="20"/>
              </w:rPr>
              <w:t>and</w:t>
            </w:r>
            <w:r w:rsidRPr="002F15A9">
              <w:rPr>
                <w:rFonts w:ascii="Times New Roman" w:eastAsia="Times New Roman" w:hAnsi="Times New Roman" w:cs="Times New Roman"/>
                <w:color w:val="000000"/>
                <w:sz w:val="20"/>
                <w:szCs w:val="20"/>
              </w:rPr>
              <w:t xml:space="preserve"> whether it can be applied or developed further for older refugee women or women refugees in general, and to inform field workers. </w:t>
            </w:r>
            <w:r w:rsidR="0052634F" w:rsidRPr="0052634F">
              <w:rPr>
                <w:rFonts w:ascii="Times New Roman" w:eastAsia="Times New Roman" w:hAnsi="Times New Roman" w:cs="Times New Roman"/>
                <w:color w:val="000000"/>
                <w:sz w:val="20"/>
                <w:szCs w:val="20"/>
              </w:rPr>
              <w:t xml:space="preserve">The program helps </w:t>
            </w:r>
            <w:r w:rsidRPr="002F15A9">
              <w:rPr>
                <w:rFonts w:ascii="Times New Roman" w:eastAsia="Times New Roman" w:hAnsi="Times New Roman" w:cs="Times New Roman"/>
                <w:color w:val="000000"/>
                <w:sz w:val="20"/>
                <w:szCs w:val="20"/>
              </w:rPr>
              <w:t xml:space="preserve">in exploring resilience and adversity-activated development relating to experiencing major role changes in </w:t>
            </w:r>
            <w:r w:rsidR="0052634F" w:rsidRPr="0052634F">
              <w:rPr>
                <w:rFonts w:ascii="Times New Roman" w:eastAsia="Times New Roman" w:hAnsi="Times New Roman" w:cs="Times New Roman"/>
                <w:color w:val="000000"/>
                <w:sz w:val="20"/>
                <w:szCs w:val="20"/>
              </w:rPr>
              <w:t>older women’s</w:t>
            </w:r>
            <w:r w:rsidRPr="002F15A9">
              <w:rPr>
                <w:rFonts w:ascii="Times New Roman" w:eastAsia="Times New Roman" w:hAnsi="Times New Roman" w:cs="Times New Roman"/>
                <w:color w:val="000000"/>
                <w:sz w:val="20"/>
                <w:szCs w:val="20"/>
              </w:rPr>
              <w:t xml:space="preserve"> lives.</w:t>
            </w:r>
          </w:p>
        </w:tc>
        <w:tc>
          <w:tcPr>
            <w:tcW w:w="2250" w:type="dxa"/>
            <w:tcBorders>
              <w:top w:val="nil"/>
              <w:left w:val="nil"/>
              <w:bottom w:val="nil"/>
              <w:right w:val="nil"/>
            </w:tcBorders>
            <w:shd w:val="clear" w:color="auto" w:fill="auto"/>
            <w:hideMark/>
          </w:tcPr>
          <w:p w14:paraId="3668244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w:t>
            </w:r>
          </w:p>
        </w:tc>
        <w:tc>
          <w:tcPr>
            <w:tcW w:w="1800" w:type="dxa"/>
            <w:tcBorders>
              <w:top w:val="nil"/>
              <w:left w:val="nil"/>
              <w:bottom w:val="nil"/>
              <w:right w:val="nil"/>
            </w:tcBorders>
            <w:shd w:val="clear" w:color="auto" w:fill="auto"/>
            <w:hideMark/>
          </w:tcPr>
          <w:p w14:paraId="54444C9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Turkey, Kilis, 2017 (Syrian War, 2011)</w:t>
            </w:r>
          </w:p>
        </w:tc>
        <w:tc>
          <w:tcPr>
            <w:tcW w:w="1980" w:type="dxa"/>
            <w:tcBorders>
              <w:top w:val="nil"/>
              <w:left w:val="nil"/>
              <w:bottom w:val="nil"/>
              <w:right w:val="nil"/>
            </w:tcBorders>
            <w:shd w:val="clear" w:color="auto" w:fill="auto"/>
            <w:hideMark/>
          </w:tcPr>
          <w:p w14:paraId="5B3C5CA2" w14:textId="6DBE8F1D"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3 elderly Syrian refugee </w:t>
            </w:r>
            <w:r w:rsidR="0052634F">
              <w:rPr>
                <w:rFonts w:ascii="Times New Roman" w:eastAsia="Times New Roman" w:hAnsi="Times New Roman" w:cs="Times New Roman"/>
                <w:color w:val="000000"/>
                <w:sz w:val="20"/>
                <w:szCs w:val="20"/>
              </w:rPr>
              <w:t>women</w:t>
            </w:r>
            <w:r w:rsidRPr="002F15A9">
              <w:rPr>
                <w:rFonts w:ascii="Times New Roman" w:eastAsia="Times New Roman" w:hAnsi="Times New Roman" w:cs="Times New Roman"/>
                <w:color w:val="000000"/>
                <w:sz w:val="20"/>
                <w:szCs w:val="20"/>
              </w:rPr>
              <w:t xml:space="preserve"> (aged 55 and above)</w:t>
            </w:r>
          </w:p>
        </w:tc>
        <w:tc>
          <w:tcPr>
            <w:tcW w:w="3510" w:type="dxa"/>
            <w:tcBorders>
              <w:top w:val="nil"/>
              <w:left w:val="nil"/>
              <w:bottom w:val="nil"/>
              <w:right w:val="nil"/>
            </w:tcBorders>
            <w:shd w:val="clear" w:color="auto" w:fill="auto"/>
            <w:hideMark/>
          </w:tcPr>
          <w:p w14:paraId="35BA89C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Positive expressions and continued sadness observed in older Syrian refugee women after participating in creative arts activities.</w:t>
            </w:r>
          </w:p>
        </w:tc>
      </w:tr>
      <w:tr w:rsidR="002F15A9" w:rsidRPr="002F15A9" w14:paraId="417495A0" w14:textId="77777777" w:rsidTr="000B387E">
        <w:trPr>
          <w:trHeight w:val="283"/>
        </w:trPr>
        <w:tc>
          <w:tcPr>
            <w:tcW w:w="1710" w:type="dxa"/>
            <w:tcBorders>
              <w:top w:val="nil"/>
              <w:left w:val="nil"/>
              <w:bottom w:val="nil"/>
              <w:right w:val="nil"/>
            </w:tcBorders>
            <w:shd w:val="clear" w:color="auto" w:fill="auto"/>
            <w:hideMark/>
          </w:tcPr>
          <w:p w14:paraId="5F808F1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Khodadadi, 2018</w:t>
            </w:r>
          </w:p>
        </w:tc>
        <w:tc>
          <w:tcPr>
            <w:tcW w:w="2430" w:type="dxa"/>
            <w:tcBorders>
              <w:top w:val="nil"/>
              <w:left w:val="nil"/>
              <w:bottom w:val="nil"/>
              <w:right w:val="nil"/>
            </w:tcBorders>
            <w:shd w:val="clear" w:color="auto" w:fill="auto"/>
            <w:hideMark/>
          </w:tcPr>
          <w:p w14:paraId="61FF0B2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Identify indexes of caring for elderly people in an earthquake according to the Iranian experience.</w:t>
            </w:r>
          </w:p>
        </w:tc>
        <w:tc>
          <w:tcPr>
            <w:tcW w:w="2250" w:type="dxa"/>
            <w:tcBorders>
              <w:top w:val="nil"/>
              <w:left w:val="nil"/>
              <w:bottom w:val="nil"/>
              <w:right w:val="nil"/>
            </w:tcBorders>
            <w:shd w:val="clear" w:color="auto" w:fill="auto"/>
            <w:hideMark/>
          </w:tcPr>
          <w:p w14:paraId="105B92D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design using purposive sampling</w:t>
            </w:r>
          </w:p>
        </w:tc>
        <w:tc>
          <w:tcPr>
            <w:tcW w:w="1800" w:type="dxa"/>
            <w:tcBorders>
              <w:top w:val="nil"/>
              <w:left w:val="nil"/>
              <w:bottom w:val="nil"/>
              <w:right w:val="nil"/>
            </w:tcBorders>
            <w:shd w:val="clear" w:color="auto" w:fill="auto"/>
            <w:hideMark/>
          </w:tcPr>
          <w:p w14:paraId="241BFF8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Iran, 2016 (Bam Earthquake, 2003)</w:t>
            </w:r>
          </w:p>
        </w:tc>
        <w:tc>
          <w:tcPr>
            <w:tcW w:w="1980" w:type="dxa"/>
            <w:tcBorders>
              <w:top w:val="nil"/>
              <w:left w:val="nil"/>
              <w:bottom w:val="nil"/>
              <w:right w:val="nil"/>
            </w:tcBorders>
            <w:shd w:val="clear" w:color="auto" w:fill="auto"/>
            <w:hideMark/>
          </w:tcPr>
          <w:p w14:paraId="61264F8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23 participants including 11 experts providing disaster services to elderly and 12 Iranian elderly (aged 65 and above, 67% males)</w:t>
            </w:r>
          </w:p>
        </w:tc>
        <w:tc>
          <w:tcPr>
            <w:tcW w:w="3510" w:type="dxa"/>
            <w:tcBorders>
              <w:top w:val="nil"/>
              <w:left w:val="nil"/>
              <w:bottom w:val="nil"/>
              <w:right w:val="nil"/>
            </w:tcBorders>
            <w:shd w:val="clear" w:color="auto" w:fill="auto"/>
            <w:hideMark/>
          </w:tcPr>
          <w:p w14:paraId="15C4FEE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Seven categories emerged: vulnerability, physiological and psychological indexes, economic, religious and spiritual indexes, health indexes, and security indexes. Uncategorized issues included the absence of a specific protocol for the elderly and the need for age care plans.</w:t>
            </w:r>
          </w:p>
        </w:tc>
      </w:tr>
      <w:tr w:rsidR="002F15A9" w:rsidRPr="002F15A9" w14:paraId="1E66C2DC" w14:textId="77777777" w:rsidTr="000B387E">
        <w:trPr>
          <w:trHeight w:val="283"/>
        </w:trPr>
        <w:tc>
          <w:tcPr>
            <w:tcW w:w="1710" w:type="dxa"/>
            <w:tcBorders>
              <w:top w:val="nil"/>
              <w:left w:val="nil"/>
              <w:bottom w:val="nil"/>
              <w:right w:val="nil"/>
            </w:tcBorders>
            <w:shd w:val="clear" w:color="auto" w:fill="auto"/>
            <w:hideMark/>
          </w:tcPr>
          <w:p w14:paraId="309CF89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Almazan, 2018</w:t>
            </w:r>
          </w:p>
        </w:tc>
        <w:tc>
          <w:tcPr>
            <w:tcW w:w="2430" w:type="dxa"/>
            <w:tcBorders>
              <w:top w:val="nil"/>
              <w:left w:val="nil"/>
              <w:bottom w:val="nil"/>
              <w:right w:val="nil"/>
            </w:tcBorders>
            <w:shd w:val="clear" w:color="auto" w:fill="auto"/>
            <w:hideMark/>
          </w:tcPr>
          <w:p w14:paraId="10F8733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the relationships between life satisfaction, attitude, spirituality, and locus of control towards resiliency among older adult Typhoon Haiyan survivors.</w:t>
            </w:r>
          </w:p>
        </w:tc>
        <w:tc>
          <w:tcPr>
            <w:tcW w:w="2250" w:type="dxa"/>
            <w:tcBorders>
              <w:top w:val="nil"/>
              <w:left w:val="nil"/>
              <w:bottom w:val="nil"/>
              <w:right w:val="nil"/>
            </w:tcBorders>
            <w:shd w:val="clear" w:color="auto" w:fill="auto"/>
            <w:hideMark/>
          </w:tcPr>
          <w:p w14:paraId="2668189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0283062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Philippines, temporary shelters provided by local government units and non-government organizations in Tacloban City, 2015 (Typhoon Haiyan, 2013)</w:t>
            </w:r>
          </w:p>
        </w:tc>
        <w:tc>
          <w:tcPr>
            <w:tcW w:w="1980" w:type="dxa"/>
            <w:tcBorders>
              <w:top w:val="nil"/>
              <w:left w:val="nil"/>
              <w:bottom w:val="nil"/>
              <w:right w:val="nil"/>
            </w:tcBorders>
            <w:shd w:val="clear" w:color="auto" w:fill="auto"/>
            <w:hideMark/>
          </w:tcPr>
          <w:p w14:paraId="77900F0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2020 internally displaced Filipino elderly (52% males)</w:t>
            </w:r>
          </w:p>
        </w:tc>
        <w:tc>
          <w:tcPr>
            <w:tcW w:w="3510" w:type="dxa"/>
            <w:tcBorders>
              <w:top w:val="nil"/>
              <w:left w:val="nil"/>
              <w:bottom w:val="nil"/>
              <w:right w:val="nil"/>
            </w:tcBorders>
            <w:shd w:val="clear" w:color="auto" w:fill="auto"/>
            <w:hideMark/>
          </w:tcPr>
          <w:p w14:paraId="6C9EAD2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Spirituality and locus of control had a direct effect on life satisfaction. Furthermore, resilience was found to mediate the relationship between attitude and life satisfaction among older adult Typhoon Haiyan survivors.</w:t>
            </w:r>
          </w:p>
        </w:tc>
      </w:tr>
      <w:tr w:rsidR="002F15A9" w:rsidRPr="002F15A9" w14:paraId="2DA52077" w14:textId="77777777" w:rsidTr="000B387E">
        <w:trPr>
          <w:trHeight w:val="283"/>
        </w:trPr>
        <w:tc>
          <w:tcPr>
            <w:tcW w:w="1710" w:type="dxa"/>
            <w:tcBorders>
              <w:top w:val="nil"/>
              <w:left w:val="nil"/>
              <w:bottom w:val="nil"/>
              <w:right w:val="nil"/>
            </w:tcBorders>
            <w:shd w:val="clear" w:color="auto" w:fill="auto"/>
            <w:hideMark/>
          </w:tcPr>
          <w:p w14:paraId="674E433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Daddoust, 2018</w:t>
            </w:r>
          </w:p>
        </w:tc>
        <w:tc>
          <w:tcPr>
            <w:tcW w:w="2430" w:type="dxa"/>
            <w:tcBorders>
              <w:top w:val="nil"/>
              <w:left w:val="nil"/>
              <w:bottom w:val="nil"/>
              <w:right w:val="nil"/>
            </w:tcBorders>
            <w:shd w:val="clear" w:color="auto" w:fill="auto"/>
            <w:hideMark/>
          </w:tcPr>
          <w:p w14:paraId="4075984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Qualitatively assess disaster-related vulnerability and </w:t>
            </w:r>
            <w:r w:rsidRPr="002F15A9">
              <w:rPr>
                <w:rFonts w:ascii="Times New Roman" w:eastAsia="Times New Roman" w:hAnsi="Times New Roman" w:cs="Times New Roman"/>
                <w:color w:val="000000"/>
                <w:sz w:val="20"/>
                <w:szCs w:val="20"/>
              </w:rPr>
              <w:lastRenderedPageBreak/>
              <w:t>contributing factors based on older adults’ perceptions and experiences.</w:t>
            </w:r>
          </w:p>
        </w:tc>
        <w:tc>
          <w:tcPr>
            <w:tcW w:w="2250" w:type="dxa"/>
            <w:tcBorders>
              <w:top w:val="nil"/>
              <w:left w:val="nil"/>
              <w:bottom w:val="nil"/>
              <w:right w:val="nil"/>
            </w:tcBorders>
            <w:shd w:val="clear" w:color="auto" w:fill="auto"/>
            <w:hideMark/>
          </w:tcPr>
          <w:p w14:paraId="7A5ED87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Qualitative Descriptive design using purposive sampling</w:t>
            </w:r>
          </w:p>
        </w:tc>
        <w:tc>
          <w:tcPr>
            <w:tcW w:w="1800" w:type="dxa"/>
            <w:tcBorders>
              <w:top w:val="nil"/>
              <w:left w:val="nil"/>
              <w:bottom w:val="nil"/>
              <w:right w:val="nil"/>
            </w:tcBorders>
            <w:shd w:val="clear" w:color="auto" w:fill="auto"/>
            <w:hideMark/>
          </w:tcPr>
          <w:p w14:paraId="23A2574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Iran, East Azerbaijan Province, October </w:t>
            </w:r>
            <w:r w:rsidRPr="002F15A9">
              <w:rPr>
                <w:rFonts w:ascii="Times New Roman" w:eastAsia="Times New Roman" w:hAnsi="Times New Roman" w:cs="Times New Roman"/>
                <w:color w:val="000000"/>
                <w:sz w:val="20"/>
                <w:szCs w:val="20"/>
              </w:rPr>
              <w:lastRenderedPageBreak/>
              <w:t>2015-March 2016 (East Azerbaijan Earhquakes and flood, 2012)</w:t>
            </w:r>
          </w:p>
        </w:tc>
        <w:tc>
          <w:tcPr>
            <w:tcW w:w="1980" w:type="dxa"/>
            <w:tcBorders>
              <w:top w:val="nil"/>
              <w:left w:val="nil"/>
              <w:bottom w:val="nil"/>
              <w:right w:val="nil"/>
            </w:tcBorders>
            <w:shd w:val="clear" w:color="auto" w:fill="auto"/>
            <w:hideMark/>
          </w:tcPr>
          <w:p w14:paraId="25FBB5F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two experts from the field of health in emergencies and </w:t>
            </w:r>
            <w:r w:rsidRPr="002F15A9">
              <w:rPr>
                <w:rFonts w:ascii="Times New Roman" w:eastAsia="Times New Roman" w:hAnsi="Times New Roman" w:cs="Times New Roman"/>
                <w:color w:val="000000"/>
                <w:sz w:val="20"/>
                <w:szCs w:val="20"/>
              </w:rPr>
              <w:lastRenderedPageBreak/>
              <w:t>disaster management and 22 Iranian elderly (aged 60 and above, 64% males)</w:t>
            </w:r>
          </w:p>
        </w:tc>
        <w:tc>
          <w:tcPr>
            <w:tcW w:w="3510" w:type="dxa"/>
            <w:tcBorders>
              <w:top w:val="nil"/>
              <w:left w:val="nil"/>
              <w:bottom w:val="nil"/>
              <w:right w:val="nil"/>
            </w:tcBorders>
            <w:shd w:val="clear" w:color="auto" w:fill="auto"/>
            <w:hideMark/>
          </w:tcPr>
          <w:p w14:paraId="448140F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Personal and social factors were identified as themes contributing to </w:t>
            </w:r>
            <w:r w:rsidRPr="002F15A9">
              <w:rPr>
                <w:rFonts w:ascii="Times New Roman" w:eastAsia="Times New Roman" w:hAnsi="Times New Roman" w:cs="Times New Roman"/>
                <w:color w:val="000000"/>
                <w:sz w:val="20"/>
                <w:szCs w:val="20"/>
              </w:rPr>
              <w:lastRenderedPageBreak/>
              <w:t>disaster-related vulnerability among Iranian elderly participants.</w:t>
            </w:r>
          </w:p>
        </w:tc>
      </w:tr>
      <w:tr w:rsidR="002F15A9" w:rsidRPr="002F15A9" w14:paraId="11D8E238" w14:textId="77777777" w:rsidTr="000B387E">
        <w:trPr>
          <w:trHeight w:val="283"/>
        </w:trPr>
        <w:tc>
          <w:tcPr>
            <w:tcW w:w="1710" w:type="dxa"/>
            <w:tcBorders>
              <w:top w:val="nil"/>
              <w:left w:val="nil"/>
              <w:bottom w:val="nil"/>
              <w:right w:val="nil"/>
            </w:tcBorders>
            <w:shd w:val="clear" w:color="auto" w:fill="auto"/>
            <w:hideMark/>
          </w:tcPr>
          <w:p w14:paraId="32DB309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Fauzan, 2019</w:t>
            </w:r>
          </w:p>
        </w:tc>
        <w:tc>
          <w:tcPr>
            <w:tcW w:w="2430" w:type="dxa"/>
            <w:tcBorders>
              <w:top w:val="nil"/>
              <w:left w:val="nil"/>
              <w:bottom w:val="nil"/>
              <w:right w:val="nil"/>
            </w:tcBorders>
            <w:shd w:val="clear" w:color="auto" w:fill="auto"/>
            <w:hideMark/>
          </w:tcPr>
          <w:p w14:paraId="1DE34BD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Analyze determinant factors related to the quality of life of elderly in post-disaster Sulawesi.</w:t>
            </w:r>
          </w:p>
        </w:tc>
        <w:tc>
          <w:tcPr>
            <w:tcW w:w="2250" w:type="dxa"/>
            <w:tcBorders>
              <w:top w:val="nil"/>
              <w:left w:val="nil"/>
              <w:bottom w:val="nil"/>
              <w:right w:val="nil"/>
            </w:tcBorders>
            <w:shd w:val="clear" w:color="auto" w:fill="auto"/>
            <w:hideMark/>
          </w:tcPr>
          <w:p w14:paraId="33E1928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6FBE546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Indonesia, Palu City, 2019 (2018 Sulawesi earthquake and tsunami, 2018)</w:t>
            </w:r>
          </w:p>
        </w:tc>
        <w:tc>
          <w:tcPr>
            <w:tcW w:w="1980" w:type="dxa"/>
            <w:tcBorders>
              <w:top w:val="nil"/>
              <w:left w:val="nil"/>
              <w:bottom w:val="nil"/>
              <w:right w:val="nil"/>
            </w:tcBorders>
            <w:shd w:val="clear" w:color="auto" w:fill="auto"/>
            <w:hideMark/>
          </w:tcPr>
          <w:p w14:paraId="73B9B33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112 Indonesian elderly from the Kaili, Bugis-Makassar, Jawa, and other ethnic groups (aged 45 and above, 45% males)</w:t>
            </w:r>
          </w:p>
        </w:tc>
        <w:tc>
          <w:tcPr>
            <w:tcW w:w="3510" w:type="dxa"/>
            <w:tcBorders>
              <w:top w:val="nil"/>
              <w:left w:val="nil"/>
              <w:bottom w:val="nil"/>
              <w:right w:val="nil"/>
            </w:tcBorders>
            <w:shd w:val="clear" w:color="auto" w:fill="auto"/>
            <w:hideMark/>
          </w:tcPr>
          <w:p w14:paraId="361D01C0" w14:textId="148507BC"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Social dysfunction, low educational status, unmarried status, </w:t>
            </w:r>
            <w:r w:rsidR="0052634F">
              <w:rPr>
                <w:rFonts w:ascii="Times New Roman" w:eastAsia="Times New Roman" w:hAnsi="Times New Roman" w:cs="Times New Roman"/>
                <w:color w:val="000000"/>
                <w:sz w:val="20"/>
                <w:szCs w:val="20"/>
              </w:rPr>
              <w:t xml:space="preserve">and </w:t>
            </w:r>
            <w:r w:rsidRPr="002F15A9">
              <w:rPr>
                <w:rFonts w:ascii="Times New Roman" w:eastAsia="Times New Roman" w:hAnsi="Times New Roman" w:cs="Times New Roman"/>
                <w:color w:val="000000"/>
                <w:sz w:val="20"/>
                <w:szCs w:val="20"/>
              </w:rPr>
              <w:t>history of falls were related to poor quality of life in the elderly.</w:t>
            </w:r>
          </w:p>
        </w:tc>
      </w:tr>
      <w:tr w:rsidR="002F15A9" w:rsidRPr="002F15A9" w14:paraId="79E823BF" w14:textId="77777777" w:rsidTr="000B387E">
        <w:trPr>
          <w:trHeight w:val="283"/>
        </w:trPr>
        <w:tc>
          <w:tcPr>
            <w:tcW w:w="1710" w:type="dxa"/>
            <w:tcBorders>
              <w:top w:val="nil"/>
              <w:left w:val="nil"/>
              <w:bottom w:val="nil"/>
              <w:right w:val="nil"/>
            </w:tcBorders>
            <w:shd w:val="clear" w:color="auto" w:fill="auto"/>
            <w:hideMark/>
          </w:tcPr>
          <w:p w14:paraId="486B2C0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Soonthornchaiya, 2019</w:t>
            </w:r>
          </w:p>
        </w:tc>
        <w:tc>
          <w:tcPr>
            <w:tcW w:w="2430" w:type="dxa"/>
            <w:tcBorders>
              <w:top w:val="nil"/>
              <w:left w:val="nil"/>
              <w:bottom w:val="nil"/>
              <w:right w:val="nil"/>
            </w:tcBorders>
            <w:shd w:val="clear" w:color="auto" w:fill="auto"/>
            <w:hideMark/>
          </w:tcPr>
          <w:p w14:paraId="5285C0E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Describe individual experiences regarding Tsunami impact in Thai elderly survivors after 4 years.</w:t>
            </w:r>
          </w:p>
        </w:tc>
        <w:tc>
          <w:tcPr>
            <w:tcW w:w="2250" w:type="dxa"/>
            <w:tcBorders>
              <w:top w:val="nil"/>
              <w:left w:val="nil"/>
              <w:bottom w:val="nil"/>
              <w:right w:val="nil"/>
            </w:tcBorders>
            <w:shd w:val="clear" w:color="auto" w:fill="auto"/>
            <w:hideMark/>
          </w:tcPr>
          <w:p w14:paraId="7046DB2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descriptive design using convenience sampling</w:t>
            </w:r>
          </w:p>
        </w:tc>
        <w:tc>
          <w:tcPr>
            <w:tcW w:w="1800" w:type="dxa"/>
            <w:tcBorders>
              <w:top w:val="nil"/>
              <w:left w:val="nil"/>
              <w:bottom w:val="nil"/>
              <w:right w:val="nil"/>
            </w:tcBorders>
            <w:shd w:val="clear" w:color="auto" w:fill="auto"/>
            <w:hideMark/>
          </w:tcPr>
          <w:p w14:paraId="6953251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Thailand, Phang Nga province, 2008 (2004 Indian Ocean earthquake and tsunami, 2004)</w:t>
            </w:r>
          </w:p>
        </w:tc>
        <w:tc>
          <w:tcPr>
            <w:tcW w:w="1980" w:type="dxa"/>
            <w:tcBorders>
              <w:top w:val="nil"/>
              <w:left w:val="nil"/>
              <w:bottom w:val="nil"/>
              <w:right w:val="nil"/>
            </w:tcBorders>
            <w:shd w:val="clear" w:color="auto" w:fill="auto"/>
            <w:hideMark/>
          </w:tcPr>
          <w:p w14:paraId="35C2B1CE" w14:textId="4CCA4584"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22 Thai elderl</w:t>
            </w:r>
            <w:r w:rsidR="00FB10AF">
              <w:rPr>
                <w:rFonts w:ascii="Times New Roman" w:eastAsia="Times New Roman" w:hAnsi="Times New Roman" w:cs="Times New Roman"/>
                <w:color w:val="000000"/>
                <w:sz w:val="20"/>
                <w:szCs w:val="20"/>
              </w:rPr>
              <w:t>ies</w:t>
            </w:r>
            <w:r w:rsidRPr="002F15A9">
              <w:rPr>
                <w:rFonts w:ascii="Times New Roman" w:eastAsia="Times New Roman" w:hAnsi="Times New Roman" w:cs="Times New Roman"/>
                <w:color w:val="000000"/>
                <w:sz w:val="20"/>
                <w:szCs w:val="20"/>
              </w:rPr>
              <w:t xml:space="preserve"> (aged 60 and above, 41% males)</w:t>
            </w:r>
          </w:p>
        </w:tc>
        <w:tc>
          <w:tcPr>
            <w:tcW w:w="3510" w:type="dxa"/>
            <w:tcBorders>
              <w:top w:val="nil"/>
              <w:left w:val="nil"/>
              <w:bottom w:val="nil"/>
              <w:right w:val="nil"/>
            </w:tcBorders>
            <w:shd w:val="clear" w:color="auto" w:fill="auto"/>
            <w:hideMark/>
          </w:tcPr>
          <w:p w14:paraId="092C0C7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Three major themes were identified: 1) deep feelings of suffering and missing loved ones, 2) coping with stress through reframing thoughts, living with life understanding, engaging in healing activities, seeking support from family, and building self-esteem, 3) engaging in self-care behaviors for mind and body healing, including continuous care, seeking both physical and mental health care, and holding onto Buddhist principles.</w:t>
            </w:r>
          </w:p>
        </w:tc>
      </w:tr>
      <w:tr w:rsidR="002F15A9" w:rsidRPr="002F15A9" w14:paraId="5AF567B8" w14:textId="77777777" w:rsidTr="000B387E">
        <w:trPr>
          <w:trHeight w:val="283"/>
        </w:trPr>
        <w:tc>
          <w:tcPr>
            <w:tcW w:w="1710" w:type="dxa"/>
            <w:tcBorders>
              <w:top w:val="nil"/>
              <w:left w:val="nil"/>
              <w:bottom w:val="nil"/>
              <w:right w:val="nil"/>
            </w:tcBorders>
            <w:shd w:val="clear" w:color="auto" w:fill="auto"/>
            <w:hideMark/>
          </w:tcPr>
          <w:p w14:paraId="59B05EC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Summers, 2019</w:t>
            </w:r>
          </w:p>
        </w:tc>
        <w:tc>
          <w:tcPr>
            <w:tcW w:w="2430" w:type="dxa"/>
            <w:tcBorders>
              <w:top w:val="nil"/>
              <w:left w:val="nil"/>
              <w:bottom w:val="nil"/>
              <w:right w:val="nil"/>
            </w:tcBorders>
            <w:shd w:val="clear" w:color="auto" w:fill="auto"/>
            <w:hideMark/>
          </w:tcPr>
          <w:p w14:paraId="5E30026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the prevalence of and whether there was an association between psychological distress and disability among older persons affected by conflict in eastern Ukraine.</w:t>
            </w:r>
          </w:p>
        </w:tc>
        <w:tc>
          <w:tcPr>
            <w:tcW w:w="2250" w:type="dxa"/>
            <w:tcBorders>
              <w:top w:val="nil"/>
              <w:left w:val="nil"/>
              <w:bottom w:val="nil"/>
              <w:right w:val="nil"/>
            </w:tcBorders>
            <w:shd w:val="clear" w:color="auto" w:fill="auto"/>
            <w:hideMark/>
          </w:tcPr>
          <w:p w14:paraId="72DA1A8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cluster sampling</w:t>
            </w:r>
          </w:p>
        </w:tc>
        <w:tc>
          <w:tcPr>
            <w:tcW w:w="1800" w:type="dxa"/>
            <w:tcBorders>
              <w:top w:val="nil"/>
              <w:left w:val="nil"/>
              <w:bottom w:val="nil"/>
              <w:right w:val="nil"/>
            </w:tcBorders>
            <w:shd w:val="clear" w:color="auto" w:fill="auto"/>
            <w:hideMark/>
          </w:tcPr>
          <w:p w14:paraId="34380AA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Ukraine, Donetsk Luhansk regions in eastern Ukraine, 2016 (Ukraine conflicts, 2014 and beyond)</w:t>
            </w:r>
          </w:p>
        </w:tc>
        <w:tc>
          <w:tcPr>
            <w:tcW w:w="1980" w:type="dxa"/>
            <w:tcBorders>
              <w:top w:val="nil"/>
              <w:left w:val="nil"/>
              <w:bottom w:val="nil"/>
              <w:right w:val="nil"/>
            </w:tcBorders>
            <w:shd w:val="clear" w:color="auto" w:fill="auto"/>
            <w:hideMark/>
          </w:tcPr>
          <w:p w14:paraId="64FD744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1176 elderly Ukrainians (aged 60 and above, 35% males)</w:t>
            </w:r>
          </w:p>
        </w:tc>
        <w:tc>
          <w:tcPr>
            <w:tcW w:w="3510" w:type="dxa"/>
            <w:tcBorders>
              <w:top w:val="nil"/>
              <w:left w:val="nil"/>
              <w:bottom w:val="nil"/>
              <w:right w:val="nil"/>
            </w:tcBorders>
            <w:shd w:val="clear" w:color="auto" w:fill="auto"/>
            <w:hideMark/>
          </w:tcPr>
          <w:p w14:paraId="6A625F7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High prevalence of psychological distress. Significant associations with disability, dependence, being a woman, and having a chronic disease.</w:t>
            </w:r>
          </w:p>
        </w:tc>
      </w:tr>
      <w:tr w:rsidR="002F15A9" w:rsidRPr="002F15A9" w14:paraId="2065B218" w14:textId="77777777" w:rsidTr="000B387E">
        <w:trPr>
          <w:trHeight w:val="283"/>
        </w:trPr>
        <w:tc>
          <w:tcPr>
            <w:tcW w:w="1710" w:type="dxa"/>
            <w:tcBorders>
              <w:top w:val="nil"/>
              <w:left w:val="nil"/>
              <w:bottom w:val="nil"/>
              <w:right w:val="nil"/>
            </w:tcBorders>
            <w:shd w:val="clear" w:color="auto" w:fill="auto"/>
            <w:hideMark/>
          </w:tcPr>
          <w:p w14:paraId="7D04256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Almazan, 2019</w:t>
            </w:r>
          </w:p>
        </w:tc>
        <w:tc>
          <w:tcPr>
            <w:tcW w:w="2430" w:type="dxa"/>
            <w:tcBorders>
              <w:top w:val="nil"/>
              <w:left w:val="nil"/>
              <w:bottom w:val="nil"/>
              <w:right w:val="nil"/>
            </w:tcBorders>
            <w:shd w:val="clear" w:color="auto" w:fill="auto"/>
            <w:hideMark/>
          </w:tcPr>
          <w:p w14:paraId="231C8A1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disaster resiliency among older adults after a traumatic experience.</w:t>
            </w:r>
          </w:p>
        </w:tc>
        <w:tc>
          <w:tcPr>
            <w:tcW w:w="2250" w:type="dxa"/>
            <w:tcBorders>
              <w:top w:val="nil"/>
              <w:left w:val="nil"/>
              <w:bottom w:val="nil"/>
              <w:right w:val="nil"/>
            </w:tcBorders>
            <w:shd w:val="clear" w:color="auto" w:fill="auto"/>
            <w:hideMark/>
          </w:tcPr>
          <w:p w14:paraId="18EB20F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case study design using purposive sampling</w:t>
            </w:r>
          </w:p>
        </w:tc>
        <w:tc>
          <w:tcPr>
            <w:tcW w:w="1800" w:type="dxa"/>
            <w:tcBorders>
              <w:top w:val="nil"/>
              <w:left w:val="nil"/>
              <w:bottom w:val="nil"/>
              <w:right w:val="nil"/>
            </w:tcBorders>
            <w:shd w:val="clear" w:color="auto" w:fill="auto"/>
            <w:hideMark/>
          </w:tcPr>
          <w:p w14:paraId="0F5CD145" w14:textId="7C82F8E6" w:rsidR="002F15A9" w:rsidRPr="002F15A9" w:rsidRDefault="00FB10AF"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Philippines, Tacloban</w:t>
            </w:r>
            <w:r w:rsidR="002F15A9" w:rsidRPr="002F15A9">
              <w:rPr>
                <w:rFonts w:ascii="Times New Roman" w:eastAsia="Times New Roman" w:hAnsi="Times New Roman" w:cs="Times New Roman"/>
                <w:color w:val="000000"/>
                <w:sz w:val="20"/>
                <w:szCs w:val="20"/>
              </w:rPr>
              <w:t>, Leyte, 2015 (Typhoon Haiyan, 2013)</w:t>
            </w:r>
          </w:p>
        </w:tc>
        <w:tc>
          <w:tcPr>
            <w:tcW w:w="1980" w:type="dxa"/>
            <w:tcBorders>
              <w:top w:val="nil"/>
              <w:left w:val="nil"/>
              <w:bottom w:val="nil"/>
              <w:right w:val="nil"/>
            </w:tcBorders>
            <w:shd w:val="clear" w:color="auto" w:fill="auto"/>
            <w:hideMark/>
          </w:tcPr>
          <w:p w14:paraId="76D4EB40" w14:textId="089FCC6B"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26 elderl</w:t>
            </w:r>
            <w:r w:rsidR="00FB10AF">
              <w:rPr>
                <w:rFonts w:ascii="Times New Roman" w:eastAsia="Times New Roman" w:hAnsi="Times New Roman" w:cs="Times New Roman"/>
                <w:color w:val="000000"/>
                <w:sz w:val="20"/>
                <w:szCs w:val="20"/>
              </w:rPr>
              <w:t>ies f</w:t>
            </w:r>
            <w:r w:rsidRPr="002F15A9">
              <w:rPr>
                <w:rFonts w:ascii="Times New Roman" w:eastAsia="Times New Roman" w:hAnsi="Times New Roman" w:cs="Times New Roman"/>
                <w:color w:val="000000"/>
                <w:sz w:val="20"/>
                <w:szCs w:val="20"/>
              </w:rPr>
              <w:t>rom Eastern Philippines (aged 60 and above, 46% males)</w:t>
            </w:r>
          </w:p>
        </w:tc>
        <w:tc>
          <w:tcPr>
            <w:tcW w:w="3510" w:type="dxa"/>
            <w:tcBorders>
              <w:top w:val="nil"/>
              <w:left w:val="nil"/>
              <w:bottom w:val="nil"/>
              <w:right w:val="nil"/>
            </w:tcBorders>
            <w:shd w:val="clear" w:color="auto" w:fill="auto"/>
            <w:hideMark/>
          </w:tcPr>
          <w:p w14:paraId="6151F660" w14:textId="60A12A88"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Four themes were </w:t>
            </w:r>
            <w:r w:rsidR="0052634F" w:rsidRPr="002F15A9">
              <w:rPr>
                <w:rFonts w:ascii="Times New Roman" w:eastAsia="Times New Roman" w:hAnsi="Times New Roman" w:cs="Times New Roman"/>
                <w:sz w:val="20"/>
                <w:szCs w:val="20"/>
              </w:rPr>
              <w:t>generated: ‘Understanding</w:t>
            </w:r>
            <w:r w:rsidRPr="002F15A9">
              <w:rPr>
                <w:rFonts w:ascii="Times New Roman" w:eastAsia="Times New Roman" w:hAnsi="Times New Roman" w:cs="Times New Roman"/>
                <w:sz w:val="20"/>
                <w:szCs w:val="20"/>
              </w:rPr>
              <w:t xml:space="preserve"> one’s culture generates resilience that can turn huge impact in coping with </w:t>
            </w:r>
            <w:r w:rsidR="0052634F" w:rsidRPr="002F15A9">
              <w:rPr>
                <w:rFonts w:ascii="Times New Roman" w:eastAsia="Times New Roman" w:hAnsi="Times New Roman" w:cs="Times New Roman"/>
                <w:sz w:val="20"/>
                <w:szCs w:val="20"/>
              </w:rPr>
              <w:t>disaster’, ‘Holding</w:t>
            </w:r>
            <w:r w:rsidRPr="002F15A9">
              <w:rPr>
                <w:rFonts w:ascii="Times New Roman" w:eastAsia="Times New Roman" w:hAnsi="Times New Roman" w:cs="Times New Roman"/>
                <w:sz w:val="20"/>
                <w:szCs w:val="20"/>
              </w:rPr>
              <w:t xml:space="preserve"> on to </w:t>
            </w:r>
            <w:r w:rsidRPr="002F15A9">
              <w:rPr>
                <w:rFonts w:ascii="Times New Roman" w:eastAsia="Times New Roman" w:hAnsi="Times New Roman" w:cs="Times New Roman"/>
                <w:sz w:val="20"/>
                <w:szCs w:val="20"/>
              </w:rPr>
              <w:lastRenderedPageBreak/>
              <w:t xml:space="preserve">their faith </w:t>
            </w:r>
            <w:r w:rsidR="0052634F" w:rsidRPr="002F15A9">
              <w:rPr>
                <w:rFonts w:ascii="Times New Roman" w:eastAsia="Times New Roman" w:hAnsi="Times New Roman" w:cs="Times New Roman"/>
                <w:sz w:val="20"/>
                <w:szCs w:val="20"/>
              </w:rPr>
              <w:t>by praying</w:t>
            </w:r>
            <w:r w:rsidRPr="002F15A9">
              <w:rPr>
                <w:rFonts w:ascii="Times New Roman" w:eastAsia="Times New Roman" w:hAnsi="Times New Roman" w:cs="Times New Roman"/>
                <w:sz w:val="20"/>
                <w:szCs w:val="20"/>
              </w:rPr>
              <w:t xml:space="preserve"> or acting practically during adversities still promotes </w:t>
            </w:r>
            <w:r w:rsidR="0052634F" w:rsidRPr="002F15A9">
              <w:rPr>
                <w:rFonts w:ascii="Times New Roman" w:eastAsia="Times New Roman" w:hAnsi="Times New Roman" w:cs="Times New Roman"/>
                <w:sz w:val="20"/>
                <w:szCs w:val="20"/>
              </w:rPr>
              <w:t>adaptation’, ‘Gaining</w:t>
            </w:r>
            <w:r w:rsidRPr="002F15A9">
              <w:rPr>
                <w:rFonts w:ascii="Times New Roman" w:eastAsia="Times New Roman" w:hAnsi="Times New Roman" w:cs="Times New Roman"/>
                <w:sz w:val="20"/>
                <w:szCs w:val="20"/>
              </w:rPr>
              <w:t xml:space="preserve"> previous experiences is crucial to the positive </w:t>
            </w:r>
            <w:r w:rsidR="0052634F" w:rsidRPr="002F15A9">
              <w:rPr>
                <w:rFonts w:ascii="Times New Roman" w:eastAsia="Times New Roman" w:hAnsi="Times New Roman" w:cs="Times New Roman"/>
                <w:sz w:val="20"/>
                <w:szCs w:val="20"/>
              </w:rPr>
              <w:t>outcome’, ‘Getting</w:t>
            </w:r>
            <w:r w:rsidRPr="002F15A9">
              <w:rPr>
                <w:rFonts w:ascii="Times New Roman" w:eastAsia="Times New Roman" w:hAnsi="Times New Roman" w:cs="Times New Roman"/>
                <w:sz w:val="20"/>
                <w:szCs w:val="20"/>
              </w:rPr>
              <w:t xml:space="preserve"> social support or not promotes </w:t>
            </w:r>
            <w:r w:rsidR="0052634F" w:rsidRPr="002F15A9">
              <w:rPr>
                <w:rFonts w:ascii="Times New Roman" w:eastAsia="Times New Roman" w:hAnsi="Times New Roman" w:cs="Times New Roman"/>
                <w:sz w:val="20"/>
                <w:szCs w:val="20"/>
              </w:rPr>
              <w:t>adaptation’. These</w:t>
            </w:r>
            <w:r w:rsidRPr="002F15A9">
              <w:rPr>
                <w:rFonts w:ascii="Times New Roman" w:eastAsia="Times New Roman" w:hAnsi="Times New Roman" w:cs="Times New Roman"/>
                <w:sz w:val="20"/>
                <w:szCs w:val="20"/>
              </w:rPr>
              <w:t xml:space="preserve"> concepts are connected with each other, and the relationship of these factors facilitates the rebuilding of the older adults’ lives.</w:t>
            </w:r>
          </w:p>
        </w:tc>
      </w:tr>
      <w:tr w:rsidR="002F15A9" w:rsidRPr="002F15A9" w14:paraId="23584613" w14:textId="77777777" w:rsidTr="000B387E">
        <w:trPr>
          <w:trHeight w:val="283"/>
        </w:trPr>
        <w:tc>
          <w:tcPr>
            <w:tcW w:w="1710" w:type="dxa"/>
            <w:tcBorders>
              <w:top w:val="nil"/>
              <w:left w:val="nil"/>
              <w:bottom w:val="nil"/>
              <w:right w:val="nil"/>
            </w:tcBorders>
            <w:shd w:val="clear" w:color="auto" w:fill="auto"/>
            <w:hideMark/>
          </w:tcPr>
          <w:p w14:paraId="74B8CD5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Mubarak, 2019</w:t>
            </w:r>
          </w:p>
        </w:tc>
        <w:tc>
          <w:tcPr>
            <w:tcW w:w="2430" w:type="dxa"/>
            <w:tcBorders>
              <w:top w:val="nil"/>
              <w:left w:val="nil"/>
              <w:bottom w:val="nil"/>
              <w:right w:val="nil"/>
            </w:tcBorders>
            <w:shd w:val="clear" w:color="auto" w:fill="auto"/>
            <w:hideMark/>
          </w:tcPr>
          <w:p w14:paraId="70AA7C8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post-traumatic stress among elderly Syrian refugees living in Egypt.</w:t>
            </w:r>
          </w:p>
        </w:tc>
        <w:tc>
          <w:tcPr>
            <w:tcW w:w="2250" w:type="dxa"/>
            <w:tcBorders>
              <w:top w:val="nil"/>
              <w:left w:val="nil"/>
              <w:bottom w:val="nil"/>
              <w:right w:val="nil"/>
            </w:tcBorders>
            <w:shd w:val="clear" w:color="auto" w:fill="auto"/>
            <w:hideMark/>
          </w:tcPr>
          <w:p w14:paraId="57779BC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w:t>
            </w:r>
          </w:p>
        </w:tc>
        <w:tc>
          <w:tcPr>
            <w:tcW w:w="1800" w:type="dxa"/>
            <w:tcBorders>
              <w:top w:val="nil"/>
              <w:left w:val="nil"/>
              <w:bottom w:val="nil"/>
              <w:right w:val="nil"/>
            </w:tcBorders>
            <w:shd w:val="clear" w:color="auto" w:fill="auto"/>
            <w:hideMark/>
          </w:tcPr>
          <w:p w14:paraId="22A13588" w14:textId="7571EA2D"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Egypt (Syrian war, 2011)</w:t>
            </w:r>
          </w:p>
        </w:tc>
        <w:tc>
          <w:tcPr>
            <w:tcW w:w="1980" w:type="dxa"/>
            <w:tcBorders>
              <w:top w:val="nil"/>
              <w:left w:val="nil"/>
              <w:bottom w:val="nil"/>
              <w:right w:val="nil"/>
            </w:tcBorders>
            <w:shd w:val="clear" w:color="auto" w:fill="auto"/>
            <w:hideMark/>
          </w:tcPr>
          <w:p w14:paraId="1D8F7A6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47 elderly Syrian refugees (aged 60 and above, 36% males)</w:t>
            </w:r>
          </w:p>
        </w:tc>
        <w:tc>
          <w:tcPr>
            <w:tcW w:w="3510" w:type="dxa"/>
            <w:tcBorders>
              <w:top w:val="nil"/>
              <w:left w:val="nil"/>
              <w:bottom w:val="nil"/>
              <w:right w:val="nil"/>
            </w:tcBorders>
            <w:shd w:val="clear" w:color="auto" w:fill="auto"/>
            <w:hideMark/>
          </w:tcPr>
          <w:p w14:paraId="245671CB" w14:textId="77777777"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All subjects suffer from chronic PTSD, ranging from average in 89.4% and high in 10.6%. No significant differences were found based on gender, marital status, period of stay in the country of refuge or family life cycle.</w:t>
            </w:r>
          </w:p>
        </w:tc>
      </w:tr>
      <w:tr w:rsidR="002F15A9" w:rsidRPr="002F15A9" w14:paraId="5B716FB3" w14:textId="77777777" w:rsidTr="000B387E">
        <w:trPr>
          <w:trHeight w:val="283"/>
        </w:trPr>
        <w:tc>
          <w:tcPr>
            <w:tcW w:w="1710" w:type="dxa"/>
            <w:tcBorders>
              <w:top w:val="nil"/>
              <w:left w:val="nil"/>
              <w:bottom w:val="nil"/>
              <w:right w:val="nil"/>
            </w:tcBorders>
            <w:shd w:val="clear" w:color="auto" w:fill="auto"/>
            <w:hideMark/>
          </w:tcPr>
          <w:p w14:paraId="0C850BC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Aurizki, 2020</w:t>
            </w:r>
          </w:p>
        </w:tc>
        <w:tc>
          <w:tcPr>
            <w:tcW w:w="2430" w:type="dxa"/>
            <w:tcBorders>
              <w:top w:val="nil"/>
              <w:left w:val="nil"/>
              <w:bottom w:val="nil"/>
              <w:right w:val="nil"/>
            </w:tcBorders>
            <w:shd w:val="clear" w:color="auto" w:fill="auto"/>
            <w:hideMark/>
          </w:tcPr>
          <w:p w14:paraId="67210EE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Analyze factors associated with PTSD in Indonesian elderly survivors after the Lombok earthquake.</w:t>
            </w:r>
          </w:p>
        </w:tc>
        <w:tc>
          <w:tcPr>
            <w:tcW w:w="2250" w:type="dxa"/>
            <w:tcBorders>
              <w:top w:val="nil"/>
              <w:left w:val="nil"/>
              <w:bottom w:val="nil"/>
              <w:right w:val="nil"/>
            </w:tcBorders>
            <w:shd w:val="clear" w:color="auto" w:fill="auto"/>
            <w:hideMark/>
          </w:tcPr>
          <w:p w14:paraId="7A45B6A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5F7D968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Lombok Earthquake, 2019 (Lombok Earthquake, 2018)</w:t>
            </w:r>
          </w:p>
        </w:tc>
        <w:tc>
          <w:tcPr>
            <w:tcW w:w="1980" w:type="dxa"/>
            <w:tcBorders>
              <w:top w:val="nil"/>
              <w:left w:val="nil"/>
              <w:bottom w:val="nil"/>
              <w:right w:val="nil"/>
            </w:tcBorders>
            <w:shd w:val="clear" w:color="auto" w:fill="auto"/>
            <w:hideMark/>
          </w:tcPr>
          <w:p w14:paraId="7004EC7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152 Indonesian elderly (aged 60 and above, 26% males)</w:t>
            </w:r>
          </w:p>
        </w:tc>
        <w:tc>
          <w:tcPr>
            <w:tcW w:w="3510" w:type="dxa"/>
            <w:tcBorders>
              <w:top w:val="nil"/>
              <w:left w:val="nil"/>
              <w:bottom w:val="nil"/>
              <w:right w:val="nil"/>
            </w:tcBorders>
            <w:shd w:val="clear" w:color="auto" w:fill="auto"/>
            <w:hideMark/>
          </w:tcPr>
          <w:p w14:paraId="07F19F1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59.9% suffered PTSD. Intrusion symptoms most common. Factors associated with PTSD: Chronic illnesses, public health center utilization, occupational status before the disaster.</w:t>
            </w:r>
          </w:p>
        </w:tc>
      </w:tr>
      <w:tr w:rsidR="002F15A9" w:rsidRPr="002F15A9" w14:paraId="7FC4DF76" w14:textId="77777777" w:rsidTr="000B387E">
        <w:trPr>
          <w:trHeight w:val="283"/>
        </w:trPr>
        <w:tc>
          <w:tcPr>
            <w:tcW w:w="1710" w:type="dxa"/>
            <w:tcBorders>
              <w:top w:val="nil"/>
              <w:left w:val="nil"/>
              <w:bottom w:val="nil"/>
              <w:right w:val="nil"/>
            </w:tcBorders>
            <w:shd w:val="clear" w:color="auto" w:fill="auto"/>
            <w:hideMark/>
          </w:tcPr>
          <w:p w14:paraId="29D71C4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Wagle, 2020</w:t>
            </w:r>
          </w:p>
        </w:tc>
        <w:tc>
          <w:tcPr>
            <w:tcW w:w="2430" w:type="dxa"/>
            <w:tcBorders>
              <w:top w:val="nil"/>
              <w:left w:val="nil"/>
              <w:bottom w:val="nil"/>
              <w:right w:val="nil"/>
            </w:tcBorders>
            <w:shd w:val="clear" w:color="auto" w:fill="auto"/>
            <w:hideMark/>
          </w:tcPr>
          <w:p w14:paraId="3C64284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factors affecting Health-Related Quality of Life (HQL) among older adults in Lalitpur District of Nepal.</w:t>
            </w:r>
          </w:p>
        </w:tc>
        <w:tc>
          <w:tcPr>
            <w:tcW w:w="2250" w:type="dxa"/>
            <w:tcBorders>
              <w:top w:val="nil"/>
              <w:left w:val="nil"/>
              <w:bottom w:val="nil"/>
              <w:right w:val="nil"/>
            </w:tcBorders>
            <w:shd w:val="clear" w:color="auto" w:fill="auto"/>
            <w:hideMark/>
          </w:tcPr>
          <w:p w14:paraId="696B1CBD" w14:textId="45CE91BB"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Primary Quantitative Cross-sectional and using Probability: A multi-stage sampling </w:t>
            </w:r>
          </w:p>
        </w:tc>
        <w:tc>
          <w:tcPr>
            <w:tcW w:w="1800" w:type="dxa"/>
            <w:tcBorders>
              <w:top w:val="nil"/>
              <w:left w:val="nil"/>
              <w:bottom w:val="nil"/>
              <w:right w:val="nil"/>
            </w:tcBorders>
            <w:shd w:val="clear" w:color="auto" w:fill="auto"/>
            <w:hideMark/>
          </w:tcPr>
          <w:p w14:paraId="4D3A67C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Nepal, Lalitpur District, 2016-2017 (2015 Nepal Earthquakes, 2015)</w:t>
            </w:r>
          </w:p>
        </w:tc>
        <w:tc>
          <w:tcPr>
            <w:tcW w:w="1980" w:type="dxa"/>
            <w:tcBorders>
              <w:top w:val="nil"/>
              <w:left w:val="nil"/>
              <w:bottom w:val="nil"/>
              <w:right w:val="nil"/>
            </w:tcBorders>
            <w:shd w:val="clear" w:color="auto" w:fill="auto"/>
            <w:hideMark/>
          </w:tcPr>
          <w:p w14:paraId="54AC5DC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362 Nepali elderly (aged Above 60, 47% males)</w:t>
            </w:r>
          </w:p>
        </w:tc>
        <w:tc>
          <w:tcPr>
            <w:tcW w:w="3510" w:type="dxa"/>
            <w:tcBorders>
              <w:top w:val="nil"/>
              <w:left w:val="nil"/>
              <w:bottom w:val="nil"/>
              <w:right w:val="nil"/>
            </w:tcBorders>
            <w:shd w:val="clear" w:color="auto" w:fill="auto"/>
            <w:hideMark/>
          </w:tcPr>
          <w:p w14:paraId="7396EB1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HQL scores ranged between 3.13 and 90.63. 59.4% scored ≤ 50, indicating poorer HQL. Factors affecting HQL: functional status, PTSD, chronic disease, social support, injury, age, and accessibility to resources.</w:t>
            </w:r>
          </w:p>
        </w:tc>
      </w:tr>
      <w:tr w:rsidR="002F15A9" w:rsidRPr="002F15A9" w14:paraId="7CE44791" w14:textId="77777777" w:rsidTr="000B387E">
        <w:trPr>
          <w:trHeight w:val="283"/>
        </w:trPr>
        <w:tc>
          <w:tcPr>
            <w:tcW w:w="1710" w:type="dxa"/>
            <w:tcBorders>
              <w:top w:val="nil"/>
              <w:left w:val="nil"/>
              <w:bottom w:val="nil"/>
              <w:right w:val="nil"/>
            </w:tcBorders>
            <w:shd w:val="clear" w:color="auto" w:fill="auto"/>
            <w:hideMark/>
          </w:tcPr>
          <w:p w14:paraId="3EBDAE7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 2020</w:t>
            </w:r>
          </w:p>
        </w:tc>
        <w:tc>
          <w:tcPr>
            <w:tcW w:w="2430" w:type="dxa"/>
            <w:tcBorders>
              <w:top w:val="nil"/>
              <w:left w:val="nil"/>
              <w:bottom w:val="nil"/>
              <w:right w:val="nil"/>
            </w:tcBorders>
            <w:shd w:val="clear" w:color="auto" w:fill="auto"/>
            <w:hideMark/>
          </w:tcPr>
          <w:p w14:paraId="0DDB347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Estimate the prevalence of depression, compare the prevalence between disaster-affected and non-disaster affected areas, and explore additional risk factors for depression 6 </w:t>
            </w:r>
            <w:r w:rsidRPr="002F15A9">
              <w:rPr>
                <w:rFonts w:ascii="Times New Roman" w:eastAsia="Times New Roman" w:hAnsi="Times New Roman" w:cs="Times New Roman"/>
                <w:color w:val="000000"/>
                <w:sz w:val="20"/>
                <w:szCs w:val="20"/>
              </w:rPr>
              <w:lastRenderedPageBreak/>
              <w:t>months after the Lushan earthquake.</w:t>
            </w:r>
          </w:p>
        </w:tc>
        <w:tc>
          <w:tcPr>
            <w:tcW w:w="2250" w:type="dxa"/>
            <w:tcBorders>
              <w:top w:val="nil"/>
              <w:left w:val="nil"/>
              <w:bottom w:val="nil"/>
              <w:right w:val="nil"/>
            </w:tcBorders>
            <w:shd w:val="clear" w:color="auto" w:fill="auto"/>
            <w:hideMark/>
          </w:tcPr>
          <w:p w14:paraId="2D79AC2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cross-sectional design using multi-stage cluster sampling and snowball sampling</w:t>
            </w:r>
          </w:p>
        </w:tc>
        <w:tc>
          <w:tcPr>
            <w:tcW w:w="1800" w:type="dxa"/>
            <w:tcBorders>
              <w:top w:val="nil"/>
              <w:left w:val="nil"/>
              <w:bottom w:val="nil"/>
              <w:right w:val="nil"/>
            </w:tcBorders>
            <w:shd w:val="clear" w:color="auto" w:fill="auto"/>
            <w:hideMark/>
          </w:tcPr>
          <w:p w14:paraId="2FCD261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nine counties hit by the earthquake, October-November 2013 (Lushan Earthquake, 2013)</w:t>
            </w:r>
          </w:p>
        </w:tc>
        <w:tc>
          <w:tcPr>
            <w:tcW w:w="1980" w:type="dxa"/>
            <w:tcBorders>
              <w:top w:val="nil"/>
              <w:left w:val="nil"/>
              <w:bottom w:val="nil"/>
              <w:right w:val="nil"/>
            </w:tcBorders>
            <w:shd w:val="clear" w:color="auto" w:fill="auto"/>
            <w:hideMark/>
          </w:tcPr>
          <w:p w14:paraId="6C3BDBE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1509 Chinese elderly (aged 60 and above, 54% males)</w:t>
            </w:r>
          </w:p>
        </w:tc>
        <w:tc>
          <w:tcPr>
            <w:tcW w:w="3510" w:type="dxa"/>
            <w:tcBorders>
              <w:top w:val="nil"/>
              <w:left w:val="nil"/>
              <w:bottom w:val="nil"/>
              <w:right w:val="nil"/>
            </w:tcBorders>
            <w:shd w:val="clear" w:color="auto" w:fill="auto"/>
            <w:hideMark/>
          </w:tcPr>
          <w:p w14:paraId="4F6F538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Prevalence of depression was significantly higher in disaster areas than in non-disaster areas. Risk factors included low education, chronic illnesses, loneliness, limitations in activities of daily living, family dysfunction, and low social support.</w:t>
            </w:r>
          </w:p>
        </w:tc>
      </w:tr>
      <w:tr w:rsidR="002F15A9" w:rsidRPr="002F15A9" w14:paraId="57ADAD6F" w14:textId="77777777" w:rsidTr="000B387E">
        <w:trPr>
          <w:trHeight w:val="283"/>
        </w:trPr>
        <w:tc>
          <w:tcPr>
            <w:tcW w:w="1710" w:type="dxa"/>
            <w:tcBorders>
              <w:top w:val="nil"/>
              <w:left w:val="nil"/>
              <w:bottom w:val="nil"/>
              <w:right w:val="nil"/>
            </w:tcBorders>
            <w:shd w:val="clear" w:color="auto" w:fill="auto"/>
            <w:hideMark/>
          </w:tcPr>
          <w:p w14:paraId="0A72A65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Kwan, 2020</w:t>
            </w:r>
          </w:p>
        </w:tc>
        <w:tc>
          <w:tcPr>
            <w:tcW w:w="2430" w:type="dxa"/>
            <w:tcBorders>
              <w:top w:val="nil"/>
              <w:left w:val="nil"/>
              <w:bottom w:val="nil"/>
              <w:right w:val="nil"/>
            </w:tcBorders>
            <w:shd w:val="clear" w:color="auto" w:fill="auto"/>
            <w:hideMark/>
          </w:tcPr>
          <w:p w14:paraId="6B63B61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how key factors and processes in the pre-disaster context shape the disaster resilience of older women who are widowed, head of household, and living in poverty in the Philippines.</w:t>
            </w:r>
          </w:p>
        </w:tc>
        <w:tc>
          <w:tcPr>
            <w:tcW w:w="2250" w:type="dxa"/>
            <w:tcBorders>
              <w:top w:val="nil"/>
              <w:left w:val="nil"/>
              <w:bottom w:val="nil"/>
              <w:right w:val="nil"/>
            </w:tcBorders>
            <w:shd w:val="clear" w:color="auto" w:fill="auto"/>
            <w:hideMark/>
          </w:tcPr>
          <w:p w14:paraId="6B4E48F4" w14:textId="20B98D99"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w:t>
            </w:r>
            <w:r w:rsidR="00FB10AF">
              <w:rPr>
                <w:rFonts w:ascii="Times New Roman" w:eastAsia="Times New Roman" w:hAnsi="Times New Roman" w:cs="Times New Roman"/>
                <w:color w:val="000000"/>
                <w:sz w:val="20"/>
                <w:szCs w:val="20"/>
              </w:rPr>
              <w:t xml:space="preserve"> </w:t>
            </w:r>
            <w:r w:rsidRPr="002F15A9">
              <w:rPr>
                <w:rFonts w:ascii="Times New Roman" w:eastAsia="Times New Roman" w:hAnsi="Times New Roman" w:cs="Times New Roman"/>
                <w:color w:val="000000"/>
                <w:sz w:val="20"/>
                <w:szCs w:val="20"/>
              </w:rPr>
              <w:t>Phenomenology design using purposive sampling</w:t>
            </w:r>
          </w:p>
        </w:tc>
        <w:tc>
          <w:tcPr>
            <w:tcW w:w="1800" w:type="dxa"/>
            <w:tcBorders>
              <w:top w:val="nil"/>
              <w:left w:val="nil"/>
              <w:bottom w:val="nil"/>
              <w:right w:val="nil"/>
            </w:tcBorders>
            <w:shd w:val="clear" w:color="auto" w:fill="auto"/>
            <w:hideMark/>
          </w:tcPr>
          <w:p w14:paraId="3551B15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Philippines, Apitong, in Tacloban City, 2016 (Typhoon Haiyan, 2013)</w:t>
            </w:r>
          </w:p>
        </w:tc>
        <w:tc>
          <w:tcPr>
            <w:tcW w:w="1980" w:type="dxa"/>
            <w:tcBorders>
              <w:top w:val="nil"/>
              <w:left w:val="nil"/>
              <w:bottom w:val="nil"/>
              <w:right w:val="nil"/>
            </w:tcBorders>
            <w:shd w:val="clear" w:color="auto" w:fill="auto"/>
            <w:hideMark/>
          </w:tcPr>
          <w:p w14:paraId="1A0D952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4 elderly </w:t>
            </w:r>
            <w:proofErr w:type="gramStart"/>
            <w:r w:rsidRPr="002F15A9">
              <w:rPr>
                <w:rFonts w:ascii="Times New Roman" w:eastAsia="Times New Roman" w:hAnsi="Times New Roman" w:cs="Times New Roman"/>
                <w:color w:val="000000"/>
                <w:sz w:val="20"/>
                <w:szCs w:val="20"/>
              </w:rPr>
              <w:t>female</w:t>
            </w:r>
            <w:proofErr w:type="gramEnd"/>
            <w:r w:rsidRPr="002F15A9">
              <w:rPr>
                <w:rFonts w:ascii="Times New Roman" w:eastAsia="Times New Roman" w:hAnsi="Times New Roman" w:cs="Times New Roman"/>
                <w:color w:val="000000"/>
                <w:sz w:val="20"/>
                <w:szCs w:val="20"/>
              </w:rPr>
              <w:t xml:space="preserve"> (Apitong population, aged 60 and above)</w:t>
            </w:r>
          </w:p>
        </w:tc>
        <w:tc>
          <w:tcPr>
            <w:tcW w:w="3510" w:type="dxa"/>
            <w:tcBorders>
              <w:top w:val="nil"/>
              <w:left w:val="nil"/>
              <w:bottom w:val="nil"/>
              <w:right w:val="nil"/>
            </w:tcBorders>
            <w:shd w:val="clear" w:color="auto" w:fill="auto"/>
            <w:hideMark/>
          </w:tcPr>
          <w:p w14:paraId="161FA94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Eight factors and processes in the pre-disaster context influenced the capacity of older women to build back better after a disaster, including employment/livelihood, land tenure, housing, kinship relationships, healthcare disparities, spirituality/religiosity, gender roles, and independence/dignity.</w:t>
            </w:r>
          </w:p>
        </w:tc>
      </w:tr>
      <w:tr w:rsidR="002F15A9" w:rsidRPr="002F15A9" w14:paraId="5042CBB2" w14:textId="77777777" w:rsidTr="000B387E">
        <w:trPr>
          <w:trHeight w:val="283"/>
        </w:trPr>
        <w:tc>
          <w:tcPr>
            <w:tcW w:w="1710" w:type="dxa"/>
            <w:tcBorders>
              <w:top w:val="nil"/>
              <w:left w:val="nil"/>
              <w:bottom w:val="nil"/>
              <w:right w:val="nil"/>
            </w:tcBorders>
            <w:shd w:val="clear" w:color="auto" w:fill="auto"/>
            <w:hideMark/>
          </w:tcPr>
          <w:p w14:paraId="3CE34E5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Khankeh, 2020</w:t>
            </w:r>
          </w:p>
        </w:tc>
        <w:tc>
          <w:tcPr>
            <w:tcW w:w="2430" w:type="dxa"/>
            <w:tcBorders>
              <w:top w:val="nil"/>
              <w:left w:val="nil"/>
              <w:bottom w:val="nil"/>
              <w:right w:val="nil"/>
            </w:tcBorders>
            <w:shd w:val="clear" w:color="auto" w:fill="auto"/>
            <w:hideMark/>
          </w:tcPr>
          <w:p w14:paraId="774169B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the changes in the lives of the elderly after the earthquake.</w:t>
            </w:r>
          </w:p>
        </w:tc>
        <w:tc>
          <w:tcPr>
            <w:tcW w:w="2250" w:type="dxa"/>
            <w:tcBorders>
              <w:top w:val="nil"/>
              <w:left w:val="nil"/>
              <w:bottom w:val="nil"/>
              <w:right w:val="nil"/>
            </w:tcBorders>
            <w:shd w:val="clear" w:color="auto" w:fill="auto"/>
            <w:hideMark/>
          </w:tcPr>
          <w:p w14:paraId="2380C8C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 using purposive sampling</w:t>
            </w:r>
          </w:p>
        </w:tc>
        <w:tc>
          <w:tcPr>
            <w:tcW w:w="1800" w:type="dxa"/>
            <w:tcBorders>
              <w:top w:val="nil"/>
              <w:left w:val="nil"/>
              <w:bottom w:val="nil"/>
              <w:right w:val="nil"/>
            </w:tcBorders>
            <w:shd w:val="clear" w:color="auto" w:fill="auto"/>
            <w:hideMark/>
          </w:tcPr>
          <w:p w14:paraId="1EA4331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Iran, 2012-2013 (Azerbaijan Earthquake, 2012)</w:t>
            </w:r>
          </w:p>
        </w:tc>
        <w:tc>
          <w:tcPr>
            <w:tcW w:w="1980" w:type="dxa"/>
            <w:tcBorders>
              <w:top w:val="nil"/>
              <w:left w:val="nil"/>
              <w:bottom w:val="nil"/>
              <w:right w:val="nil"/>
            </w:tcBorders>
            <w:shd w:val="clear" w:color="auto" w:fill="auto"/>
            <w:hideMark/>
          </w:tcPr>
          <w:p w14:paraId="1C49ED27" w14:textId="541D276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 specialists, 4 caregivers of older adults, and 18 elderl</w:t>
            </w:r>
            <w:r w:rsidR="00FB10AF">
              <w:rPr>
                <w:rFonts w:ascii="Times New Roman" w:eastAsia="Times New Roman" w:hAnsi="Times New Roman" w:cs="Times New Roman"/>
                <w:color w:val="000000"/>
                <w:sz w:val="20"/>
                <w:szCs w:val="20"/>
              </w:rPr>
              <w:t>ies</w:t>
            </w:r>
            <w:r w:rsidRPr="002F15A9">
              <w:rPr>
                <w:rFonts w:ascii="Times New Roman" w:eastAsia="Times New Roman" w:hAnsi="Times New Roman" w:cs="Times New Roman"/>
                <w:color w:val="000000"/>
                <w:sz w:val="20"/>
                <w:szCs w:val="20"/>
              </w:rPr>
              <w:t xml:space="preserve"> (aged 60 and above, 50% males)</w:t>
            </w:r>
          </w:p>
        </w:tc>
        <w:tc>
          <w:tcPr>
            <w:tcW w:w="3510" w:type="dxa"/>
            <w:tcBorders>
              <w:top w:val="nil"/>
              <w:left w:val="nil"/>
              <w:bottom w:val="nil"/>
              <w:right w:val="nil"/>
            </w:tcBorders>
            <w:shd w:val="clear" w:color="auto" w:fill="auto"/>
            <w:hideMark/>
          </w:tcPr>
          <w:p w14:paraId="5B1BB02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Two main categories were found about changes in the lives of the elderly after the earthquake: re-victimization and post-accident growth.</w:t>
            </w:r>
          </w:p>
        </w:tc>
      </w:tr>
      <w:tr w:rsidR="002F15A9" w:rsidRPr="002F15A9" w14:paraId="71FF71AD" w14:textId="77777777" w:rsidTr="000B387E">
        <w:trPr>
          <w:trHeight w:val="283"/>
        </w:trPr>
        <w:tc>
          <w:tcPr>
            <w:tcW w:w="1710" w:type="dxa"/>
            <w:tcBorders>
              <w:top w:val="nil"/>
              <w:left w:val="nil"/>
              <w:bottom w:val="nil"/>
              <w:right w:val="nil"/>
            </w:tcBorders>
            <w:shd w:val="clear" w:color="auto" w:fill="auto"/>
            <w:hideMark/>
          </w:tcPr>
          <w:p w14:paraId="726FB27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Li, 2020</w:t>
            </w:r>
          </w:p>
        </w:tc>
        <w:tc>
          <w:tcPr>
            <w:tcW w:w="2430" w:type="dxa"/>
            <w:tcBorders>
              <w:top w:val="nil"/>
              <w:left w:val="nil"/>
              <w:bottom w:val="nil"/>
              <w:right w:val="nil"/>
            </w:tcBorders>
            <w:shd w:val="clear" w:color="auto" w:fill="auto"/>
            <w:hideMark/>
          </w:tcPr>
          <w:p w14:paraId="421DFC7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Estimate the prevalence of PTSD among elderly Wenchuan earthquake survivors and determine possible risk factors within this population.</w:t>
            </w:r>
          </w:p>
        </w:tc>
        <w:tc>
          <w:tcPr>
            <w:tcW w:w="2250" w:type="dxa"/>
            <w:tcBorders>
              <w:top w:val="nil"/>
              <w:left w:val="nil"/>
              <w:bottom w:val="nil"/>
              <w:right w:val="nil"/>
            </w:tcBorders>
            <w:shd w:val="clear" w:color="auto" w:fill="auto"/>
            <w:hideMark/>
          </w:tcPr>
          <w:p w14:paraId="136AF92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multi-stage stratified sampling</w:t>
            </w:r>
          </w:p>
        </w:tc>
        <w:tc>
          <w:tcPr>
            <w:tcW w:w="1800" w:type="dxa"/>
            <w:tcBorders>
              <w:top w:val="nil"/>
              <w:left w:val="nil"/>
              <w:bottom w:val="nil"/>
              <w:right w:val="nil"/>
            </w:tcBorders>
            <w:shd w:val="clear" w:color="auto" w:fill="auto"/>
            <w:hideMark/>
          </w:tcPr>
          <w:p w14:paraId="09E4650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China, Dujiangyan prefecture, 2008 (Wenchuan Earthquake, 2008)</w:t>
            </w:r>
          </w:p>
        </w:tc>
        <w:tc>
          <w:tcPr>
            <w:tcW w:w="1980" w:type="dxa"/>
            <w:tcBorders>
              <w:top w:val="nil"/>
              <w:left w:val="nil"/>
              <w:bottom w:val="nil"/>
              <w:right w:val="nil"/>
            </w:tcBorders>
            <w:shd w:val="clear" w:color="auto" w:fill="auto"/>
            <w:hideMark/>
          </w:tcPr>
          <w:p w14:paraId="1A04383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427 Chinese elderly (aged 60 and above, 54% males)</w:t>
            </w:r>
          </w:p>
        </w:tc>
        <w:tc>
          <w:tcPr>
            <w:tcW w:w="3510" w:type="dxa"/>
            <w:tcBorders>
              <w:top w:val="nil"/>
              <w:left w:val="nil"/>
              <w:bottom w:val="nil"/>
              <w:right w:val="nil"/>
            </w:tcBorders>
            <w:shd w:val="clear" w:color="auto" w:fill="auto"/>
            <w:hideMark/>
          </w:tcPr>
          <w:p w14:paraId="2EEDC08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Prevalence of probable PTSD was 40.5%. Higher PTSD risk was associated with more diagnosed chronic illnesses and lower education.</w:t>
            </w:r>
          </w:p>
        </w:tc>
      </w:tr>
      <w:tr w:rsidR="002F15A9" w:rsidRPr="002F15A9" w14:paraId="08891C98" w14:textId="77777777" w:rsidTr="000B387E">
        <w:trPr>
          <w:trHeight w:val="283"/>
        </w:trPr>
        <w:tc>
          <w:tcPr>
            <w:tcW w:w="1710" w:type="dxa"/>
            <w:tcBorders>
              <w:top w:val="nil"/>
              <w:left w:val="nil"/>
              <w:bottom w:val="nil"/>
              <w:right w:val="nil"/>
            </w:tcBorders>
            <w:shd w:val="clear" w:color="auto" w:fill="auto"/>
            <w:hideMark/>
          </w:tcPr>
          <w:p w14:paraId="6FB8DF0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Nashwan, 2020</w:t>
            </w:r>
          </w:p>
        </w:tc>
        <w:tc>
          <w:tcPr>
            <w:tcW w:w="2430" w:type="dxa"/>
            <w:tcBorders>
              <w:top w:val="nil"/>
              <w:left w:val="nil"/>
              <w:bottom w:val="nil"/>
              <w:right w:val="nil"/>
            </w:tcBorders>
            <w:shd w:val="clear" w:color="auto" w:fill="auto"/>
            <w:hideMark/>
          </w:tcPr>
          <w:p w14:paraId="224FE53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Evaluate the QOL of Syrian refugees residing in Jordan, and tackled topic as a multi-dimensional phenomenon.</w:t>
            </w:r>
          </w:p>
        </w:tc>
        <w:tc>
          <w:tcPr>
            <w:tcW w:w="2250" w:type="dxa"/>
            <w:tcBorders>
              <w:top w:val="nil"/>
              <w:left w:val="nil"/>
              <w:bottom w:val="nil"/>
              <w:right w:val="nil"/>
            </w:tcBorders>
            <w:shd w:val="clear" w:color="auto" w:fill="auto"/>
            <w:hideMark/>
          </w:tcPr>
          <w:p w14:paraId="6E19E75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snowballing sampling</w:t>
            </w:r>
          </w:p>
        </w:tc>
        <w:tc>
          <w:tcPr>
            <w:tcW w:w="1800" w:type="dxa"/>
            <w:tcBorders>
              <w:top w:val="nil"/>
              <w:left w:val="nil"/>
              <w:bottom w:val="nil"/>
              <w:right w:val="nil"/>
            </w:tcBorders>
            <w:shd w:val="clear" w:color="auto" w:fill="auto"/>
            <w:hideMark/>
          </w:tcPr>
          <w:p w14:paraId="72CDE04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Jordan, Amman and Irbid, 2020 (Syrian War, 2011)</w:t>
            </w:r>
          </w:p>
        </w:tc>
        <w:tc>
          <w:tcPr>
            <w:tcW w:w="1980" w:type="dxa"/>
            <w:tcBorders>
              <w:top w:val="nil"/>
              <w:left w:val="nil"/>
              <w:bottom w:val="nil"/>
              <w:right w:val="nil"/>
            </w:tcBorders>
            <w:shd w:val="clear" w:color="auto" w:fill="auto"/>
            <w:hideMark/>
          </w:tcPr>
          <w:p w14:paraId="5F23048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150 elderly Syrian refugees (aged 60 and above, 52% males)</w:t>
            </w:r>
          </w:p>
        </w:tc>
        <w:tc>
          <w:tcPr>
            <w:tcW w:w="3510" w:type="dxa"/>
            <w:tcBorders>
              <w:top w:val="nil"/>
              <w:left w:val="nil"/>
              <w:bottom w:val="nil"/>
              <w:right w:val="nil"/>
            </w:tcBorders>
            <w:shd w:val="clear" w:color="auto" w:fill="auto"/>
            <w:hideMark/>
          </w:tcPr>
          <w:p w14:paraId="5D72649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Significant differences in QOL based on education level. Overall medium QOL among male and female refugees.</w:t>
            </w:r>
          </w:p>
        </w:tc>
      </w:tr>
      <w:tr w:rsidR="002F15A9" w:rsidRPr="002F15A9" w14:paraId="7A7A71CA" w14:textId="77777777" w:rsidTr="000B387E">
        <w:trPr>
          <w:trHeight w:val="283"/>
        </w:trPr>
        <w:tc>
          <w:tcPr>
            <w:tcW w:w="1710" w:type="dxa"/>
            <w:tcBorders>
              <w:top w:val="nil"/>
              <w:left w:val="nil"/>
              <w:bottom w:val="nil"/>
              <w:right w:val="nil"/>
            </w:tcBorders>
            <w:shd w:val="clear" w:color="auto" w:fill="auto"/>
            <w:hideMark/>
          </w:tcPr>
          <w:p w14:paraId="0F1AA7B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Mistry, 2021</w:t>
            </w:r>
          </w:p>
        </w:tc>
        <w:tc>
          <w:tcPr>
            <w:tcW w:w="2430" w:type="dxa"/>
            <w:tcBorders>
              <w:top w:val="nil"/>
              <w:left w:val="nil"/>
              <w:bottom w:val="nil"/>
              <w:right w:val="nil"/>
            </w:tcBorders>
            <w:shd w:val="clear" w:color="auto" w:fill="auto"/>
            <w:hideMark/>
          </w:tcPr>
          <w:p w14:paraId="0CA20A8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Explore the perceived change in tobacco use during the COVID-19 pandemic and its associated factors among </w:t>
            </w:r>
            <w:r w:rsidRPr="002F15A9">
              <w:rPr>
                <w:rFonts w:ascii="Times New Roman" w:eastAsia="Times New Roman" w:hAnsi="Times New Roman" w:cs="Times New Roman"/>
                <w:color w:val="000000"/>
                <w:sz w:val="20"/>
                <w:szCs w:val="20"/>
              </w:rPr>
              <w:lastRenderedPageBreak/>
              <w:t>older adults residing in Rohingya refugee camps, also referred to as Forcibly Displaced Myanmar Nationals in Bangladesh</w:t>
            </w:r>
          </w:p>
        </w:tc>
        <w:tc>
          <w:tcPr>
            <w:tcW w:w="2250" w:type="dxa"/>
            <w:tcBorders>
              <w:top w:val="nil"/>
              <w:left w:val="nil"/>
              <w:bottom w:val="nil"/>
              <w:right w:val="nil"/>
            </w:tcBorders>
            <w:shd w:val="clear" w:color="auto" w:fill="auto"/>
            <w:hideMark/>
          </w:tcPr>
          <w:p w14:paraId="3F7AA31A" w14:textId="5514E94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cross-sectional study using non-</w:t>
            </w:r>
            <w:r w:rsidR="00FB10AF" w:rsidRPr="002F15A9">
              <w:rPr>
                <w:rFonts w:ascii="Times New Roman" w:eastAsia="Times New Roman" w:hAnsi="Times New Roman" w:cs="Times New Roman"/>
                <w:color w:val="000000"/>
                <w:sz w:val="20"/>
                <w:szCs w:val="20"/>
              </w:rPr>
              <w:t>probability</w:t>
            </w:r>
            <w:r w:rsidRPr="002F15A9">
              <w:rPr>
                <w:rFonts w:ascii="Times New Roman" w:eastAsia="Times New Roman" w:hAnsi="Times New Roman" w:cs="Times New Roman"/>
                <w:color w:val="000000"/>
                <w:sz w:val="20"/>
                <w:szCs w:val="20"/>
              </w:rPr>
              <w:t xml:space="preserve"> convenience sampling</w:t>
            </w:r>
          </w:p>
        </w:tc>
        <w:tc>
          <w:tcPr>
            <w:tcW w:w="1800" w:type="dxa"/>
            <w:tcBorders>
              <w:top w:val="nil"/>
              <w:left w:val="nil"/>
              <w:bottom w:val="nil"/>
              <w:right w:val="nil"/>
            </w:tcBorders>
            <w:shd w:val="clear" w:color="auto" w:fill="auto"/>
            <w:hideMark/>
          </w:tcPr>
          <w:p w14:paraId="5ECFEFE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Bangladesh, Rohingya refugee camp in Cox's Bazar, 2020 (Myanmar's </w:t>
            </w:r>
            <w:r w:rsidRPr="002F15A9">
              <w:rPr>
                <w:rFonts w:ascii="Times New Roman" w:eastAsia="Times New Roman" w:hAnsi="Times New Roman" w:cs="Times New Roman"/>
                <w:color w:val="000000"/>
                <w:sz w:val="20"/>
                <w:szCs w:val="20"/>
              </w:rPr>
              <w:lastRenderedPageBreak/>
              <w:t>Rohingya Persecution, Rwanda, 2017)</w:t>
            </w:r>
          </w:p>
        </w:tc>
        <w:tc>
          <w:tcPr>
            <w:tcW w:w="1980" w:type="dxa"/>
            <w:tcBorders>
              <w:top w:val="nil"/>
              <w:left w:val="nil"/>
              <w:bottom w:val="nil"/>
              <w:right w:val="nil"/>
            </w:tcBorders>
            <w:shd w:val="clear" w:color="auto" w:fill="auto"/>
            <w:hideMark/>
          </w:tcPr>
          <w:p w14:paraId="6A33CB2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416 elderly Rohingya refugees from Myanmar (aged 60 and above, 60.3% males)</w:t>
            </w:r>
          </w:p>
        </w:tc>
        <w:tc>
          <w:tcPr>
            <w:tcW w:w="3510" w:type="dxa"/>
            <w:tcBorders>
              <w:top w:val="nil"/>
              <w:left w:val="nil"/>
              <w:bottom w:val="nil"/>
              <w:right w:val="nil"/>
            </w:tcBorders>
            <w:shd w:val="clear" w:color="auto" w:fill="auto"/>
            <w:hideMark/>
          </w:tcPr>
          <w:p w14:paraId="6006A87B" w14:textId="08573CBA"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More than one in five participants (22.4%) were current tobacco users, of whom 40.8% reported a perceived increase in tobacco use during the COVID-19 pandemic. </w:t>
            </w:r>
            <w:r w:rsidR="00FB10AF" w:rsidRPr="002F15A9">
              <w:rPr>
                <w:rFonts w:ascii="Times New Roman" w:eastAsia="Times New Roman" w:hAnsi="Times New Roman" w:cs="Times New Roman"/>
                <w:color w:val="000000"/>
                <w:sz w:val="20"/>
                <w:szCs w:val="20"/>
              </w:rPr>
              <w:t>Participants</w:t>
            </w:r>
            <w:r w:rsidRPr="002F15A9">
              <w:rPr>
                <w:rFonts w:ascii="Times New Roman" w:eastAsia="Times New Roman" w:hAnsi="Times New Roman" w:cs="Times New Roman"/>
                <w:color w:val="000000"/>
                <w:sz w:val="20"/>
                <w:szCs w:val="20"/>
              </w:rPr>
              <w:t xml:space="preserve"> who </w:t>
            </w:r>
            <w:r w:rsidRPr="002F15A9">
              <w:rPr>
                <w:rFonts w:ascii="Times New Roman" w:eastAsia="Times New Roman" w:hAnsi="Times New Roman" w:cs="Times New Roman"/>
                <w:color w:val="000000"/>
                <w:sz w:val="20"/>
                <w:szCs w:val="20"/>
              </w:rPr>
              <w:lastRenderedPageBreak/>
              <w:t>were concerned about COVID-19 had significantly lower odds of perceived increase in tobacco use, while older adults who were overwhelmed by COVID-19 and communicated less frequently with others during the pandemic than before had marginally significantly lower odds of perceived increase in tobacco use during this pandemic.</w:t>
            </w:r>
          </w:p>
        </w:tc>
      </w:tr>
      <w:tr w:rsidR="002F15A9" w:rsidRPr="002F15A9" w14:paraId="1DCE9225" w14:textId="77777777" w:rsidTr="000B387E">
        <w:trPr>
          <w:trHeight w:val="283"/>
        </w:trPr>
        <w:tc>
          <w:tcPr>
            <w:tcW w:w="1710" w:type="dxa"/>
            <w:tcBorders>
              <w:top w:val="nil"/>
              <w:left w:val="nil"/>
              <w:bottom w:val="nil"/>
              <w:right w:val="nil"/>
            </w:tcBorders>
            <w:shd w:val="clear" w:color="auto" w:fill="auto"/>
            <w:hideMark/>
          </w:tcPr>
          <w:p w14:paraId="466C3CE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Mistry, 2021</w:t>
            </w:r>
          </w:p>
        </w:tc>
        <w:tc>
          <w:tcPr>
            <w:tcW w:w="2430" w:type="dxa"/>
            <w:tcBorders>
              <w:top w:val="nil"/>
              <w:left w:val="nil"/>
              <w:bottom w:val="nil"/>
              <w:right w:val="nil"/>
            </w:tcBorders>
            <w:shd w:val="clear" w:color="auto" w:fill="auto"/>
            <w:hideMark/>
          </w:tcPr>
          <w:p w14:paraId="416A5BB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level of misconceptions and the factors associated with it among the older FDMNs in Bangladesh</w:t>
            </w:r>
          </w:p>
        </w:tc>
        <w:tc>
          <w:tcPr>
            <w:tcW w:w="2250" w:type="dxa"/>
            <w:tcBorders>
              <w:top w:val="nil"/>
              <w:left w:val="nil"/>
              <w:bottom w:val="nil"/>
              <w:right w:val="nil"/>
            </w:tcBorders>
            <w:shd w:val="clear" w:color="auto" w:fill="auto"/>
            <w:hideMark/>
          </w:tcPr>
          <w:p w14:paraId="284C57F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study using convenience sampling</w:t>
            </w:r>
          </w:p>
        </w:tc>
        <w:tc>
          <w:tcPr>
            <w:tcW w:w="1800" w:type="dxa"/>
            <w:tcBorders>
              <w:top w:val="nil"/>
              <w:left w:val="nil"/>
              <w:bottom w:val="nil"/>
              <w:right w:val="nil"/>
            </w:tcBorders>
            <w:shd w:val="clear" w:color="auto" w:fill="auto"/>
            <w:hideMark/>
          </w:tcPr>
          <w:p w14:paraId="13D851B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Rohingya refugee camp in Cox's Bazar, 2020 (Myanmar's Rohingya Persecution, Rwanda, 2017)</w:t>
            </w:r>
          </w:p>
        </w:tc>
        <w:tc>
          <w:tcPr>
            <w:tcW w:w="1980" w:type="dxa"/>
            <w:tcBorders>
              <w:top w:val="nil"/>
              <w:left w:val="nil"/>
              <w:bottom w:val="nil"/>
              <w:right w:val="nil"/>
            </w:tcBorders>
            <w:shd w:val="clear" w:color="auto" w:fill="auto"/>
            <w:hideMark/>
          </w:tcPr>
          <w:p w14:paraId="6CC393E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416 elderly Rohingya refugees from Myanmar (aged 60 and above, 60.3% males)</w:t>
            </w:r>
          </w:p>
        </w:tc>
        <w:tc>
          <w:tcPr>
            <w:tcW w:w="3510" w:type="dxa"/>
            <w:tcBorders>
              <w:top w:val="nil"/>
              <w:left w:val="nil"/>
              <w:bottom w:val="nil"/>
              <w:right w:val="nil"/>
            </w:tcBorders>
            <w:shd w:val="clear" w:color="auto" w:fill="auto"/>
            <w:hideMark/>
          </w:tcPr>
          <w:p w14:paraId="260EB8A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The participants had an average of five misconceptions. The most prevalent misconceptions were: everyone should wear personal protective equipment when outside (84.6%) and its prevention by nutritious food (62.5%) and drinking water (59.3%). Other notable misconceptions included the spread of COVID-19 through mosquito bites (42%) and its transmissions only to the non/less religious person (31.4%). In regression analyses, memory or concentration problems, communication frequency with social networks, pre-existing conditions and receiving information from health workers were significantly associated with higher COVID-19 misconceptions. These misconceptions were less likely among those overwhelmed by COVID-19, having COVID-19 diagnosed friends or family members and receiving information from friends and family </w:t>
            </w:r>
          </w:p>
        </w:tc>
      </w:tr>
      <w:tr w:rsidR="002F15A9" w:rsidRPr="002F15A9" w14:paraId="4F1DB27E" w14:textId="77777777" w:rsidTr="000B387E">
        <w:trPr>
          <w:trHeight w:val="283"/>
        </w:trPr>
        <w:tc>
          <w:tcPr>
            <w:tcW w:w="1710" w:type="dxa"/>
            <w:tcBorders>
              <w:top w:val="nil"/>
              <w:left w:val="nil"/>
              <w:bottom w:val="nil"/>
              <w:right w:val="nil"/>
            </w:tcBorders>
            <w:shd w:val="clear" w:color="auto" w:fill="auto"/>
            <w:hideMark/>
          </w:tcPr>
          <w:p w14:paraId="18C9671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Mistry, 2021</w:t>
            </w:r>
          </w:p>
        </w:tc>
        <w:tc>
          <w:tcPr>
            <w:tcW w:w="2430" w:type="dxa"/>
            <w:tcBorders>
              <w:top w:val="nil"/>
              <w:left w:val="nil"/>
              <w:bottom w:val="nil"/>
              <w:right w:val="nil"/>
            </w:tcBorders>
            <w:shd w:val="clear" w:color="auto" w:fill="auto"/>
            <w:hideMark/>
          </w:tcPr>
          <w:p w14:paraId="01859CE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fear of COVID-19 among older Rohingya in Bangladesh.</w:t>
            </w:r>
          </w:p>
        </w:tc>
        <w:tc>
          <w:tcPr>
            <w:tcW w:w="2250" w:type="dxa"/>
            <w:tcBorders>
              <w:top w:val="nil"/>
              <w:left w:val="nil"/>
              <w:bottom w:val="nil"/>
              <w:right w:val="nil"/>
            </w:tcBorders>
            <w:shd w:val="clear" w:color="auto" w:fill="auto"/>
            <w:hideMark/>
          </w:tcPr>
          <w:p w14:paraId="7DE1FE5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61E681E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Bangladesh, Rohingya refugee camp in Cox's </w:t>
            </w:r>
            <w:r w:rsidRPr="002F15A9">
              <w:rPr>
                <w:rFonts w:ascii="Times New Roman" w:eastAsia="Times New Roman" w:hAnsi="Times New Roman" w:cs="Times New Roman"/>
                <w:color w:val="000000"/>
                <w:sz w:val="20"/>
                <w:szCs w:val="20"/>
              </w:rPr>
              <w:lastRenderedPageBreak/>
              <w:t>Bazar, 2020 (Myanmar's Rohingya Persecution, 2017)</w:t>
            </w:r>
          </w:p>
        </w:tc>
        <w:tc>
          <w:tcPr>
            <w:tcW w:w="1980" w:type="dxa"/>
            <w:tcBorders>
              <w:top w:val="nil"/>
              <w:left w:val="nil"/>
              <w:bottom w:val="nil"/>
              <w:right w:val="nil"/>
            </w:tcBorders>
            <w:shd w:val="clear" w:color="auto" w:fill="auto"/>
            <w:hideMark/>
          </w:tcPr>
          <w:p w14:paraId="631278D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416 elderly Rohingya refugees from Myanmar (aged </w:t>
            </w:r>
            <w:r w:rsidRPr="002F15A9">
              <w:rPr>
                <w:rFonts w:ascii="Times New Roman" w:eastAsia="Times New Roman" w:hAnsi="Times New Roman" w:cs="Times New Roman"/>
                <w:color w:val="000000"/>
                <w:sz w:val="20"/>
                <w:szCs w:val="20"/>
              </w:rPr>
              <w:lastRenderedPageBreak/>
              <w:t>60 and above, 60% males)</w:t>
            </w:r>
          </w:p>
        </w:tc>
        <w:tc>
          <w:tcPr>
            <w:tcW w:w="3510" w:type="dxa"/>
            <w:tcBorders>
              <w:top w:val="nil"/>
              <w:left w:val="nil"/>
              <w:bottom w:val="nil"/>
              <w:right w:val="nil"/>
            </w:tcBorders>
            <w:shd w:val="clear" w:color="auto" w:fill="auto"/>
            <w:hideMark/>
          </w:tcPr>
          <w:p w14:paraId="56B3E9D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Mean fear score: 14.8 (range 8–28). 88.9% had low fear scores. Factors associated with higher fear: Concerns </w:t>
            </w:r>
            <w:r w:rsidRPr="002F15A9">
              <w:rPr>
                <w:rFonts w:ascii="Times New Roman" w:eastAsia="Times New Roman" w:hAnsi="Times New Roman" w:cs="Times New Roman"/>
                <w:color w:val="000000"/>
                <w:sz w:val="20"/>
                <w:szCs w:val="20"/>
              </w:rPr>
              <w:lastRenderedPageBreak/>
              <w:t>about COVID-19, feeling overwhelmed, lesser communication, difficulty obtaining food, perception of older adults at highest risk, receiving COVID-19 information from specific sources.</w:t>
            </w:r>
          </w:p>
        </w:tc>
      </w:tr>
      <w:tr w:rsidR="002F15A9" w:rsidRPr="002F15A9" w14:paraId="261F14F1" w14:textId="77777777" w:rsidTr="000B387E">
        <w:trPr>
          <w:trHeight w:val="283"/>
        </w:trPr>
        <w:tc>
          <w:tcPr>
            <w:tcW w:w="1710" w:type="dxa"/>
            <w:tcBorders>
              <w:top w:val="nil"/>
              <w:left w:val="nil"/>
              <w:bottom w:val="nil"/>
              <w:right w:val="nil"/>
            </w:tcBorders>
            <w:shd w:val="clear" w:color="auto" w:fill="auto"/>
            <w:hideMark/>
          </w:tcPr>
          <w:p w14:paraId="3579C95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Fauzan, 2021</w:t>
            </w:r>
          </w:p>
        </w:tc>
        <w:tc>
          <w:tcPr>
            <w:tcW w:w="2430" w:type="dxa"/>
            <w:tcBorders>
              <w:top w:val="nil"/>
              <w:left w:val="nil"/>
              <w:bottom w:val="nil"/>
              <w:right w:val="nil"/>
            </w:tcBorders>
            <w:shd w:val="clear" w:color="auto" w:fill="auto"/>
            <w:hideMark/>
          </w:tcPr>
          <w:p w14:paraId="1C2EF45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differences in quality of life between the elderly who live in temporary shelters and those who do not after natural disasters.</w:t>
            </w:r>
          </w:p>
        </w:tc>
        <w:tc>
          <w:tcPr>
            <w:tcW w:w="2250" w:type="dxa"/>
            <w:tcBorders>
              <w:top w:val="nil"/>
              <w:left w:val="nil"/>
              <w:bottom w:val="nil"/>
              <w:right w:val="nil"/>
            </w:tcBorders>
            <w:shd w:val="clear" w:color="auto" w:fill="auto"/>
            <w:hideMark/>
          </w:tcPr>
          <w:p w14:paraId="505F80B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simple random sampling</w:t>
            </w:r>
          </w:p>
        </w:tc>
        <w:tc>
          <w:tcPr>
            <w:tcW w:w="1800" w:type="dxa"/>
            <w:tcBorders>
              <w:top w:val="nil"/>
              <w:left w:val="nil"/>
              <w:bottom w:val="nil"/>
              <w:right w:val="nil"/>
            </w:tcBorders>
            <w:shd w:val="clear" w:color="auto" w:fill="auto"/>
            <w:hideMark/>
          </w:tcPr>
          <w:p w14:paraId="7ADAF78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Indonesia, Palu City, 2019 (Earthquake, Tsunami and Liquefaction, 2018)</w:t>
            </w:r>
          </w:p>
        </w:tc>
        <w:tc>
          <w:tcPr>
            <w:tcW w:w="1980" w:type="dxa"/>
            <w:tcBorders>
              <w:top w:val="nil"/>
              <w:left w:val="nil"/>
              <w:bottom w:val="nil"/>
              <w:right w:val="nil"/>
            </w:tcBorders>
            <w:shd w:val="clear" w:color="auto" w:fill="auto"/>
            <w:hideMark/>
          </w:tcPr>
          <w:p w14:paraId="3D55DAB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390 internally displaced elderly Kaili, Bugis-Makassar, Javanese and others, living in shelters and not living in shelters (aged 60 and above, 47% males)</w:t>
            </w:r>
          </w:p>
        </w:tc>
        <w:tc>
          <w:tcPr>
            <w:tcW w:w="3510" w:type="dxa"/>
            <w:tcBorders>
              <w:top w:val="nil"/>
              <w:left w:val="nil"/>
              <w:bottom w:val="nil"/>
              <w:right w:val="nil"/>
            </w:tcBorders>
            <w:shd w:val="clear" w:color="auto" w:fill="auto"/>
            <w:hideMark/>
          </w:tcPr>
          <w:p w14:paraId="21B48A01" w14:textId="77777777"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The average QOL dimension score in elderly in shelter was 20.1 (Physical), 19.5 (Psychological), 8.5 (Social Relationship), and 21.9 (Environment) while for the elderly who did not live-in shelters, the average QOL dimension was 23.4 (Physical), 20.2 (Psychological), 14.0 (Social Relationship), and 33 (Environment). The average value of QOL scores on the elderly living in temporary shelters was 70.0 while the value for the elderly who did not live-in shelters was 78.0. In short, there were significant differences in the QOL dimension score of physical, social relationship, and environment. The elderly Quality of Life also had a significant difference.</w:t>
            </w:r>
          </w:p>
        </w:tc>
      </w:tr>
      <w:tr w:rsidR="002F15A9" w:rsidRPr="002F15A9" w14:paraId="1E385828" w14:textId="77777777" w:rsidTr="000B387E">
        <w:trPr>
          <w:trHeight w:val="283"/>
        </w:trPr>
        <w:tc>
          <w:tcPr>
            <w:tcW w:w="1710" w:type="dxa"/>
            <w:tcBorders>
              <w:top w:val="nil"/>
              <w:left w:val="nil"/>
              <w:bottom w:val="nil"/>
              <w:right w:val="nil"/>
            </w:tcBorders>
            <w:shd w:val="clear" w:color="auto" w:fill="auto"/>
            <w:hideMark/>
          </w:tcPr>
          <w:p w14:paraId="11732D7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Mistry, 2021</w:t>
            </w:r>
          </w:p>
        </w:tc>
        <w:tc>
          <w:tcPr>
            <w:tcW w:w="2430" w:type="dxa"/>
            <w:tcBorders>
              <w:top w:val="nil"/>
              <w:left w:val="nil"/>
              <w:bottom w:val="nil"/>
              <w:right w:val="nil"/>
            </w:tcBorders>
            <w:shd w:val="clear" w:color="auto" w:fill="auto"/>
            <w:hideMark/>
          </w:tcPr>
          <w:p w14:paraId="0AA3950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whether Rohingya older adults in Bangladesh faced difficulties accessing medicines and routine medical care services amid the pandemic.</w:t>
            </w:r>
          </w:p>
        </w:tc>
        <w:tc>
          <w:tcPr>
            <w:tcW w:w="2250" w:type="dxa"/>
            <w:tcBorders>
              <w:top w:val="nil"/>
              <w:left w:val="nil"/>
              <w:bottom w:val="nil"/>
              <w:right w:val="nil"/>
            </w:tcBorders>
            <w:shd w:val="clear" w:color="auto" w:fill="auto"/>
            <w:hideMark/>
          </w:tcPr>
          <w:p w14:paraId="409A12B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purposive sampling</w:t>
            </w:r>
          </w:p>
        </w:tc>
        <w:tc>
          <w:tcPr>
            <w:tcW w:w="1800" w:type="dxa"/>
            <w:tcBorders>
              <w:top w:val="nil"/>
              <w:left w:val="nil"/>
              <w:bottom w:val="nil"/>
              <w:right w:val="nil"/>
            </w:tcBorders>
            <w:shd w:val="clear" w:color="auto" w:fill="auto"/>
            <w:hideMark/>
          </w:tcPr>
          <w:p w14:paraId="71CD3ED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Rohingya refugee camp in Cox's Bazar 2020 (Myanmar's Rohingya Persecution, Rwanda, 2017)</w:t>
            </w:r>
          </w:p>
        </w:tc>
        <w:tc>
          <w:tcPr>
            <w:tcW w:w="1980" w:type="dxa"/>
            <w:tcBorders>
              <w:top w:val="nil"/>
              <w:left w:val="nil"/>
              <w:bottom w:val="nil"/>
              <w:right w:val="nil"/>
            </w:tcBorders>
            <w:shd w:val="clear" w:color="auto" w:fill="auto"/>
            <w:hideMark/>
          </w:tcPr>
          <w:p w14:paraId="69F08CB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416 elderly Rohingya refugees from Myanmar (aged 60 and above, 60% males)</w:t>
            </w:r>
          </w:p>
        </w:tc>
        <w:tc>
          <w:tcPr>
            <w:tcW w:w="3510" w:type="dxa"/>
            <w:tcBorders>
              <w:top w:val="nil"/>
              <w:left w:val="nil"/>
              <w:bottom w:val="nil"/>
              <w:right w:val="nil"/>
            </w:tcBorders>
            <w:shd w:val="clear" w:color="auto" w:fill="auto"/>
            <w:hideMark/>
          </w:tcPr>
          <w:p w14:paraId="4C52C40F" w14:textId="688FB38C"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Overall, one-third of the participants reported difficulties in accessing medicines and routine medical care. Significant factors associated with facing difficulties accessing medicine included feelings of loneliness, perceptions that older adults were at the highest risk of COVID-</w:t>
            </w:r>
            <w:r w:rsidR="00FB10AF" w:rsidRPr="002F15A9">
              <w:rPr>
                <w:rFonts w:ascii="Times New Roman" w:eastAsia="Times New Roman" w:hAnsi="Times New Roman" w:cs="Times New Roman"/>
                <w:sz w:val="20"/>
                <w:szCs w:val="20"/>
              </w:rPr>
              <w:t>19 and</w:t>
            </w:r>
            <w:r w:rsidRPr="002F15A9">
              <w:rPr>
                <w:rFonts w:ascii="Times New Roman" w:eastAsia="Times New Roman" w:hAnsi="Times New Roman" w:cs="Times New Roman"/>
                <w:sz w:val="20"/>
                <w:szCs w:val="20"/>
              </w:rPr>
              <w:t xml:space="preserve"> required additional care during COVID-19. Also, the notable factors associated with difficulties in receiving routine medical care included living more than 30 min walking distance from the health </w:t>
            </w:r>
            <w:r w:rsidR="00FB10AF" w:rsidRPr="002F15A9">
              <w:rPr>
                <w:rFonts w:ascii="Times New Roman" w:eastAsia="Times New Roman" w:hAnsi="Times New Roman" w:cs="Times New Roman"/>
                <w:sz w:val="20"/>
                <w:szCs w:val="20"/>
              </w:rPr>
              <w:t>center</w:t>
            </w:r>
            <w:r w:rsidRPr="002F15A9">
              <w:rPr>
                <w:rFonts w:ascii="Times New Roman" w:eastAsia="Times New Roman" w:hAnsi="Times New Roman" w:cs="Times New Roman"/>
                <w:sz w:val="20"/>
                <w:szCs w:val="20"/>
              </w:rPr>
              <w:t xml:space="preserve">, </w:t>
            </w:r>
            <w:r w:rsidRPr="002F15A9">
              <w:rPr>
                <w:rFonts w:ascii="Times New Roman" w:eastAsia="Times New Roman" w:hAnsi="Times New Roman" w:cs="Times New Roman"/>
                <w:sz w:val="20"/>
                <w:szCs w:val="20"/>
              </w:rPr>
              <w:lastRenderedPageBreak/>
              <w:t>feelings of loneliness, perception that older adults were at the highest risk of COVID-</w:t>
            </w:r>
            <w:proofErr w:type="gramStart"/>
            <w:r w:rsidRPr="002F15A9">
              <w:rPr>
                <w:rFonts w:ascii="Times New Roman" w:eastAsia="Times New Roman" w:hAnsi="Times New Roman" w:cs="Times New Roman"/>
                <w:sz w:val="20"/>
                <w:szCs w:val="20"/>
              </w:rPr>
              <w:t>19  and</w:t>
            </w:r>
            <w:proofErr w:type="gramEnd"/>
            <w:r w:rsidRPr="002F15A9">
              <w:rPr>
                <w:rFonts w:ascii="Times New Roman" w:eastAsia="Times New Roman" w:hAnsi="Times New Roman" w:cs="Times New Roman"/>
                <w:sz w:val="20"/>
                <w:szCs w:val="20"/>
              </w:rPr>
              <w:t xml:space="preserve"> perception that they required additional care during the pandemic.</w:t>
            </w:r>
          </w:p>
        </w:tc>
      </w:tr>
      <w:tr w:rsidR="002F15A9" w:rsidRPr="002F15A9" w14:paraId="211AAEB8" w14:textId="77777777" w:rsidTr="000B387E">
        <w:trPr>
          <w:trHeight w:val="283"/>
        </w:trPr>
        <w:tc>
          <w:tcPr>
            <w:tcW w:w="1710" w:type="dxa"/>
            <w:tcBorders>
              <w:top w:val="nil"/>
              <w:left w:val="nil"/>
              <w:bottom w:val="nil"/>
              <w:right w:val="nil"/>
            </w:tcBorders>
            <w:shd w:val="clear" w:color="auto" w:fill="auto"/>
            <w:hideMark/>
          </w:tcPr>
          <w:p w14:paraId="729AAEC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Joseph, 2021</w:t>
            </w:r>
          </w:p>
        </w:tc>
        <w:tc>
          <w:tcPr>
            <w:tcW w:w="2430" w:type="dxa"/>
            <w:tcBorders>
              <w:top w:val="nil"/>
              <w:left w:val="nil"/>
              <w:bottom w:val="nil"/>
              <w:right w:val="nil"/>
            </w:tcBorders>
            <w:shd w:val="clear" w:color="auto" w:fill="auto"/>
            <w:hideMark/>
          </w:tcPr>
          <w:p w14:paraId="3330D81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Capture the two years post-disaster lived experience of the elderly in a developing country context with a special focus on understanding the trajectories of vulnerability and well-being.</w:t>
            </w:r>
          </w:p>
        </w:tc>
        <w:tc>
          <w:tcPr>
            <w:tcW w:w="2250" w:type="dxa"/>
            <w:tcBorders>
              <w:top w:val="nil"/>
              <w:left w:val="nil"/>
              <w:bottom w:val="nil"/>
              <w:right w:val="nil"/>
            </w:tcBorders>
            <w:shd w:val="clear" w:color="auto" w:fill="auto"/>
            <w:hideMark/>
          </w:tcPr>
          <w:p w14:paraId="73DFFB98"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case study design using purposive sampling</w:t>
            </w:r>
          </w:p>
        </w:tc>
        <w:tc>
          <w:tcPr>
            <w:tcW w:w="1800" w:type="dxa"/>
            <w:tcBorders>
              <w:top w:val="nil"/>
              <w:left w:val="nil"/>
              <w:bottom w:val="nil"/>
              <w:right w:val="nil"/>
            </w:tcBorders>
            <w:shd w:val="clear" w:color="auto" w:fill="auto"/>
            <w:hideMark/>
          </w:tcPr>
          <w:p w14:paraId="72C3EA5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Indonesia, Tamil Nadu, Kerala and Andhra Pradesh, 2006 (Indian Ocean earthquake and tsunami, 2004)</w:t>
            </w:r>
          </w:p>
        </w:tc>
        <w:tc>
          <w:tcPr>
            <w:tcW w:w="1980" w:type="dxa"/>
            <w:tcBorders>
              <w:top w:val="nil"/>
              <w:left w:val="nil"/>
              <w:bottom w:val="nil"/>
              <w:right w:val="nil"/>
            </w:tcBorders>
            <w:shd w:val="clear" w:color="auto" w:fill="auto"/>
            <w:hideMark/>
          </w:tcPr>
          <w:p w14:paraId="610293E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30 Indonesian elderly survivors (aged 56 and above, 57% males)</w:t>
            </w:r>
          </w:p>
        </w:tc>
        <w:tc>
          <w:tcPr>
            <w:tcW w:w="3510" w:type="dxa"/>
            <w:tcBorders>
              <w:top w:val="nil"/>
              <w:left w:val="nil"/>
              <w:bottom w:val="nil"/>
              <w:right w:val="nil"/>
            </w:tcBorders>
            <w:shd w:val="clear" w:color="auto" w:fill="auto"/>
            <w:hideMark/>
          </w:tcPr>
          <w:p w14:paraId="3AEFEB1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Key changes in the social status of elderly and their support-seeking experiences 2 years post-tsunami. The framework of psychosocial well-being identifies macrostructural factors contributing to vulnerability, threats, resources, and proximate social experiences impacting individual lives.</w:t>
            </w:r>
          </w:p>
        </w:tc>
      </w:tr>
      <w:tr w:rsidR="002F15A9" w:rsidRPr="002F15A9" w14:paraId="3221B62C" w14:textId="77777777" w:rsidTr="000B387E">
        <w:trPr>
          <w:trHeight w:val="283"/>
        </w:trPr>
        <w:tc>
          <w:tcPr>
            <w:tcW w:w="1710" w:type="dxa"/>
            <w:tcBorders>
              <w:top w:val="nil"/>
              <w:left w:val="nil"/>
              <w:bottom w:val="nil"/>
              <w:right w:val="nil"/>
            </w:tcBorders>
            <w:shd w:val="clear" w:color="auto" w:fill="auto"/>
            <w:hideMark/>
          </w:tcPr>
          <w:p w14:paraId="17AD88C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Mistry, 2021</w:t>
            </w:r>
          </w:p>
        </w:tc>
        <w:tc>
          <w:tcPr>
            <w:tcW w:w="2430" w:type="dxa"/>
            <w:tcBorders>
              <w:top w:val="nil"/>
              <w:left w:val="nil"/>
              <w:bottom w:val="nil"/>
              <w:right w:val="nil"/>
            </w:tcBorders>
            <w:shd w:val="clear" w:color="auto" w:fill="auto"/>
            <w:hideMark/>
          </w:tcPr>
          <w:p w14:paraId="776451F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Investigate depressive symptoms and their associated factors in older adult Rohingya FDMNs in Cox Bazar, Bangladesh, during the COVID-19 pandemic.</w:t>
            </w:r>
          </w:p>
        </w:tc>
        <w:tc>
          <w:tcPr>
            <w:tcW w:w="2250" w:type="dxa"/>
            <w:tcBorders>
              <w:top w:val="nil"/>
              <w:left w:val="nil"/>
              <w:bottom w:val="nil"/>
              <w:right w:val="nil"/>
            </w:tcBorders>
            <w:shd w:val="clear" w:color="auto" w:fill="auto"/>
            <w:hideMark/>
          </w:tcPr>
          <w:p w14:paraId="5EAA5D1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convenience sampling</w:t>
            </w:r>
          </w:p>
        </w:tc>
        <w:tc>
          <w:tcPr>
            <w:tcW w:w="1800" w:type="dxa"/>
            <w:tcBorders>
              <w:top w:val="nil"/>
              <w:left w:val="nil"/>
              <w:bottom w:val="nil"/>
              <w:right w:val="nil"/>
            </w:tcBorders>
            <w:shd w:val="clear" w:color="auto" w:fill="auto"/>
            <w:hideMark/>
          </w:tcPr>
          <w:p w14:paraId="48C2BAF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Rohingya refugee camp in Cox's Bazar, 2020 (Myanmar's Rohingya Persecution, Rwanda, 2017)</w:t>
            </w:r>
          </w:p>
        </w:tc>
        <w:tc>
          <w:tcPr>
            <w:tcW w:w="1980" w:type="dxa"/>
            <w:tcBorders>
              <w:top w:val="nil"/>
              <w:left w:val="nil"/>
              <w:bottom w:val="nil"/>
              <w:right w:val="nil"/>
            </w:tcBorders>
            <w:shd w:val="clear" w:color="auto" w:fill="auto"/>
            <w:hideMark/>
          </w:tcPr>
          <w:p w14:paraId="718A52C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416 elderly Rohingya refugees from Myanmar (aged 60 and above, 60% males)</w:t>
            </w:r>
          </w:p>
        </w:tc>
        <w:tc>
          <w:tcPr>
            <w:tcW w:w="3510" w:type="dxa"/>
            <w:tcBorders>
              <w:top w:val="nil"/>
              <w:left w:val="nil"/>
              <w:bottom w:val="nil"/>
              <w:right w:val="nil"/>
            </w:tcBorders>
            <w:shd w:val="clear" w:color="auto" w:fill="auto"/>
            <w:hideMark/>
          </w:tcPr>
          <w:p w14:paraId="6296114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More than 41% of Rohingya older adults had depressive symptoms. Factors like living alone, dependency on family, poor memory, and pre-existing chronic conditions were significantly associated.</w:t>
            </w:r>
          </w:p>
        </w:tc>
      </w:tr>
      <w:tr w:rsidR="002F15A9" w:rsidRPr="002F15A9" w14:paraId="44C930DA" w14:textId="77777777" w:rsidTr="000B387E">
        <w:trPr>
          <w:trHeight w:val="283"/>
        </w:trPr>
        <w:tc>
          <w:tcPr>
            <w:tcW w:w="1710" w:type="dxa"/>
            <w:tcBorders>
              <w:top w:val="nil"/>
              <w:left w:val="nil"/>
              <w:bottom w:val="nil"/>
              <w:right w:val="nil"/>
            </w:tcBorders>
            <w:shd w:val="clear" w:color="auto" w:fill="auto"/>
            <w:hideMark/>
          </w:tcPr>
          <w:p w14:paraId="5256869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Ozmete, 2021</w:t>
            </w:r>
          </w:p>
        </w:tc>
        <w:tc>
          <w:tcPr>
            <w:tcW w:w="2430" w:type="dxa"/>
            <w:tcBorders>
              <w:top w:val="nil"/>
              <w:left w:val="nil"/>
              <w:bottom w:val="nil"/>
              <w:right w:val="nil"/>
            </w:tcBorders>
            <w:shd w:val="clear" w:color="auto" w:fill="auto"/>
            <w:hideMark/>
          </w:tcPr>
          <w:p w14:paraId="5C76D33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Identify various integration challenges for older refugees in Turkey and discuss possible strategies to address these challenges.</w:t>
            </w:r>
          </w:p>
        </w:tc>
        <w:tc>
          <w:tcPr>
            <w:tcW w:w="2250" w:type="dxa"/>
            <w:tcBorders>
              <w:top w:val="nil"/>
              <w:left w:val="nil"/>
              <w:bottom w:val="nil"/>
              <w:right w:val="nil"/>
            </w:tcBorders>
            <w:shd w:val="clear" w:color="auto" w:fill="auto"/>
            <w:hideMark/>
          </w:tcPr>
          <w:p w14:paraId="55925FF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Mixed methods design including a quantitative cross-sectional component and a qualitative component using purposive sampling</w:t>
            </w:r>
          </w:p>
        </w:tc>
        <w:tc>
          <w:tcPr>
            <w:tcW w:w="1800" w:type="dxa"/>
            <w:tcBorders>
              <w:top w:val="nil"/>
              <w:left w:val="nil"/>
              <w:bottom w:val="nil"/>
              <w:right w:val="nil"/>
            </w:tcBorders>
            <w:shd w:val="clear" w:color="auto" w:fill="auto"/>
            <w:hideMark/>
          </w:tcPr>
          <w:p w14:paraId="6B7959C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Turkey, Ankara, Istanbul, Bursa, Sivas, Ankara, Adiyaman (Armed conflicts in Syria, Iraq, Iran and Afghanistan)</w:t>
            </w:r>
          </w:p>
        </w:tc>
        <w:tc>
          <w:tcPr>
            <w:tcW w:w="1980" w:type="dxa"/>
            <w:tcBorders>
              <w:top w:val="nil"/>
              <w:left w:val="nil"/>
              <w:bottom w:val="nil"/>
              <w:right w:val="nil"/>
            </w:tcBorders>
            <w:shd w:val="clear" w:color="auto" w:fill="auto"/>
            <w:hideMark/>
          </w:tcPr>
          <w:p w14:paraId="2976249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324 elderly refugees from Syria, Iran, Iraq, Afghanistan (aged Above 60, 52% males)</w:t>
            </w:r>
          </w:p>
        </w:tc>
        <w:tc>
          <w:tcPr>
            <w:tcW w:w="3510" w:type="dxa"/>
            <w:tcBorders>
              <w:top w:val="nil"/>
              <w:left w:val="nil"/>
              <w:bottom w:val="nil"/>
              <w:right w:val="nil"/>
            </w:tcBorders>
            <w:shd w:val="clear" w:color="auto" w:fill="auto"/>
            <w:hideMark/>
          </w:tcPr>
          <w:p w14:paraId="3465E9D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Elderly refugees faced health, language, and formal problems. Women refugees were more disadvantaged. Integration challenges related to language, poverty, and being in a different country.</w:t>
            </w:r>
          </w:p>
        </w:tc>
      </w:tr>
      <w:tr w:rsidR="002F15A9" w:rsidRPr="002F15A9" w14:paraId="367BDF26" w14:textId="77777777" w:rsidTr="000B387E">
        <w:trPr>
          <w:trHeight w:val="283"/>
        </w:trPr>
        <w:tc>
          <w:tcPr>
            <w:tcW w:w="1710" w:type="dxa"/>
            <w:tcBorders>
              <w:top w:val="nil"/>
              <w:left w:val="nil"/>
              <w:bottom w:val="nil"/>
              <w:right w:val="nil"/>
            </w:tcBorders>
            <w:shd w:val="clear" w:color="auto" w:fill="auto"/>
            <w:hideMark/>
          </w:tcPr>
          <w:p w14:paraId="7564012B" w14:textId="309C1A7A" w:rsidR="002F15A9" w:rsidRPr="002F15A9" w:rsidRDefault="00117339" w:rsidP="002F15A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Timalsina</w:t>
            </w:r>
            <w:r w:rsidR="002F15A9" w:rsidRPr="002F15A9">
              <w:rPr>
                <w:rFonts w:ascii="Times New Roman" w:eastAsia="Times New Roman" w:hAnsi="Times New Roman" w:cs="Times New Roman"/>
                <w:color w:val="000000"/>
                <w:sz w:val="20"/>
                <w:szCs w:val="20"/>
              </w:rPr>
              <w:t>, 2021</w:t>
            </w:r>
          </w:p>
        </w:tc>
        <w:tc>
          <w:tcPr>
            <w:tcW w:w="2430" w:type="dxa"/>
            <w:tcBorders>
              <w:top w:val="nil"/>
              <w:left w:val="nil"/>
              <w:bottom w:val="nil"/>
              <w:right w:val="nil"/>
            </w:tcBorders>
            <w:shd w:val="clear" w:color="auto" w:fill="auto"/>
            <w:hideMark/>
          </w:tcPr>
          <w:p w14:paraId="188DD6F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Identify resilience, examine factors associated with resilience, and test the model for its fit with the data among older disaster </w:t>
            </w:r>
            <w:r w:rsidRPr="002F15A9">
              <w:rPr>
                <w:rFonts w:ascii="Times New Roman" w:eastAsia="Times New Roman" w:hAnsi="Times New Roman" w:cs="Times New Roman"/>
                <w:color w:val="000000"/>
                <w:sz w:val="20"/>
                <w:szCs w:val="20"/>
              </w:rPr>
              <w:lastRenderedPageBreak/>
              <w:t>survivors of the Nepal earthquakes of 2015.</w:t>
            </w:r>
          </w:p>
        </w:tc>
        <w:tc>
          <w:tcPr>
            <w:tcW w:w="2250" w:type="dxa"/>
            <w:tcBorders>
              <w:top w:val="nil"/>
              <w:left w:val="nil"/>
              <w:bottom w:val="nil"/>
              <w:right w:val="nil"/>
            </w:tcBorders>
            <w:shd w:val="clear" w:color="auto" w:fill="auto"/>
            <w:hideMark/>
          </w:tcPr>
          <w:p w14:paraId="147D983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Quantitative cross-sectional design using cluster and stratified random sampling</w:t>
            </w:r>
          </w:p>
        </w:tc>
        <w:tc>
          <w:tcPr>
            <w:tcW w:w="1800" w:type="dxa"/>
            <w:tcBorders>
              <w:top w:val="nil"/>
              <w:left w:val="nil"/>
              <w:bottom w:val="nil"/>
              <w:right w:val="nil"/>
            </w:tcBorders>
            <w:shd w:val="clear" w:color="auto" w:fill="auto"/>
            <w:hideMark/>
          </w:tcPr>
          <w:p w14:paraId="3145CDA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Nepal, District "A" hit by the earthquake, 2020 (2015 Nepal </w:t>
            </w:r>
            <w:r w:rsidRPr="002F15A9">
              <w:rPr>
                <w:rFonts w:ascii="Times New Roman" w:eastAsia="Times New Roman" w:hAnsi="Times New Roman" w:cs="Times New Roman"/>
                <w:color w:val="000000"/>
                <w:sz w:val="20"/>
                <w:szCs w:val="20"/>
              </w:rPr>
              <w:lastRenderedPageBreak/>
              <w:t>Earthquakes, 2015)</w:t>
            </w:r>
          </w:p>
        </w:tc>
        <w:tc>
          <w:tcPr>
            <w:tcW w:w="1980" w:type="dxa"/>
            <w:tcBorders>
              <w:top w:val="nil"/>
              <w:left w:val="nil"/>
              <w:bottom w:val="nil"/>
              <w:right w:val="nil"/>
            </w:tcBorders>
            <w:shd w:val="clear" w:color="auto" w:fill="auto"/>
            <w:hideMark/>
          </w:tcPr>
          <w:p w14:paraId="5DEE43D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324 elderly Nepalese (aged 65 and above, 47% males)</w:t>
            </w:r>
          </w:p>
        </w:tc>
        <w:tc>
          <w:tcPr>
            <w:tcW w:w="3510" w:type="dxa"/>
            <w:tcBorders>
              <w:top w:val="nil"/>
              <w:left w:val="nil"/>
              <w:bottom w:val="nil"/>
              <w:right w:val="nil"/>
            </w:tcBorders>
            <w:shd w:val="clear" w:color="auto" w:fill="auto"/>
            <w:hideMark/>
          </w:tcPr>
          <w:p w14:paraId="18ACC12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Participants reported intermediate levels of resilience. Various factors, including age, marital status, and perceived social support, had a statistically significant association with resilience.</w:t>
            </w:r>
          </w:p>
        </w:tc>
      </w:tr>
      <w:tr w:rsidR="002F15A9" w:rsidRPr="002F15A9" w14:paraId="794A1F47" w14:textId="77777777" w:rsidTr="000B387E">
        <w:trPr>
          <w:trHeight w:val="283"/>
        </w:trPr>
        <w:tc>
          <w:tcPr>
            <w:tcW w:w="1710" w:type="dxa"/>
            <w:tcBorders>
              <w:top w:val="nil"/>
              <w:left w:val="nil"/>
              <w:bottom w:val="nil"/>
              <w:right w:val="nil"/>
            </w:tcBorders>
            <w:shd w:val="clear" w:color="auto" w:fill="auto"/>
            <w:hideMark/>
          </w:tcPr>
          <w:p w14:paraId="492C7BB0" w14:textId="1D1676BB" w:rsidR="002F15A9" w:rsidRPr="002F15A9" w:rsidRDefault="0052634F"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Figer, 2021</w:t>
            </w:r>
          </w:p>
        </w:tc>
        <w:tc>
          <w:tcPr>
            <w:tcW w:w="2430" w:type="dxa"/>
            <w:tcBorders>
              <w:top w:val="nil"/>
              <w:left w:val="nil"/>
              <w:bottom w:val="nil"/>
              <w:right w:val="nil"/>
            </w:tcBorders>
            <w:shd w:val="clear" w:color="auto" w:fill="auto"/>
            <w:hideMark/>
          </w:tcPr>
          <w:p w14:paraId="4A91E25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Identify different personal networks of older adults after the Haiyan disaster, explore significant roles, foster the value, and understand how personal connections foster resilience.</w:t>
            </w:r>
          </w:p>
        </w:tc>
        <w:tc>
          <w:tcPr>
            <w:tcW w:w="2250" w:type="dxa"/>
            <w:tcBorders>
              <w:top w:val="nil"/>
              <w:left w:val="nil"/>
              <w:bottom w:val="nil"/>
              <w:right w:val="nil"/>
            </w:tcBorders>
            <w:shd w:val="clear" w:color="auto" w:fill="auto"/>
            <w:hideMark/>
          </w:tcPr>
          <w:p w14:paraId="59A4B71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 using purposive sampling</w:t>
            </w:r>
          </w:p>
        </w:tc>
        <w:tc>
          <w:tcPr>
            <w:tcW w:w="1800" w:type="dxa"/>
            <w:tcBorders>
              <w:top w:val="nil"/>
              <w:left w:val="nil"/>
              <w:bottom w:val="nil"/>
              <w:right w:val="nil"/>
            </w:tcBorders>
            <w:shd w:val="clear" w:color="auto" w:fill="auto"/>
            <w:hideMark/>
          </w:tcPr>
          <w:p w14:paraId="1F10A98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Philippines, Tacloban City (Typhoon Haiyan, 2013)</w:t>
            </w:r>
          </w:p>
        </w:tc>
        <w:tc>
          <w:tcPr>
            <w:tcW w:w="1980" w:type="dxa"/>
            <w:tcBorders>
              <w:top w:val="nil"/>
              <w:left w:val="nil"/>
              <w:bottom w:val="nil"/>
              <w:right w:val="nil"/>
            </w:tcBorders>
            <w:shd w:val="clear" w:color="auto" w:fill="auto"/>
            <w:hideMark/>
          </w:tcPr>
          <w:p w14:paraId="5D444E0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10 elderly Filipinos (60% males)</w:t>
            </w:r>
          </w:p>
        </w:tc>
        <w:tc>
          <w:tcPr>
            <w:tcW w:w="3510" w:type="dxa"/>
            <w:tcBorders>
              <w:top w:val="nil"/>
              <w:left w:val="nil"/>
              <w:bottom w:val="nil"/>
              <w:right w:val="nil"/>
            </w:tcBorders>
            <w:shd w:val="clear" w:color="auto" w:fill="auto"/>
            <w:hideMark/>
          </w:tcPr>
          <w:p w14:paraId="2073106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Older adults utilized personal ties for support and resilience post-Typhoon Haiyan.</w:t>
            </w:r>
          </w:p>
        </w:tc>
      </w:tr>
      <w:tr w:rsidR="009106A3" w:rsidRPr="002F15A9" w14:paraId="08DDBFCB" w14:textId="77777777" w:rsidTr="000B387E">
        <w:trPr>
          <w:trHeight w:val="283"/>
        </w:trPr>
        <w:tc>
          <w:tcPr>
            <w:tcW w:w="1710" w:type="dxa"/>
            <w:tcBorders>
              <w:top w:val="nil"/>
              <w:left w:val="nil"/>
              <w:bottom w:val="nil"/>
              <w:right w:val="nil"/>
            </w:tcBorders>
            <w:shd w:val="clear" w:color="auto" w:fill="auto"/>
          </w:tcPr>
          <w:p w14:paraId="261C45D4" w14:textId="7AFC45EF"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Hachem, 2022</w:t>
            </w:r>
          </w:p>
        </w:tc>
        <w:tc>
          <w:tcPr>
            <w:tcW w:w="2430" w:type="dxa"/>
            <w:tcBorders>
              <w:top w:val="nil"/>
              <w:left w:val="nil"/>
              <w:bottom w:val="nil"/>
              <w:right w:val="nil"/>
            </w:tcBorders>
            <w:shd w:val="clear" w:color="auto" w:fill="auto"/>
          </w:tcPr>
          <w:p w14:paraId="25AFA704" w14:textId="3B13D391"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Identify</w:t>
            </w:r>
            <w:r w:rsidRPr="004E2B0E">
              <w:rPr>
                <w:rFonts w:ascii="Times New Roman" w:eastAsia="Times New Roman" w:hAnsi="Times New Roman" w:cs="Times New Roman"/>
                <w:color w:val="000000"/>
                <w:sz w:val="20"/>
                <w:szCs w:val="20"/>
              </w:rPr>
              <w:t xml:space="preserve"> the unique needs of older Syrian refugees in the context of recent concurrent crises in Lebanon, and explore the extent to which they are being met and prioritized by local and international aid agencies.</w:t>
            </w:r>
          </w:p>
        </w:tc>
        <w:tc>
          <w:tcPr>
            <w:tcW w:w="2250" w:type="dxa"/>
            <w:tcBorders>
              <w:top w:val="nil"/>
              <w:left w:val="nil"/>
              <w:bottom w:val="nil"/>
              <w:right w:val="nil"/>
            </w:tcBorders>
            <w:shd w:val="clear" w:color="auto" w:fill="auto"/>
          </w:tcPr>
          <w:p w14:paraId="5EA7057D" w14:textId="02A83154"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Qualitative, snowball sampling, maximum-variation approach</w:t>
            </w:r>
          </w:p>
        </w:tc>
        <w:tc>
          <w:tcPr>
            <w:tcW w:w="1800" w:type="dxa"/>
            <w:tcBorders>
              <w:top w:val="nil"/>
              <w:left w:val="nil"/>
              <w:bottom w:val="nil"/>
              <w:right w:val="nil"/>
            </w:tcBorders>
            <w:shd w:val="clear" w:color="auto" w:fill="auto"/>
          </w:tcPr>
          <w:p w14:paraId="488A7FB9" w14:textId="09791A38"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Lebanon, June-August 2020, Syrian War, 2011</w:t>
            </w:r>
          </w:p>
        </w:tc>
        <w:tc>
          <w:tcPr>
            <w:tcW w:w="1980" w:type="dxa"/>
            <w:tcBorders>
              <w:top w:val="nil"/>
              <w:left w:val="nil"/>
              <w:bottom w:val="nil"/>
              <w:right w:val="nil"/>
            </w:tcBorders>
            <w:shd w:val="clear" w:color="auto" w:fill="auto"/>
          </w:tcPr>
          <w:p w14:paraId="0452CAF4" w14:textId="05EF7A64"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sidRPr="00175A8E">
              <w:rPr>
                <w:rFonts w:ascii="Times New Roman" w:eastAsia="Times New Roman" w:hAnsi="Times New Roman" w:cs="Times New Roman"/>
                <w:color w:val="000000"/>
                <w:sz w:val="20"/>
                <w:szCs w:val="20"/>
              </w:rPr>
              <w:t xml:space="preserve">26 participants </w:t>
            </w:r>
            <w:r>
              <w:rPr>
                <w:rFonts w:ascii="Times New Roman" w:eastAsia="Times New Roman" w:hAnsi="Times New Roman" w:cs="Times New Roman"/>
                <w:color w:val="000000"/>
                <w:sz w:val="20"/>
                <w:szCs w:val="20"/>
              </w:rPr>
              <w:t xml:space="preserve">of different positions (managerial and operational/field) </w:t>
            </w:r>
            <w:r w:rsidRPr="00175A8E">
              <w:rPr>
                <w:rFonts w:ascii="Times New Roman" w:eastAsia="Times New Roman" w:hAnsi="Times New Roman" w:cs="Times New Roman"/>
                <w:color w:val="000000"/>
                <w:sz w:val="20"/>
                <w:szCs w:val="20"/>
              </w:rPr>
              <w:t xml:space="preserve">from 11 </w:t>
            </w:r>
            <w:r>
              <w:rPr>
                <w:rFonts w:ascii="Times New Roman" w:eastAsia="Times New Roman" w:hAnsi="Times New Roman" w:cs="Times New Roman"/>
                <w:color w:val="000000"/>
                <w:sz w:val="20"/>
                <w:szCs w:val="20"/>
              </w:rPr>
              <w:t xml:space="preserve">humanitarian non-governmental organizations/ </w:t>
            </w:r>
            <w:r w:rsidRPr="00175A8E">
              <w:rPr>
                <w:rFonts w:ascii="Times New Roman" w:eastAsia="Times New Roman" w:hAnsi="Times New Roman" w:cs="Times New Roman"/>
                <w:color w:val="000000"/>
                <w:sz w:val="20"/>
                <w:szCs w:val="20"/>
              </w:rPr>
              <w:t>agencies</w:t>
            </w:r>
          </w:p>
        </w:tc>
        <w:tc>
          <w:tcPr>
            <w:tcW w:w="3510" w:type="dxa"/>
            <w:tcBorders>
              <w:top w:val="nil"/>
              <w:left w:val="nil"/>
              <w:bottom w:val="nil"/>
              <w:right w:val="nil"/>
            </w:tcBorders>
            <w:shd w:val="clear" w:color="auto" w:fill="auto"/>
          </w:tcPr>
          <w:p w14:paraId="7740B7F2" w14:textId="4F370098" w:rsidR="009106A3" w:rsidRPr="002F15A9" w:rsidRDefault="009106A3" w:rsidP="009106A3">
            <w:pPr>
              <w:spacing w:after="0" w:line="240" w:lineRule="auto"/>
              <w:jc w:val="both"/>
              <w:rPr>
                <w:rFonts w:ascii="Times New Roman" w:eastAsia="Times New Roman" w:hAnsi="Times New Roman" w:cs="Times New Roman"/>
                <w:color w:val="000000"/>
                <w:sz w:val="20"/>
                <w:szCs w:val="20"/>
              </w:rPr>
            </w:pPr>
            <w:r w:rsidRPr="002D1EE1">
              <w:rPr>
                <w:rFonts w:ascii="Times New Roman" w:eastAsia="Times New Roman" w:hAnsi="Times New Roman" w:cs="Times New Roman"/>
                <w:color w:val="000000"/>
                <w:sz w:val="20"/>
                <w:szCs w:val="20"/>
              </w:rPr>
              <w:t>The simultaneous political, economic, and public health crises in the host country have heightened income insecurity among older refugees, leading to greater reliance on younger relatives. This has resulted in food insecurity, neglect, and adverse health outcomes, including the progression of untreated non-communicable diseases. The challenges posed by COVID-19, such as social isolation, uncertainty about the future, and feelings of guilt related to economic dependence and exclusion from the labor market, have further exacerbated mental health issues. Despite their increased vulnerability, older refugees are frequently neglected in humanitarian responses, possibly due to insufficient data. Key barriers to care include widespread medication shortages amid economic collapse, inaccessible physical environments, and conflicting interests.</w:t>
            </w:r>
          </w:p>
        </w:tc>
      </w:tr>
      <w:tr w:rsidR="002F15A9" w:rsidRPr="002F15A9" w14:paraId="30421449" w14:textId="77777777" w:rsidTr="000B387E">
        <w:trPr>
          <w:trHeight w:val="283"/>
        </w:trPr>
        <w:tc>
          <w:tcPr>
            <w:tcW w:w="1710" w:type="dxa"/>
            <w:tcBorders>
              <w:top w:val="nil"/>
              <w:left w:val="nil"/>
              <w:bottom w:val="nil"/>
              <w:right w:val="nil"/>
            </w:tcBorders>
            <w:shd w:val="clear" w:color="auto" w:fill="auto"/>
            <w:hideMark/>
          </w:tcPr>
          <w:p w14:paraId="2B9EE66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McCall, 2022</w:t>
            </w:r>
          </w:p>
        </w:tc>
        <w:tc>
          <w:tcPr>
            <w:tcW w:w="2430" w:type="dxa"/>
            <w:tcBorders>
              <w:top w:val="nil"/>
              <w:left w:val="nil"/>
              <w:bottom w:val="nil"/>
              <w:right w:val="nil"/>
            </w:tcBorders>
            <w:shd w:val="clear" w:color="auto" w:fill="auto"/>
            <w:hideMark/>
          </w:tcPr>
          <w:p w14:paraId="09F9976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Develop and internally validate a predictive model to estimate inability to manage NCDs in older Syrian refugees, and to describe barriers to NCD medication adherence.</w:t>
            </w:r>
          </w:p>
        </w:tc>
        <w:tc>
          <w:tcPr>
            <w:tcW w:w="2250" w:type="dxa"/>
            <w:tcBorders>
              <w:top w:val="nil"/>
              <w:left w:val="nil"/>
              <w:bottom w:val="nil"/>
              <w:right w:val="nil"/>
            </w:tcBorders>
            <w:shd w:val="clear" w:color="auto" w:fill="auto"/>
            <w:hideMark/>
          </w:tcPr>
          <w:p w14:paraId="4732BED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longitudinal multi-wave design analyzed cross-sectionally at 2 waves</w:t>
            </w:r>
          </w:p>
        </w:tc>
        <w:tc>
          <w:tcPr>
            <w:tcW w:w="1800" w:type="dxa"/>
            <w:tcBorders>
              <w:top w:val="nil"/>
              <w:left w:val="nil"/>
              <w:bottom w:val="nil"/>
              <w:right w:val="nil"/>
            </w:tcBorders>
            <w:shd w:val="clear" w:color="auto" w:fill="auto"/>
            <w:hideMark/>
          </w:tcPr>
          <w:p w14:paraId="00CFDED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Lebanon, September-December 2020 and October 2020-January 2021; Syrian War, 2011</w:t>
            </w:r>
          </w:p>
        </w:tc>
        <w:tc>
          <w:tcPr>
            <w:tcW w:w="1980" w:type="dxa"/>
            <w:tcBorders>
              <w:top w:val="nil"/>
              <w:left w:val="nil"/>
              <w:bottom w:val="nil"/>
              <w:right w:val="nil"/>
            </w:tcBorders>
            <w:shd w:val="clear" w:color="auto" w:fill="auto"/>
            <w:hideMark/>
          </w:tcPr>
          <w:p w14:paraId="41A51322" w14:textId="1FA6598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1893 older Syrian refugees (aged 50 or above,</w:t>
            </w:r>
            <w:r w:rsidR="002E242B">
              <w:rPr>
                <w:rFonts w:ascii="Times New Roman" w:eastAsia="Times New Roman" w:hAnsi="Times New Roman" w:cs="Times New Roman"/>
                <w:color w:val="000000"/>
                <w:sz w:val="20"/>
                <w:szCs w:val="20"/>
              </w:rPr>
              <w:t xml:space="preserve"> </w:t>
            </w:r>
            <w:r w:rsidRPr="002F15A9">
              <w:rPr>
                <w:rFonts w:ascii="Times New Roman" w:eastAsia="Times New Roman" w:hAnsi="Times New Roman" w:cs="Times New Roman"/>
                <w:color w:val="000000"/>
                <w:sz w:val="20"/>
                <w:szCs w:val="20"/>
              </w:rPr>
              <w:t>42.5% males)</w:t>
            </w:r>
          </w:p>
        </w:tc>
        <w:tc>
          <w:tcPr>
            <w:tcW w:w="3510" w:type="dxa"/>
            <w:tcBorders>
              <w:top w:val="nil"/>
              <w:left w:val="nil"/>
              <w:bottom w:val="nil"/>
              <w:right w:val="nil"/>
            </w:tcBorders>
            <w:shd w:val="clear" w:color="auto" w:fill="auto"/>
            <w:hideMark/>
          </w:tcPr>
          <w:p w14:paraId="74DBD332" w14:textId="728111FB"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predictors of inability to manage NCDs among older Syrian refugees in Lebanon were mainly related to financial barriers. 57% of older Syrian refugees reported having at least 1 NCD, among whom 351 (10.6% overall; 18.6% of those with 1 NCD) had CRD, 781 (23.7% overall; 41.4% of those with 1 NCD) had diabetes, 794 (24.1% overall; 42.2% of those with 1 NCD) had history of CVD, and 1388 (42.3% overall; 73.6% of those with 1 NCD) had hypertension. Among individuals with NCDs, 20.4% participants were unable to manage at least 1 of their NCDs. Predictors for inability to manage NCDs were age, nonreceipt of cash assistance, household water insecurity, household food insecurity, and having multiple chronic diseases. The prevalence of nonadherence to medication was 9.2%, and the main reasons for nonadherence were unaffordability of medication and the belief that they no longer required the medication after feeling better.</w:t>
            </w:r>
          </w:p>
        </w:tc>
      </w:tr>
      <w:tr w:rsidR="002F15A9" w:rsidRPr="002F15A9" w14:paraId="2445AC8B" w14:textId="77777777" w:rsidTr="000B387E">
        <w:trPr>
          <w:trHeight w:val="283"/>
        </w:trPr>
        <w:tc>
          <w:tcPr>
            <w:tcW w:w="1710" w:type="dxa"/>
            <w:tcBorders>
              <w:top w:val="nil"/>
              <w:left w:val="nil"/>
              <w:bottom w:val="nil"/>
              <w:right w:val="nil"/>
            </w:tcBorders>
            <w:shd w:val="clear" w:color="auto" w:fill="auto"/>
            <w:hideMark/>
          </w:tcPr>
          <w:p w14:paraId="7210F66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Piotrowicz, 2022</w:t>
            </w:r>
          </w:p>
        </w:tc>
        <w:tc>
          <w:tcPr>
            <w:tcW w:w="2430" w:type="dxa"/>
            <w:tcBorders>
              <w:top w:val="nil"/>
              <w:left w:val="nil"/>
              <w:bottom w:val="nil"/>
              <w:right w:val="nil"/>
            </w:tcBorders>
            <w:shd w:val="clear" w:color="auto" w:fill="auto"/>
            <w:hideMark/>
          </w:tcPr>
          <w:p w14:paraId="0FC8DA7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Estimate the burden of disease in older Ukrainian refugees, given the potential financial and logistical impacts on the health-care systems of receiving countries. </w:t>
            </w:r>
          </w:p>
        </w:tc>
        <w:tc>
          <w:tcPr>
            <w:tcW w:w="2250" w:type="dxa"/>
            <w:tcBorders>
              <w:top w:val="nil"/>
              <w:left w:val="nil"/>
              <w:bottom w:val="nil"/>
              <w:right w:val="nil"/>
            </w:tcBorders>
            <w:shd w:val="clear" w:color="auto" w:fill="auto"/>
            <w:hideMark/>
          </w:tcPr>
          <w:p w14:paraId="2772623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Secondary quantitative analysis of publicly available databases. Polish data concerning migration, and publicly available Ukrainian data (including data queried directly with the Ukrainian Ministry of Health) on disease burden in Ukraine.</w:t>
            </w:r>
          </w:p>
        </w:tc>
        <w:tc>
          <w:tcPr>
            <w:tcW w:w="1800" w:type="dxa"/>
            <w:tcBorders>
              <w:top w:val="nil"/>
              <w:left w:val="nil"/>
              <w:bottom w:val="nil"/>
              <w:right w:val="nil"/>
            </w:tcBorders>
            <w:shd w:val="clear" w:color="auto" w:fill="auto"/>
            <w:hideMark/>
          </w:tcPr>
          <w:p w14:paraId="6A2FE24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N/A</w:t>
            </w:r>
          </w:p>
        </w:tc>
        <w:tc>
          <w:tcPr>
            <w:tcW w:w="1980" w:type="dxa"/>
            <w:tcBorders>
              <w:top w:val="nil"/>
              <w:left w:val="nil"/>
              <w:bottom w:val="nil"/>
              <w:right w:val="nil"/>
            </w:tcBorders>
            <w:shd w:val="clear" w:color="auto" w:fill="auto"/>
            <w:hideMark/>
          </w:tcPr>
          <w:p w14:paraId="4A07A98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Publicly available Polish data concerning migration, and publicly available Ukrainian data (including data queried directly with the Ukrainian Ministry of Health) on disease burden in Ukraine.</w:t>
            </w:r>
          </w:p>
        </w:tc>
        <w:tc>
          <w:tcPr>
            <w:tcW w:w="3510" w:type="dxa"/>
            <w:tcBorders>
              <w:top w:val="nil"/>
              <w:left w:val="nil"/>
              <w:bottom w:val="nil"/>
              <w:right w:val="nil"/>
            </w:tcBorders>
            <w:shd w:val="clear" w:color="auto" w:fill="auto"/>
            <w:hideMark/>
          </w:tcPr>
          <w:p w14:paraId="22FECE8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There are over 600 000 older people (defined as women aged 55 years or older and men aged 60 years or older), close to 10% of the total, among the Ukrainian refugee population. We estimated that these older refugees have a mean of 2·5 diseases each, the most frequent of which are cardiovascular diseases, followed by gastrointestinal, respiratory, musculoskeletal, and genitourinary diseases. The expected absolute incidence is greatest for pulmonary disorders, followed by </w:t>
            </w:r>
            <w:r w:rsidRPr="002F15A9">
              <w:rPr>
                <w:rFonts w:ascii="Times New Roman" w:eastAsia="Times New Roman" w:hAnsi="Times New Roman" w:cs="Times New Roman"/>
                <w:color w:val="000000"/>
                <w:sz w:val="20"/>
                <w:szCs w:val="20"/>
              </w:rPr>
              <w:lastRenderedPageBreak/>
              <w:t>cardiovascular, ocular, musculoskeletal, and genitourinary disorders. The estimated number of new diagnoses per year was 4578 for tuberculosis and 7827 for cancer.</w:t>
            </w:r>
          </w:p>
        </w:tc>
      </w:tr>
      <w:tr w:rsidR="002F15A9" w:rsidRPr="002F15A9" w14:paraId="17362FED" w14:textId="77777777" w:rsidTr="000B387E">
        <w:trPr>
          <w:trHeight w:val="283"/>
        </w:trPr>
        <w:tc>
          <w:tcPr>
            <w:tcW w:w="1710" w:type="dxa"/>
            <w:tcBorders>
              <w:top w:val="nil"/>
              <w:left w:val="nil"/>
              <w:bottom w:val="nil"/>
              <w:right w:val="nil"/>
            </w:tcBorders>
            <w:shd w:val="clear" w:color="auto" w:fill="auto"/>
            <w:hideMark/>
          </w:tcPr>
          <w:p w14:paraId="1FF91D6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Ekoh, 2022</w:t>
            </w:r>
          </w:p>
        </w:tc>
        <w:tc>
          <w:tcPr>
            <w:tcW w:w="2430" w:type="dxa"/>
            <w:tcBorders>
              <w:top w:val="nil"/>
              <w:left w:val="nil"/>
              <w:bottom w:val="nil"/>
              <w:right w:val="nil"/>
            </w:tcBorders>
            <w:shd w:val="clear" w:color="auto" w:fill="auto"/>
            <w:hideMark/>
          </w:tcPr>
          <w:p w14:paraId="32E8AD4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Collect data on older people’s experiences of abuse while living in displacement in Abuja, Nigeria.</w:t>
            </w:r>
          </w:p>
        </w:tc>
        <w:tc>
          <w:tcPr>
            <w:tcW w:w="2250" w:type="dxa"/>
            <w:tcBorders>
              <w:top w:val="nil"/>
              <w:left w:val="nil"/>
              <w:bottom w:val="nil"/>
              <w:right w:val="nil"/>
            </w:tcBorders>
            <w:shd w:val="clear" w:color="auto" w:fill="auto"/>
            <w:hideMark/>
          </w:tcPr>
          <w:p w14:paraId="234CB95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 using art-based graphic elicitations and interviews and non-probability purposive sampling</w:t>
            </w:r>
          </w:p>
        </w:tc>
        <w:tc>
          <w:tcPr>
            <w:tcW w:w="1800" w:type="dxa"/>
            <w:tcBorders>
              <w:top w:val="nil"/>
              <w:left w:val="nil"/>
              <w:bottom w:val="nil"/>
              <w:right w:val="nil"/>
            </w:tcBorders>
            <w:shd w:val="clear" w:color="auto" w:fill="auto"/>
            <w:hideMark/>
          </w:tcPr>
          <w:p w14:paraId="516E0C3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Nigeria, Lugbe IDP camp (Boko Haram conflict, 2014)</w:t>
            </w:r>
          </w:p>
        </w:tc>
        <w:tc>
          <w:tcPr>
            <w:tcW w:w="1980" w:type="dxa"/>
            <w:tcBorders>
              <w:top w:val="nil"/>
              <w:left w:val="nil"/>
              <w:bottom w:val="nil"/>
              <w:right w:val="nil"/>
            </w:tcBorders>
            <w:shd w:val="clear" w:color="auto" w:fill="auto"/>
            <w:hideMark/>
          </w:tcPr>
          <w:p w14:paraId="05D6EE14" w14:textId="16EA07CE"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14 older </w:t>
            </w:r>
            <w:r w:rsidR="000123DD" w:rsidRPr="002F15A9">
              <w:rPr>
                <w:rFonts w:ascii="Times New Roman" w:eastAsia="Times New Roman" w:hAnsi="Times New Roman" w:cs="Times New Roman"/>
                <w:sz w:val="20"/>
                <w:szCs w:val="20"/>
              </w:rPr>
              <w:t>IDPs (</w:t>
            </w:r>
            <w:r w:rsidRPr="002F15A9">
              <w:rPr>
                <w:rFonts w:ascii="Times New Roman" w:eastAsia="Times New Roman" w:hAnsi="Times New Roman" w:cs="Times New Roman"/>
                <w:sz w:val="20"/>
                <w:szCs w:val="20"/>
              </w:rPr>
              <w:t>aged 60 or above, five males)</w:t>
            </w:r>
          </w:p>
        </w:tc>
        <w:tc>
          <w:tcPr>
            <w:tcW w:w="3510" w:type="dxa"/>
            <w:tcBorders>
              <w:top w:val="nil"/>
              <w:left w:val="nil"/>
              <w:bottom w:val="nil"/>
              <w:right w:val="nil"/>
            </w:tcBorders>
            <w:shd w:val="clear" w:color="auto" w:fill="auto"/>
            <w:hideMark/>
          </w:tcPr>
          <w:p w14:paraId="217817C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Displacement increased abuse, and the vulnerability of co-migrant family members led to widespread neglect. This abuse caused perceived fear and anxiety, increased health problems, risk of destitution and normalization of abuse. </w:t>
            </w:r>
          </w:p>
        </w:tc>
      </w:tr>
      <w:tr w:rsidR="002F15A9" w:rsidRPr="002F15A9" w14:paraId="0A5425E3" w14:textId="77777777" w:rsidTr="000B387E">
        <w:trPr>
          <w:trHeight w:val="283"/>
        </w:trPr>
        <w:tc>
          <w:tcPr>
            <w:tcW w:w="1710" w:type="dxa"/>
            <w:tcBorders>
              <w:top w:val="nil"/>
              <w:left w:val="nil"/>
              <w:bottom w:val="nil"/>
              <w:right w:val="nil"/>
            </w:tcBorders>
            <w:shd w:val="clear" w:color="auto" w:fill="auto"/>
            <w:hideMark/>
          </w:tcPr>
          <w:p w14:paraId="14D954C4" w14:textId="7C867E03" w:rsidR="002F15A9" w:rsidRPr="002F15A9" w:rsidRDefault="009B22F2" w:rsidP="002F15A9">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Hillary</w:t>
            </w:r>
            <w:r w:rsidR="002F15A9" w:rsidRPr="002F15A9">
              <w:rPr>
                <w:rFonts w:ascii="Times New Roman" w:eastAsia="Times New Roman" w:hAnsi="Times New Roman" w:cs="Times New Roman"/>
                <w:color w:val="000000"/>
                <w:sz w:val="20"/>
                <w:szCs w:val="20"/>
              </w:rPr>
              <w:t xml:space="preserve"> &amp; Braak, 2022</w:t>
            </w:r>
          </w:p>
        </w:tc>
        <w:tc>
          <w:tcPr>
            <w:tcW w:w="2430" w:type="dxa"/>
            <w:tcBorders>
              <w:top w:val="nil"/>
              <w:left w:val="nil"/>
              <w:bottom w:val="nil"/>
              <w:right w:val="nil"/>
            </w:tcBorders>
            <w:shd w:val="clear" w:color="auto" w:fill="auto"/>
            <w:hideMark/>
          </w:tcPr>
          <w:p w14:paraId="7095A97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the perspective of South Sudanese Zande elderly refugee women on resilience</w:t>
            </w:r>
          </w:p>
        </w:tc>
        <w:tc>
          <w:tcPr>
            <w:tcW w:w="2250" w:type="dxa"/>
            <w:tcBorders>
              <w:top w:val="nil"/>
              <w:left w:val="nil"/>
              <w:bottom w:val="nil"/>
              <w:right w:val="nil"/>
            </w:tcBorders>
            <w:shd w:val="clear" w:color="auto" w:fill="auto"/>
            <w:hideMark/>
          </w:tcPr>
          <w:p w14:paraId="3893E26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 using an ethnographic approach</w:t>
            </w:r>
          </w:p>
        </w:tc>
        <w:tc>
          <w:tcPr>
            <w:tcW w:w="1800" w:type="dxa"/>
            <w:tcBorders>
              <w:top w:val="nil"/>
              <w:left w:val="nil"/>
              <w:bottom w:val="nil"/>
              <w:right w:val="nil"/>
            </w:tcBorders>
            <w:shd w:val="clear" w:color="auto" w:fill="auto"/>
            <w:hideMark/>
          </w:tcPr>
          <w:p w14:paraId="1C622420" w14:textId="5C9BCDE8"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Uganda, Kiryandongo Refugee Settlement, December 2019-January 2020 (</w:t>
            </w:r>
            <w:r w:rsidRPr="002F15A9">
              <w:rPr>
                <w:rFonts w:ascii="Times New Roman" w:eastAsia="Times New Roman" w:hAnsi="Times New Roman" w:cs="Times New Roman"/>
                <w:sz w:val="20"/>
                <w:szCs w:val="20"/>
              </w:rPr>
              <w:t>War in South Sudan</w:t>
            </w:r>
            <w:r w:rsidR="00356EB9">
              <w:rPr>
                <w:rFonts w:ascii="Times New Roman" w:eastAsia="Times New Roman" w:hAnsi="Times New Roman" w:cs="Times New Roman"/>
                <w:sz w:val="20"/>
                <w:szCs w:val="20"/>
              </w:rPr>
              <w:t>, 2013-2020</w:t>
            </w:r>
            <w:r w:rsidRPr="002F15A9">
              <w:rPr>
                <w:rFonts w:ascii="Times New Roman" w:eastAsia="Times New Roman" w:hAnsi="Times New Roman" w:cs="Times New Roman"/>
                <w:color w:val="000000"/>
                <w:sz w:val="20"/>
                <w:szCs w:val="20"/>
              </w:rPr>
              <w:t>)</w:t>
            </w:r>
          </w:p>
        </w:tc>
        <w:tc>
          <w:tcPr>
            <w:tcW w:w="1980" w:type="dxa"/>
            <w:tcBorders>
              <w:top w:val="nil"/>
              <w:left w:val="nil"/>
              <w:bottom w:val="nil"/>
              <w:right w:val="nil"/>
            </w:tcBorders>
            <w:shd w:val="clear" w:color="auto" w:fill="auto"/>
            <w:hideMark/>
          </w:tcPr>
          <w:p w14:paraId="7C109FC3" w14:textId="5C1E7B42"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Elderly </w:t>
            </w:r>
            <w:r w:rsidRPr="002F15A9">
              <w:rPr>
                <w:rFonts w:ascii="Times New Roman" w:eastAsia="Times New Roman" w:hAnsi="Times New Roman" w:cs="Times New Roman"/>
                <w:sz w:val="20"/>
                <w:szCs w:val="20"/>
              </w:rPr>
              <w:t>women</w:t>
            </w:r>
            <w:r w:rsidR="00661CF7" w:rsidRPr="00661CF7">
              <w:rPr>
                <w:rFonts w:ascii="Times New Roman" w:eastAsia="Times New Roman" w:hAnsi="Times New Roman" w:cs="Times New Roman"/>
                <w:sz w:val="20"/>
                <w:szCs w:val="20"/>
              </w:rPr>
              <w:t xml:space="preserve"> </w:t>
            </w:r>
            <w:r w:rsidR="00661CF7" w:rsidRPr="002F15A9">
              <w:rPr>
                <w:rFonts w:ascii="Times New Roman" w:eastAsia="Times New Roman" w:hAnsi="Times New Roman" w:cs="Times New Roman"/>
                <w:sz w:val="20"/>
                <w:szCs w:val="20"/>
              </w:rPr>
              <w:t>(</w:t>
            </w:r>
            <w:r w:rsidR="00661CF7" w:rsidRPr="00661CF7">
              <w:rPr>
                <w:rFonts w:ascii="Times New Roman" w:eastAsia="Times New Roman" w:hAnsi="Times New Roman" w:cs="Times New Roman"/>
                <w:sz w:val="20"/>
                <w:szCs w:val="20"/>
              </w:rPr>
              <w:t>56 and above)</w:t>
            </w:r>
            <w:r w:rsidRPr="002F15A9">
              <w:rPr>
                <w:rFonts w:ascii="Times New Roman" w:eastAsia="Times New Roman" w:hAnsi="Times New Roman" w:cs="Times New Roman"/>
                <w:sz w:val="20"/>
                <w:szCs w:val="20"/>
              </w:rPr>
              <w:t xml:space="preserve"> </w:t>
            </w:r>
            <w:r w:rsidRPr="002F15A9">
              <w:rPr>
                <w:rFonts w:ascii="Times New Roman" w:eastAsia="Times New Roman" w:hAnsi="Times New Roman" w:cs="Times New Roman"/>
                <w:color w:val="000000"/>
                <w:sz w:val="20"/>
                <w:szCs w:val="20"/>
              </w:rPr>
              <w:t xml:space="preserve">in Kiyandongo refugee settlement, Author 1 sharing lived experience as a South Sudanese Zande refugee, and Author 2's longitudinal research in South Sudan and Uganda </w:t>
            </w:r>
          </w:p>
        </w:tc>
        <w:tc>
          <w:tcPr>
            <w:tcW w:w="3510" w:type="dxa"/>
            <w:tcBorders>
              <w:top w:val="nil"/>
              <w:left w:val="nil"/>
              <w:bottom w:val="nil"/>
              <w:right w:val="nil"/>
            </w:tcBorders>
            <w:shd w:val="clear" w:color="auto" w:fill="auto"/>
            <w:hideMark/>
          </w:tcPr>
          <w:p w14:paraId="24CDE843" w14:textId="2FD2735B"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Women have developed a rich body of knowledge about suffering, coping, and resilience. Mixing idioms, folktales, and anecdotes, they teach youth not to focus on outcomes or ‘big dreams’, but on a stoic acceptance of loss and perpetual precarity. They advise actions like farming, childcare, and faith. Even so, suffering and coping are socially conditioned and policed, and the intimate circle </w:t>
            </w:r>
            <w:r w:rsidR="000123DD" w:rsidRPr="002F15A9">
              <w:rPr>
                <w:rFonts w:ascii="Times New Roman" w:eastAsia="Times New Roman" w:hAnsi="Times New Roman" w:cs="Times New Roman"/>
                <w:sz w:val="20"/>
                <w:szCs w:val="20"/>
              </w:rPr>
              <w:t>harbors</w:t>
            </w:r>
            <w:r w:rsidRPr="002F15A9">
              <w:rPr>
                <w:rFonts w:ascii="Times New Roman" w:eastAsia="Times New Roman" w:hAnsi="Times New Roman" w:cs="Times New Roman"/>
                <w:sz w:val="20"/>
                <w:szCs w:val="20"/>
              </w:rPr>
              <w:t xml:space="preserve"> both protection and dangers, like witchcraft. The women’s accounts contrast bleakly with up-beat neoliberal developmentalism which sees cash-infused ‘resilience’ as the key to refugees’ self-reliant futures.</w:t>
            </w:r>
          </w:p>
        </w:tc>
      </w:tr>
      <w:tr w:rsidR="002F15A9" w:rsidRPr="002F15A9" w14:paraId="005541A5" w14:textId="77777777" w:rsidTr="000B387E">
        <w:trPr>
          <w:trHeight w:val="283"/>
        </w:trPr>
        <w:tc>
          <w:tcPr>
            <w:tcW w:w="1710" w:type="dxa"/>
            <w:tcBorders>
              <w:top w:val="nil"/>
              <w:left w:val="nil"/>
              <w:bottom w:val="nil"/>
              <w:right w:val="nil"/>
            </w:tcBorders>
            <w:shd w:val="clear" w:color="auto" w:fill="auto"/>
            <w:hideMark/>
          </w:tcPr>
          <w:p w14:paraId="593E3D3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Abi Chahine, 2022</w:t>
            </w:r>
          </w:p>
        </w:tc>
        <w:tc>
          <w:tcPr>
            <w:tcW w:w="2430" w:type="dxa"/>
            <w:tcBorders>
              <w:top w:val="nil"/>
              <w:left w:val="nil"/>
              <w:bottom w:val="nil"/>
              <w:right w:val="nil"/>
            </w:tcBorders>
            <w:shd w:val="clear" w:color="auto" w:fill="auto"/>
            <w:hideMark/>
          </w:tcPr>
          <w:p w14:paraId="43C0742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Provide further in-depth understanding of how service providers perceive health and social challenges of older Syrian refugees in Lebanon.</w:t>
            </w:r>
          </w:p>
        </w:tc>
        <w:tc>
          <w:tcPr>
            <w:tcW w:w="2250" w:type="dxa"/>
            <w:tcBorders>
              <w:top w:val="nil"/>
              <w:left w:val="nil"/>
              <w:bottom w:val="nil"/>
              <w:right w:val="nil"/>
            </w:tcBorders>
            <w:shd w:val="clear" w:color="auto" w:fill="auto"/>
            <w:hideMark/>
          </w:tcPr>
          <w:p w14:paraId="4935B77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design using purposive and snowballing sampling</w:t>
            </w:r>
          </w:p>
        </w:tc>
        <w:tc>
          <w:tcPr>
            <w:tcW w:w="1800" w:type="dxa"/>
            <w:tcBorders>
              <w:top w:val="nil"/>
              <w:left w:val="nil"/>
              <w:bottom w:val="nil"/>
              <w:right w:val="nil"/>
            </w:tcBorders>
            <w:shd w:val="clear" w:color="auto" w:fill="auto"/>
            <w:hideMark/>
          </w:tcPr>
          <w:p w14:paraId="2CCC374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Lebanon, 2018 (Syrian War, 2011)</w:t>
            </w:r>
          </w:p>
        </w:tc>
        <w:tc>
          <w:tcPr>
            <w:tcW w:w="1980" w:type="dxa"/>
            <w:tcBorders>
              <w:top w:val="nil"/>
              <w:left w:val="nil"/>
              <w:bottom w:val="nil"/>
              <w:right w:val="nil"/>
            </w:tcBorders>
            <w:shd w:val="clear" w:color="auto" w:fill="auto"/>
            <w:hideMark/>
          </w:tcPr>
          <w:p w14:paraId="3170AF7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15 health and social workers providing services to older Syrian refugees living in Lebanon</w:t>
            </w:r>
          </w:p>
        </w:tc>
        <w:tc>
          <w:tcPr>
            <w:tcW w:w="3510" w:type="dxa"/>
            <w:tcBorders>
              <w:top w:val="nil"/>
              <w:left w:val="nil"/>
              <w:bottom w:val="nil"/>
              <w:right w:val="nil"/>
            </w:tcBorders>
            <w:shd w:val="clear" w:color="auto" w:fill="auto"/>
            <w:hideMark/>
          </w:tcPr>
          <w:p w14:paraId="4B07ABC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Older refugees face increased marginalization and neglect.</w:t>
            </w:r>
          </w:p>
        </w:tc>
      </w:tr>
      <w:tr w:rsidR="002F15A9" w:rsidRPr="002F15A9" w14:paraId="4CEE5A26" w14:textId="77777777" w:rsidTr="000B387E">
        <w:trPr>
          <w:trHeight w:val="283"/>
        </w:trPr>
        <w:tc>
          <w:tcPr>
            <w:tcW w:w="1710" w:type="dxa"/>
            <w:tcBorders>
              <w:top w:val="nil"/>
              <w:left w:val="nil"/>
              <w:bottom w:val="nil"/>
              <w:right w:val="nil"/>
            </w:tcBorders>
            <w:shd w:val="clear" w:color="auto" w:fill="auto"/>
            <w:hideMark/>
          </w:tcPr>
          <w:p w14:paraId="61C3F65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Apak, 2022</w:t>
            </w:r>
          </w:p>
        </w:tc>
        <w:tc>
          <w:tcPr>
            <w:tcW w:w="2430" w:type="dxa"/>
            <w:tcBorders>
              <w:top w:val="nil"/>
              <w:left w:val="nil"/>
              <w:bottom w:val="nil"/>
              <w:right w:val="nil"/>
            </w:tcBorders>
            <w:shd w:val="clear" w:color="auto" w:fill="auto"/>
            <w:hideMark/>
          </w:tcPr>
          <w:p w14:paraId="35CE1F3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Determine the economic, biopsychosocial, and sociocultural problems of older Syrians living in Turkey.</w:t>
            </w:r>
          </w:p>
        </w:tc>
        <w:tc>
          <w:tcPr>
            <w:tcW w:w="2250" w:type="dxa"/>
            <w:tcBorders>
              <w:top w:val="nil"/>
              <w:left w:val="nil"/>
              <w:bottom w:val="nil"/>
              <w:right w:val="nil"/>
            </w:tcBorders>
            <w:shd w:val="clear" w:color="auto" w:fill="auto"/>
            <w:hideMark/>
          </w:tcPr>
          <w:p w14:paraId="3F8FED9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Mixed methods design including cross-sectional quantitative component and a qualitative component.  Convenience sampling was used for quantative component and purposive sampling for the qualitative sampling</w:t>
            </w:r>
          </w:p>
        </w:tc>
        <w:tc>
          <w:tcPr>
            <w:tcW w:w="1800" w:type="dxa"/>
            <w:tcBorders>
              <w:top w:val="nil"/>
              <w:left w:val="nil"/>
              <w:bottom w:val="nil"/>
              <w:right w:val="nil"/>
            </w:tcBorders>
            <w:shd w:val="clear" w:color="auto" w:fill="auto"/>
            <w:hideMark/>
          </w:tcPr>
          <w:p w14:paraId="0F99F88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Turkey, Gaziantep, August-September 2020 (Syrian War, 2011)</w:t>
            </w:r>
          </w:p>
        </w:tc>
        <w:tc>
          <w:tcPr>
            <w:tcW w:w="1980" w:type="dxa"/>
            <w:tcBorders>
              <w:top w:val="nil"/>
              <w:left w:val="nil"/>
              <w:bottom w:val="nil"/>
              <w:right w:val="nil"/>
            </w:tcBorders>
            <w:shd w:val="clear" w:color="auto" w:fill="auto"/>
            <w:hideMark/>
          </w:tcPr>
          <w:p w14:paraId="20DFD12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451 Syrian, Turkmen, and Kurdish elderly refugees (aged 60 and above, 53% males)</w:t>
            </w:r>
          </w:p>
        </w:tc>
        <w:tc>
          <w:tcPr>
            <w:tcW w:w="3510" w:type="dxa"/>
            <w:tcBorders>
              <w:top w:val="nil"/>
              <w:left w:val="nil"/>
              <w:bottom w:val="nil"/>
              <w:right w:val="nil"/>
            </w:tcBorders>
            <w:shd w:val="clear" w:color="auto" w:fill="auto"/>
            <w:hideMark/>
          </w:tcPr>
          <w:p w14:paraId="45684A1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Older Syrians experienced economic, biopsychosocial, and sociocultural problems. Traumatic events, changing economic situations, and family relationships affected both physical and mental health. Socio-cultural adaptation was influenced by language, temporary protection, and exposure to exclusion.</w:t>
            </w:r>
          </w:p>
        </w:tc>
      </w:tr>
      <w:tr w:rsidR="002F15A9" w:rsidRPr="002F15A9" w14:paraId="532A805D" w14:textId="77777777" w:rsidTr="000B387E">
        <w:trPr>
          <w:trHeight w:val="283"/>
        </w:trPr>
        <w:tc>
          <w:tcPr>
            <w:tcW w:w="1710" w:type="dxa"/>
            <w:tcBorders>
              <w:top w:val="nil"/>
              <w:left w:val="nil"/>
              <w:bottom w:val="nil"/>
              <w:right w:val="nil"/>
            </w:tcBorders>
            <w:shd w:val="clear" w:color="auto" w:fill="auto"/>
            <w:hideMark/>
          </w:tcPr>
          <w:p w14:paraId="6F0533D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Timalsina, 2022</w:t>
            </w:r>
          </w:p>
        </w:tc>
        <w:tc>
          <w:tcPr>
            <w:tcW w:w="2430" w:type="dxa"/>
            <w:tcBorders>
              <w:top w:val="nil"/>
              <w:left w:val="nil"/>
              <w:bottom w:val="nil"/>
              <w:right w:val="nil"/>
            </w:tcBorders>
            <w:shd w:val="clear" w:color="auto" w:fill="auto"/>
            <w:hideMark/>
          </w:tcPr>
          <w:p w14:paraId="35A2258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Identify factors explaining resilience in the long-term recovery phase among Nepalese older adults who survived the 2015 earthquakes.</w:t>
            </w:r>
          </w:p>
        </w:tc>
        <w:tc>
          <w:tcPr>
            <w:tcW w:w="2250" w:type="dxa"/>
            <w:tcBorders>
              <w:top w:val="nil"/>
              <w:left w:val="nil"/>
              <w:bottom w:val="nil"/>
              <w:right w:val="nil"/>
            </w:tcBorders>
            <w:shd w:val="clear" w:color="auto" w:fill="auto"/>
            <w:hideMark/>
          </w:tcPr>
          <w:p w14:paraId="288794D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design using cluster and stratified random sampling</w:t>
            </w:r>
          </w:p>
        </w:tc>
        <w:tc>
          <w:tcPr>
            <w:tcW w:w="1800" w:type="dxa"/>
            <w:tcBorders>
              <w:top w:val="nil"/>
              <w:left w:val="nil"/>
              <w:bottom w:val="nil"/>
              <w:right w:val="nil"/>
            </w:tcBorders>
            <w:shd w:val="clear" w:color="auto" w:fill="auto"/>
            <w:hideMark/>
          </w:tcPr>
          <w:p w14:paraId="74652D2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Nepal, Sindhupalchok District, 2020 (2015 Nepal Earthquakes, 2015)</w:t>
            </w:r>
          </w:p>
        </w:tc>
        <w:tc>
          <w:tcPr>
            <w:tcW w:w="1980" w:type="dxa"/>
            <w:tcBorders>
              <w:top w:val="nil"/>
              <w:left w:val="nil"/>
              <w:bottom w:val="nil"/>
              <w:right w:val="nil"/>
            </w:tcBorders>
            <w:shd w:val="clear" w:color="auto" w:fill="auto"/>
            <w:hideMark/>
          </w:tcPr>
          <w:p w14:paraId="688139F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303 elderly Nepalese refugees (aged 60 and above, 46% males)</w:t>
            </w:r>
          </w:p>
        </w:tc>
        <w:tc>
          <w:tcPr>
            <w:tcW w:w="3510" w:type="dxa"/>
            <w:tcBorders>
              <w:top w:val="nil"/>
              <w:left w:val="nil"/>
              <w:bottom w:val="nil"/>
              <w:right w:val="nil"/>
            </w:tcBorders>
            <w:shd w:val="clear" w:color="auto" w:fill="auto"/>
            <w:hideMark/>
          </w:tcPr>
          <w:p w14:paraId="4099464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model explained 75% of variance in resilience, with self-efficacy and spirituality being the strongest factors. Self-esteem, social support, and perceived stress also played important roles.</w:t>
            </w:r>
          </w:p>
        </w:tc>
      </w:tr>
      <w:tr w:rsidR="002F15A9" w:rsidRPr="002F15A9" w14:paraId="680FF116" w14:textId="77777777" w:rsidTr="000B387E">
        <w:trPr>
          <w:trHeight w:val="280"/>
        </w:trPr>
        <w:tc>
          <w:tcPr>
            <w:tcW w:w="1710" w:type="dxa"/>
            <w:tcBorders>
              <w:top w:val="nil"/>
              <w:left w:val="nil"/>
              <w:bottom w:val="nil"/>
              <w:right w:val="nil"/>
            </w:tcBorders>
            <w:shd w:val="clear" w:color="auto" w:fill="auto"/>
            <w:hideMark/>
          </w:tcPr>
          <w:p w14:paraId="3E4E7DC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Efendi, 2022</w:t>
            </w:r>
          </w:p>
        </w:tc>
        <w:tc>
          <w:tcPr>
            <w:tcW w:w="2430" w:type="dxa"/>
            <w:tcBorders>
              <w:top w:val="nil"/>
              <w:left w:val="nil"/>
              <w:bottom w:val="nil"/>
              <w:right w:val="nil"/>
            </w:tcBorders>
            <w:shd w:val="clear" w:color="auto" w:fill="auto"/>
            <w:hideMark/>
          </w:tcPr>
          <w:p w14:paraId="643C7CC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stakeholders’ perspectives on post-disaster management related to the elderly’s mental health needs.</w:t>
            </w:r>
          </w:p>
        </w:tc>
        <w:tc>
          <w:tcPr>
            <w:tcW w:w="2250" w:type="dxa"/>
            <w:tcBorders>
              <w:top w:val="nil"/>
              <w:left w:val="nil"/>
              <w:bottom w:val="nil"/>
              <w:right w:val="nil"/>
            </w:tcBorders>
            <w:shd w:val="clear" w:color="auto" w:fill="auto"/>
            <w:hideMark/>
          </w:tcPr>
          <w:p w14:paraId="7F8AF82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case study design using purposive sampling</w:t>
            </w:r>
          </w:p>
        </w:tc>
        <w:tc>
          <w:tcPr>
            <w:tcW w:w="1800" w:type="dxa"/>
            <w:tcBorders>
              <w:top w:val="nil"/>
              <w:left w:val="nil"/>
              <w:bottom w:val="nil"/>
              <w:right w:val="nil"/>
            </w:tcBorders>
            <w:shd w:val="clear" w:color="auto" w:fill="auto"/>
            <w:hideMark/>
          </w:tcPr>
          <w:p w14:paraId="115F4D5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Indonesia, 2020 (Disasters (general), N/A)</w:t>
            </w:r>
          </w:p>
        </w:tc>
        <w:tc>
          <w:tcPr>
            <w:tcW w:w="1980" w:type="dxa"/>
            <w:tcBorders>
              <w:top w:val="nil"/>
              <w:left w:val="nil"/>
              <w:bottom w:val="nil"/>
              <w:right w:val="nil"/>
            </w:tcBorders>
            <w:shd w:val="clear" w:color="auto" w:fill="auto"/>
            <w:hideMark/>
          </w:tcPr>
          <w:p w14:paraId="10277DB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9 Indonesian policymakers from the central and local governments</w:t>
            </w:r>
          </w:p>
        </w:tc>
        <w:tc>
          <w:tcPr>
            <w:tcW w:w="3510" w:type="dxa"/>
            <w:tcBorders>
              <w:top w:val="nil"/>
              <w:left w:val="nil"/>
              <w:bottom w:val="nil"/>
              <w:right w:val="nil"/>
            </w:tcBorders>
            <w:shd w:val="clear" w:color="auto" w:fill="auto"/>
            <w:hideMark/>
          </w:tcPr>
          <w:p w14:paraId="560DBCC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Results were presented based on actor, content, context, and process, highlighting intersectoral collaboration and the vulnerability of the elderly in mental health issues after disasters.</w:t>
            </w:r>
          </w:p>
        </w:tc>
      </w:tr>
      <w:tr w:rsidR="002F15A9" w:rsidRPr="002F15A9" w14:paraId="0B3FDC25" w14:textId="77777777" w:rsidTr="000B387E">
        <w:trPr>
          <w:trHeight w:val="280"/>
        </w:trPr>
        <w:tc>
          <w:tcPr>
            <w:tcW w:w="1710" w:type="dxa"/>
            <w:tcBorders>
              <w:top w:val="nil"/>
              <w:left w:val="nil"/>
              <w:bottom w:val="nil"/>
              <w:right w:val="nil"/>
            </w:tcBorders>
            <w:shd w:val="clear" w:color="auto" w:fill="auto"/>
            <w:hideMark/>
          </w:tcPr>
          <w:p w14:paraId="492820D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Lupieri, 2022</w:t>
            </w:r>
          </w:p>
        </w:tc>
        <w:tc>
          <w:tcPr>
            <w:tcW w:w="2430" w:type="dxa"/>
            <w:tcBorders>
              <w:top w:val="nil"/>
              <w:left w:val="nil"/>
              <w:bottom w:val="nil"/>
              <w:right w:val="nil"/>
            </w:tcBorders>
            <w:shd w:val="clear" w:color="auto" w:fill="auto"/>
            <w:hideMark/>
          </w:tcPr>
          <w:p w14:paraId="237F989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Critically examine the ways humanitarian health actors make sense of the principle of ‘impartiality’ in the face of limited resources based on the case of older Syrian refugees in Jordan.</w:t>
            </w:r>
          </w:p>
        </w:tc>
        <w:tc>
          <w:tcPr>
            <w:tcW w:w="2250" w:type="dxa"/>
            <w:tcBorders>
              <w:top w:val="nil"/>
              <w:left w:val="nil"/>
              <w:bottom w:val="nil"/>
              <w:right w:val="nil"/>
            </w:tcBorders>
            <w:shd w:val="clear" w:color="auto" w:fill="auto"/>
            <w:hideMark/>
          </w:tcPr>
          <w:p w14:paraId="710DA83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Primary qualitative using purposive and snowballing sampling</w:t>
            </w:r>
          </w:p>
        </w:tc>
        <w:tc>
          <w:tcPr>
            <w:tcW w:w="1800" w:type="dxa"/>
            <w:tcBorders>
              <w:top w:val="nil"/>
              <w:left w:val="nil"/>
              <w:bottom w:val="nil"/>
              <w:right w:val="nil"/>
            </w:tcBorders>
            <w:shd w:val="clear" w:color="auto" w:fill="auto"/>
            <w:hideMark/>
          </w:tcPr>
          <w:p w14:paraId="33FABA7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Jordan &amp; Lebanon, 2017-2019 (Syrian War, 2011)</w:t>
            </w:r>
          </w:p>
        </w:tc>
        <w:tc>
          <w:tcPr>
            <w:tcW w:w="1980" w:type="dxa"/>
            <w:tcBorders>
              <w:top w:val="nil"/>
              <w:left w:val="nil"/>
              <w:bottom w:val="nil"/>
              <w:right w:val="nil"/>
            </w:tcBorders>
            <w:shd w:val="clear" w:color="auto" w:fill="auto"/>
            <w:hideMark/>
          </w:tcPr>
          <w:p w14:paraId="34CF5C1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61 participants including government officials, representatives from donor organizations, policymakers at UN agencies and NGOs, and academics in Syrian and Jordan </w:t>
            </w:r>
          </w:p>
        </w:tc>
        <w:tc>
          <w:tcPr>
            <w:tcW w:w="3510" w:type="dxa"/>
            <w:tcBorders>
              <w:top w:val="nil"/>
              <w:left w:val="nil"/>
              <w:bottom w:val="nil"/>
              <w:right w:val="nil"/>
            </w:tcBorders>
            <w:shd w:val="clear" w:color="auto" w:fill="auto"/>
            <w:hideMark/>
          </w:tcPr>
          <w:p w14:paraId="120CAC6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Humanitarians classify older refugees as 'vulnerable' but perceive them as low 'value for money' due to factors like reduced lifespan, disproportionate disease burden, and limited contributions to the economy.</w:t>
            </w:r>
          </w:p>
        </w:tc>
      </w:tr>
      <w:tr w:rsidR="002F15A9" w:rsidRPr="002F15A9" w14:paraId="29DDDD9D" w14:textId="77777777" w:rsidTr="000B387E">
        <w:trPr>
          <w:trHeight w:val="280"/>
        </w:trPr>
        <w:tc>
          <w:tcPr>
            <w:tcW w:w="1710" w:type="dxa"/>
            <w:tcBorders>
              <w:top w:val="nil"/>
              <w:left w:val="nil"/>
              <w:bottom w:val="nil"/>
              <w:right w:val="nil"/>
            </w:tcBorders>
            <w:shd w:val="clear" w:color="auto" w:fill="auto"/>
            <w:hideMark/>
          </w:tcPr>
          <w:p w14:paraId="2BED254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Abi Zeid, 2023</w:t>
            </w:r>
          </w:p>
        </w:tc>
        <w:tc>
          <w:tcPr>
            <w:tcW w:w="2430" w:type="dxa"/>
            <w:tcBorders>
              <w:top w:val="nil"/>
              <w:left w:val="nil"/>
              <w:bottom w:val="nil"/>
              <w:right w:val="nil"/>
            </w:tcBorders>
            <w:shd w:val="clear" w:color="auto" w:fill="auto"/>
            <w:hideMark/>
          </w:tcPr>
          <w:p w14:paraId="43BCB4B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Elucidate the predictors of COVID-19 vaccine uptake among Syrian refugees </w:t>
            </w:r>
            <w:r w:rsidRPr="002F15A9">
              <w:rPr>
                <w:rFonts w:ascii="Times New Roman" w:eastAsia="Times New Roman" w:hAnsi="Times New Roman" w:cs="Times New Roman"/>
                <w:color w:val="000000"/>
                <w:sz w:val="20"/>
                <w:szCs w:val="20"/>
              </w:rPr>
              <w:lastRenderedPageBreak/>
              <w:t>aged 50 years or older in Lebanon and to understand their main reasons for not receiving the vaccine.</w:t>
            </w:r>
          </w:p>
        </w:tc>
        <w:tc>
          <w:tcPr>
            <w:tcW w:w="2250" w:type="dxa"/>
            <w:tcBorders>
              <w:top w:val="nil"/>
              <w:left w:val="nil"/>
              <w:bottom w:val="nil"/>
              <w:right w:val="nil"/>
            </w:tcBorders>
            <w:shd w:val="clear" w:color="auto" w:fill="auto"/>
            <w:hideMark/>
          </w:tcPr>
          <w:p w14:paraId="396EB896"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Quantitative longitudinal multi-wave </w:t>
            </w:r>
            <w:r w:rsidRPr="002F15A9">
              <w:rPr>
                <w:rFonts w:ascii="Times New Roman" w:eastAsia="Times New Roman" w:hAnsi="Times New Roman" w:cs="Times New Roman"/>
                <w:color w:val="000000"/>
                <w:sz w:val="20"/>
                <w:szCs w:val="20"/>
              </w:rPr>
              <w:lastRenderedPageBreak/>
              <w:t>design analyzed cross-sectionally at 2 waves</w:t>
            </w:r>
          </w:p>
        </w:tc>
        <w:tc>
          <w:tcPr>
            <w:tcW w:w="1800" w:type="dxa"/>
            <w:tcBorders>
              <w:top w:val="nil"/>
              <w:left w:val="nil"/>
              <w:bottom w:val="nil"/>
              <w:right w:val="nil"/>
            </w:tcBorders>
            <w:shd w:val="clear" w:color="auto" w:fill="auto"/>
            <w:hideMark/>
          </w:tcPr>
          <w:p w14:paraId="67AC2AF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Lebanon, January-April 2021 and January–March </w:t>
            </w:r>
            <w:r w:rsidRPr="002F15A9">
              <w:rPr>
                <w:rFonts w:ascii="Times New Roman" w:eastAsia="Times New Roman" w:hAnsi="Times New Roman" w:cs="Times New Roman"/>
                <w:color w:val="000000"/>
                <w:sz w:val="20"/>
                <w:szCs w:val="20"/>
              </w:rPr>
              <w:lastRenderedPageBreak/>
              <w:t>2022, (Syrian War, 2011)</w:t>
            </w:r>
          </w:p>
        </w:tc>
        <w:tc>
          <w:tcPr>
            <w:tcW w:w="1980" w:type="dxa"/>
            <w:tcBorders>
              <w:top w:val="nil"/>
              <w:left w:val="nil"/>
              <w:bottom w:val="nil"/>
              <w:right w:val="nil"/>
            </w:tcBorders>
            <w:shd w:val="clear" w:color="auto" w:fill="auto"/>
            <w:hideMark/>
          </w:tcPr>
          <w:p w14:paraId="52F9CCE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2906 elderly Syrian refugees from both waves 3 and 5 (Aged </w:t>
            </w:r>
            <w:r w:rsidRPr="002F15A9">
              <w:rPr>
                <w:rFonts w:ascii="Times New Roman" w:eastAsia="Times New Roman" w:hAnsi="Times New Roman" w:cs="Times New Roman"/>
                <w:color w:val="000000"/>
                <w:sz w:val="20"/>
                <w:szCs w:val="20"/>
              </w:rPr>
              <w:lastRenderedPageBreak/>
              <w:t>50 or above, 52.9% males)</w:t>
            </w:r>
          </w:p>
        </w:tc>
        <w:tc>
          <w:tcPr>
            <w:tcW w:w="3510" w:type="dxa"/>
            <w:tcBorders>
              <w:top w:val="nil"/>
              <w:left w:val="nil"/>
              <w:bottom w:val="nil"/>
              <w:right w:val="nil"/>
            </w:tcBorders>
            <w:shd w:val="clear" w:color="auto" w:fill="auto"/>
            <w:hideMark/>
          </w:tcPr>
          <w:p w14:paraId="5435AA94" w14:textId="50B9741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 xml:space="preserve">42·5% had received at least one dose of the COVID-19 vaccine. The main reasons for not receiving the first dose </w:t>
            </w:r>
            <w:r w:rsidRPr="002F15A9">
              <w:rPr>
                <w:rFonts w:ascii="Times New Roman" w:eastAsia="Times New Roman" w:hAnsi="Times New Roman" w:cs="Times New Roman"/>
                <w:color w:val="000000"/>
                <w:sz w:val="20"/>
                <w:szCs w:val="20"/>
              </w:rPr>
              <w:lastRenderedPageBreak/>
              <w:t>included being afraid of its side-effects or not wanting the vaccine. 27·7% of 2906 participants received the second dose of the vaccine and 0·9% received the third dose. The main reason for not receiving the second or third dose was waiting for a text message for an appointment. Predictors of receiving at least one dose of the COVID-19 vaccine included younger age, being male, living inside informal tented settlements, having elementary and preparatory education or above, and having a pre-existing intention to receive the vaccine.</w:t>
            </w:r>
          </w:p>
        </w:tc>
      </w:tr>
      <w:tr w:rsidR="002F15A9" w:rsidRPr="002F15A9" w14:paraId="2434C676" w14:textId="77777777" w:rsidTr="000B387E">
        <w:trPr>
          <w:trHeight w:val="280"/>
        </w:trPr>
        <w:tc>
          <w:tcPr>
            <w:tcW w:w="1710" w:type="dxa"/>
            <w:tcBorders>
              <w:top w:val="nil"/>
              <w:left w:val="nil"/>
              <w:bottom w:val="nil"/>
              <w:right w:val="nil"/>
            </w:tcBorders>
            <w:shd w:val="clear" w:color="auto" w:fill="auto"/>
            <w:hideMark/>
          </w:tcPr>
          <w:p w14:paraId="3F8B8E7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Salti, 2023</w:t>
            </w:r>
          </w:p>
        </w:tc>
        <w:tc>
          <w:tcPr>
            <w:tcW w:w="2430" w:type="dxa"/>
            <w:tcBorders>
              <w:top w:val="nil"/>
              <w:left w:val="nil"/>
              <w:bottom w:val="nil"/>
              <w:right w:val="nil"/>
            </w:tcBorders>
            <w:shd w:val="clear" w:color="auto" w:fill="auto"/>
            <w:hideMark/>
          </w:tcPr>
          <w:p w14:paraId="67E4B761" w14:textId="0C88FE00"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individual- and household-level determinants of adherence to wearing a mask and avoiding social gatherings (such as weddings and funerals) among older Syrian refugees in Lebanon, as well as the determinants of sustained adherence over a period of 6 months among those who report to abide by these recommendations.</w:t>
            </w:r>
          </w:p>
        </w:tc>
        <w:tc>
          <w:tcPr>
            <w:tcW w:w="2250" w:type="dxa"/>
            <w:tcBorders>
              <w:top w:val="nil"/>
              <w:left w:val="nil"/>
              <w:bottom w:val="nil"/>
              <w:right w:val="nil"/>
            </w:tcBorders>
            <w:shd w:val="clear" w:color="auto" w:fill="auto"/>
            <w:hideMark/>
          </w:tcPr>
          <w:p w14:paraId="4C5BE9C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longitudinal multi-wave design analyzed cross-sectionally at 2 waves</w:t>
            </w:r>
          </w:p>
        </w:tc>
        <w:tc>
          <w:tcPr>
            <w:tcW w:w="1800" w:type="dxa"/>
            <w:tcBorders>
              <w:top w:val="nil"/>
              <w:left w:val="nil"/>
              <w:bottom w:val="nil"/>
              <w:right w:val="nil"/>
            </w:tcBorders>
            <w:shd w:val="clear" w:color="auto" w:fill="auto"/>
            <w:hideMark/>
          </w:tcPr>
          <w:p w14:paraId="7D23E2C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Lebanon, October-December of 2020 and February-May 2021 (Syrian War, 2011)</w:t>
            </w:r>
          </w:p>
        </w:tc>
        <w:tc>
          <w:tcPr>
            <w:tcW w:w="1980" w:type="dxa"/>
            <w:tcBorders>
              <w:top w:val="nil"/>
              <w:left w:val="nil"/>
              <w:bottom w:val="nil"/>
              <w:right w:val="nil"/>
            </w:tcBorders>
            <w:shd w:val="clear" w:color="auto" w:fill="auto"/>
            <w:hideMark/>
          </w:tcPr>
          <w:p w14:paraId="64BF358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study used data from the first (n = 3,838) and fourth (n = 2,991) waves of interviews with older Syria refugees (aged 50 or older, both genders)</w:t>
            </w:r>
          </w:p>
        </w:tc>
        <w:tc>
          <w:tcPr>
            <w:tcW w:w="3510" w:type="dxa"/>
            <w:tcBorders>
              <w:top w:val="nil"/>
              <w:left w:val="nil"/>
              <w:bottom w:val="nil"/>
              <w:right w:val="nil"/>
            </w:tcBorders>
            <w:shd w:val="clear" w:color="auto" w:fill="auto"/>
            <w:hideMark/>
          </w:tcPr>
          <w:p w14:paraId="167511B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No individual-level characteristics were robustly associated with mask wearing. For avoiding social gatherings, education was inversely associated with adherence to this preventive measure. Avoiding social gatherings was also significantly lower for residents of informal tented settlements (ITSs). Among initial adherents, and for both preventive practices, ITS dwellers were also significantly less likely to maintain adherence.</w:t>
            </w:r>
          </w:p>
        </w:tc>
      </w:tr>
      <w:tr w:rsidR="002F15A9" w:rsidRPr="002F15A9" w14:paraId="2DA59B89" w14:textId="77777777" w:rsidTr="000B387E">
        <w:trPr>
          <w:trHeight w:val="280"/>
        </w:trPr>
        <w:tc>
          <w:tcPr>
            <w:tcW w:w="1710" w:type="dxa"/>
            <w:tcBorders>
              <w:top w:val="nil"/>
              <w:left w:val="nil"/>
              <w:bottom w:val="nil"/>
              <w:right w:val="nil"/>
            </w:tcBorders>
            <w:shd w:val="clear" w:color="auto" w:fill="auto"/>
            <w:hideMark/>
          </w:tcPr>
          <w:p w14:paraId="17AE6CD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Wolter, 2023</w:t>
            </w:r>
          </w:p>
        </w:tc>
        <w:tc>
          <w:tcPr>
            <w:tcW w:w="2430" w:type="dxa"/>
            <w:tcBorders>
              <w:top w:val="nil"/>
              <w:left w:val="nil"/>
              <w:bottom w:val="nil"/>
              <w:right w:val="nil"/>
            </w:tcBorders>
            <w:shd w:val="clear" w:color="auto" w:fill="auto"/>
            <w:hideMark/>
          </w:tcPr>
          <w:p w14:paraId="1991608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Elucidate the neglected conjunction between ageing and waiting during displacement, and simultaneously connects it to the literature on the ageing-migration nexus by asking how family </w:t>
            </w:r>
            <w:r w:rsidRPr="002F15A9">
              <w:rPr>
                <w:rFonts w:ascii="Times New Roman" w:eastAsia="Times New Roman" w:hAnsi="Times New Roman" w:cs="Times New Roman"/>
                <w:color w:val="000000"/>
                <w:sz w:val="20"/>
                <w:szCs w:val="20"/>
              </w:rPr>
              <w:lastRenderedPageBreak/>
              <w:t>relationships and finding an income within a new environment are linked withing the context of forced migration in older age.</w:t>
            </w:r>
          </w:p>
        </w:tc>
        <w:tc>
          <w:tcPr>
            <w:tcW w:w="2250" w:type="dxa"/>
            <w:tcBorders>
              <w:top w:val="nil"/>
              <w:left w:val="nil"/>
              <w:bottom w:val="nil"/>
              <w:right w:val="nil"/>
            </w:tcBorders>
            <w:shd w:val="clear" w:color="auto" w:fill="auto"/>
            <w:hideMark/>
          </w:tcPr>
          <w:p w14:paraId="792FC86B"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Qualitative design using an ethnographic approach</w:t>
            </w:r>
          </w:p>
        </w:tc>
        <w:tc>
          <w:tcPr>
            <w:tcW w:w="1800" w:type="dxa"/>
            <w:tcBorders>
              <w:top w:val="nil"/>
              <w:left w:val="nil"/>
              <w:bottom w:val="nil"/>
              <w:right w:val="nil"/>
            </w:tcBorders>
            <w:shd w:val="clear" w:color="auto" w:fill="auto"/>
            <w:hideMark/>
          </w:tcPr>
          <w:p w14:paraId="39289A5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Cameroon, Bafoussam, 2019-2020 (Anglophone Crisis, 2016)</w:t>
            </w:r>
          </w:p>
        </w:tc>
        <w:tc>
          <w:tcPr>
            <w:tcW w:w="1980" w:type="dxa"/>
            <w:tcBorders>
              <w:top w:val="nil"/>
              <w:left w:val="nil"/>
              <w:bottom w:val="nil"/>
              <w:right w:val="nil"/>
            </w:tcBorders>
            <w:shd w:val="clear" w:color="auto" w:fill="auto"/>
            <w:hideMark/>
          </w:tcPr>
          <w:p w14:paraId="65B6FEC2" w14:textId="77777777" w:rsidR="002F15A9" w:rsidRPr="002F15A9" w:rsidRDefault="002F15A9" w:rsidP="002F15A9">
            <w:pPr>
              <w:spacing w:after="0" w:line="240" w:lineRule="auto"/>
              <w:jc w:val="both"/>
              <w:rPr>
                <w:rFonts w:ascii="Times New Roman" w:eastAsia="Times New Roman" w:hAnsi="Times New Roman" w:cs="Times New Roman"/>
                <w:sz w:val="20"/>
                <w:szCs w:val="20"/>
              </w:rPr>
            </w:pPr>
            <w:r w:rsidRPr="002F15A9">
              <w:rPr>
                <w:rFonts w:ascii="Times New Roman" w:eastAsia="Times New Roman" w:hAnsi="Times New Roman" w:cs="Times New Roman"/>
                <w:sz w:val="20"/>
                <w:szCs w:val="20"/>
              </w:rPr>
              <w:t xml:space="preserve">Internally displaced internally displaced families in Bafoussam, the Francophone capital of the West region of Cameroon (elderly of interest aged 50 </w:t>
            </w:r>
            <w:r w:rsidRPr="002F15A9">
              <w:rPr>
                <w:rFonts w:ascii="Times New Roman" w:eastAsia="Times New Roman" w:hAnsi="Times New Roman" w:cs="Times New Roman"/>
                <w:sz w:val="20"/>
                <w:szCs w:val="20"/>
              </w:rPr>
              <w:lastRenderedPageBreak/>
              <w:t>and above, both genders)</w:t>
            </w:r>
          </w:p>
        </w:tc>
        <w:tc>
          <w:tcPr>
            <w:tcW w:w="3510" w:type="dxa"/>
            <w:tcBorders>
              <w:top w:val="nil"/>
              <w:left w:val="nil"/>
              <w:bottom w:val="nil"/>
              <w:right w:val="nil"/>
            </w:tcBorders>
            <w:shd w:val="clear" w:color="auto" w:fill="auto"/>
            <w:hideMark/>
          </w:tcPr>
          <w:p w14:paraId="385846E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The condition of ‘waiting’ is productively and actively shaped by Anglophone IDPs who dynamically combine practices of the past with their present status, as well as notions about their still-uncertain future.</w:t>
            </w:r>
          </w:p>
        </w:tc>
      </w:tr>
      <w:tr w:rsidR="002F15A9" w:rsidRPr="002F15A9" w14:paraId="40EA9BC5" w14:textId="77777777" w:rsidTr="000B387E">
        <w:trPr>
          <w:trHeight w:val="280"/>
        </w:trPr>
        <w:tc>
          <w:tcPr>
            <w:tcW w:w="1710" w:type="dxa"/>
            <w:tcBorders>
              <w:top w:val="nil"/>
              <w:left w:val="nil"/>
              <w:bottom w:val="nil"/>
              <w:right w:val="nil"/>
            </w:tcBorders>
            <w:shd w:val="clear" w:color="auto" w:fill="auto"/>
            <w:hideMark/>
          </w:tcPr>
          <w:p w14:paraId="454C9B6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Yusuf &amp; Umejesi, 2023</w:t>
            </w:r>
          </w:p>
        </w:tc>
        <w:tc>
          <w:tcPr>
            <w:tcW w:w="2430" w:type="dxa"/>
            <w:tcBorders>
              <w:top w:val="nil"/>
              <w:left w:val="nil"/>
              <w:bottom w:val="nil"/>
              <w:right w:val="nil"/>
            </w:tcBorders>
            <w:shd w:val="clear" w:color="auto" w:fill="auto"/>
            <w:hideMark/>
          </w:tcPr>
          <w:p w14:paraId="26F2A6F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Examine the relationship between host communities and elderly refugees in post-Apartheid South Africa.</w:t>
            </w:r>
          </w:p>
        </w:tc>
        <w:tc>
          <w:tcPr>
            <w:tcW w:w="2250" w:type="dxa"/>
            <w:tcBorders>
              <w:top w:val="nil"/>
              <w:left w:val="nil"/>
              <w:bottom w:val="nil"/>
              <w:right w:val="nil"/>
            </w:tcBorders>
            <w:shd w:val="clear" w:color="auto" w:fill="auto"/>
            <w:hideMark/>
          </w:tcPr>
          <w:p w14:paraId="45FB544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Qualitative design using purposive and snowball sampling</w:t>
            </w:r>
          </w:p>
        </w:tc>
        <w:tc>
          <w:tcPr>
            <w:tcW w:w="1800" w:type="dxa"/>
            <w:tcBorders>
              <w:top w:val="nil"/>
              <w:left w:val="nil"/>
              <w:bottom w:val="nil"/>
              <w:right w:val="nil"/>
            </w:tcBorders>
            <w:shd w:val="clear" w:color="auto" w:fill="auto"/>
            <w:hideMark/>
          </w:tcPr>
          <w:p w14:paraId="55DDE54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South Africa, Eastern Cape Province, 2019 (Multiple African conflicts in Somalia, Senegal, Ethiopia, DR Congo, Tanzania, Malawi, Cameroon)</w:t>
            </w:r>
          </w:p>
        </w:tc>
        <w:tc>
          <w:tcPr>
            <w:tcW w:w="1980" w:type="dxa"/>
            <w:tcBorders>
              <w:top w:val="nil"/>
              <w:left w:val="nil"/>
              <w:bottom w:val="nil"/>
              <w:right w:val="nil"/>
            </w:tcBorders>
            <w:shd w:val="clear" w:color="auto" w:fill="auto"/>
            <w:hideMark/>
          </w:tcPr>
          <w:p w14:paraId="3CB12CA2"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20 Refugee host communities and 30 older refugees residing in the Eastern Cape Province, South Africa (66.6% males). The majority of the refugees (22) are from Somalia, Senegal (1), Ethiopia (1), DR Congo (2), Tanzania (1), Malawi (2) and Cameroon (1).</w:t>
            </w:r>
          </w:p>
        </w:tc>
        <w:tc>
          <w:tcPr>
            <w:tcW w:w="3510" w:type="dxa"/>
            <w:tcBorders>
              <w:top w:val="nil"/>
              <w:left w:val="nil"/>
              <w:bottom w:val="nil"/>
              <w:right w:val="nil"/>
            </w:tcBorders>
            <w:shd w:val="clear" w:color="auto" w:fill="auto"/>
            <w:hideMark/>
          </w:tcPr>
          <w:p w14:paraId="740A0EE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Certain South Africans are compassionate toward the needs of the refugees; perhaps, they are inspired by the principle of African brotherhood. They seem hostile to elderly refugees because they perceive them as threats and competitors in their communities. Those members of the host communities who are socio-economically disadvantaged are likely to see refugees competing for their limited resources in their community.</w:t>
            </w:r>
          </w:p>
        </w:tc>
      </w:tr>
      <w:tr w:rsidR="002F15A9" w:rsidRPr="002F15A9" w14:paraId="4C897D40" w14:textId="77777777" w:rsidTr="000B387E">
        <w:trPr>
          <w:trHeight w:val="280"/>
        </w:trPr>
        <w:tc>
          <w:tcPr>
            <w:tcW w:w="1710" w:type="dxa"/>
            <w:tcBorders>
              <w:top w:val="nil"/>
              <w:left w:val="nil"/>
              <w:bottom w:val="nil"/>
              <w:right w:val="nil"/>
            </w:tcBorders>
            <w:shd w:val="clear" w:color="auto" w:fill="auto"/>
            <w:hideMark/>
          </w:tcPr>
          <w:p w14:paraId="0366A51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Alam, 2023</w:t>
            </w:r>
          </w:p>
        </w:tc>
        <w:tc>
          <w:tcPr>
            <w:tcW w:w="2430" w:type="dxa"/>
            <w:tcBorders>
              <w:top w:val="nil"/>
              <w:left w:val="nil"/>
              <w:bottom w:val="nil"/>
              <w:right w:val="nil"/>
            </w:tcBorders>
            <w:shd w:val="clear" w:color="auto" w:fill="auto"/>
            <w:hideMark/>
          </w:tcPr>
          <w:p w14:paraId="13D92D7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Assess the nutritional status and depression of the elderly forcibly displaced Myanmar nationals in Bangladesh and determine the associated factors of geriatric depression.</w:t>
            </w:r>
          </w:p>
        </w:tc>
        <w:tc>
          <w:tcPr>
            <w:tcW w:w="2250" w:type="dxa"/>
            <w:tcBorders>
              <w:top w:val="nil"/>
              <w:left w:val="nil"/>
              <w:bottom w:val="nil"/>
              <w:right w:val="nil"/>
            </w:tcBorders>
            <w:shd w:val="clear" w:color="auto" w:fill="auto"/>
            <w:hideMark/>
          </w:tcPr>
          <w:p w14:paraId="0DB2FA1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study using modified systematic random sampling</w:t>
            </w:r>
          </w:p>
        </w:tc>
        <w:tc>
          <w:tcPr>
            <w:tcW w:w="1800" w:type="dxa"/>
            <w:tcBorders>
              <w:top w:val="nil"/>
              <w:left w:val="nil"/>
              <w:bottom w:val="nil"/>
              <w:right w:val="nil"/>
            </w:tcBorders>
            <w:shd w:val="clear" w:color="auto" w:fill="auto"/>
            <w:hideMark/>
          </w:tcPr>
          <w:p w14:paraId="26310A7E"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Kutupalong refugee camp of Cox’s Bazar, November 2021 and March 2022 (Myanmar's Rohingya Persecution, Rwanda, 2017)</w:t>
            </w:r>
          </w:p>
        </w:tc>
        <w:tc>
          <w:tcPr>
            <w:tcW w:w="1980" w:type="dxa"/>
            <w:tcBorders>
              <w:top w:val="nil"/>
              <w:left w:val="nil"/>
              <w:bottom w:val="nil"/>
              <w:right w:val="nil"/>
            </w:tcBorders>
            <w:shd w:val="clear" w:color="auto" w:fill="auto"/>
            <w:hideMark/>
          </w:tcPr>
          <w:p w14:paraId="426C37D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430 elderly forcibly displaced Myanmar nationals residing in Kutupalong Refugee Camp, Cox’s Bazar (aged ≥ 60 years, 53.3% males)</w:t>
            </w:r>
          </w:p>
        </w:tc>
        <w:tc>
          <w:tcPr>
            <w:tcW w:w="3510" w:type="dxa"/>
            <w:tcBorders>
              <w:top w:val="nil"/>
              <w:left w:val="nil"/>
              <w:bottom w:val="nil"/>
              <w:right w:val="nil"/>
            </w:tcBorders>
            <w:shd w:val="clear" w:color="auto" w:fill="auto"/>
            <w:hideMark/>
          </w:tcPr>
          <w:p w14:paraId="4CA762E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The mean BMI was 21·94(±2·6) kg/m2. There was a high prevalence of self-reported diabetes mellitus (32·1 %), hypertension (26·7 %), hypotension (20 %), skin diseases (28·4 %) and chronic obstructive pulmonary disease (16·5 %). The prevalence of malnutrition was 25·3 %, and another 29·1 % were at risk. The prevalence of GD was 57·9 %, and co-occurrences of GD and malnutrition were seen in 17·5 % of participants. GD was significantly higher among elderly people with malnutrition. Elderly aged ≥ 80 years were at higher risk of GD, and having fewer than five members in the </w:t>
            </w:r>
            <w:r w:rsidRPr="002F15A9">
              <w:rPr>
                <w:rFonts w:ascii="Times New Roman" w:eastAsia="Times New Roman" w:hAnsi="Times New Roman" w:cs="Times New Roman"/>
                <w:color w:val="000000"/>
                <w:sz w:val="20"/>
                <w:szCs w:val="20"/>
              </w:rPr>
              <w:lastRenderedPageBreak/>
              <w:t xml:space="preserve">household was an independent predictor of GD. Diabetes </w:t>
            </w:r>
            <w:proofErr w:type="gramStart"/>
            <w:r w:rsidRPr="002F15A9">
              <w:rPr>
                <w:rFonts w:ascii="Times New Roman" w:eastAsia="Times New Roman" w:hAnsi="Times New Roman" w:cs="Times New Roman"/>
                <w:color w:val="000000"/>
                <w:sz w:val="20"/>
                <w:szCs w:val="20"/>
              </w:rPr>
              <w:t>mellitus  and</w:t>
            </w:r>
            <w:proofErr w:type="gramEnd"/>
            <w:r w:rsidRPr="002F15A9">
              <w:rPr>
                <w:rFonts w:ascii="Times New Roman" w:eastAsia="Times New Roman" w:hAnsi="Times New Roman" w:cs="Times New Roman"/>
                <w:color w:val="000000"/>
                <w:sz w:val="20"/>
                <w:szCs w:val="20"/>
              </w:rPr>
              <w:t xml:space="preserve"> hypotension were also significantly associated with an increased risk of GD.</w:t>
            </w:r>
          </w:p>
        </w:tc>
      </w:tr>
      <w:tr w:rsidR="002F15A9" w:rsidRPr="002F15A9" w14:paraId="0C61B2BC" w14:textId="77777777" w:rsidTr="000B387E">
        <w:trPr>
          <w:trHeight w:val="280"/>
        </w:trPr>
        <w:tc>
          <w:tcPr>
            <w:tcW w:w="1710" w:type="dxa"/>
            <w:tcBorders>
              <w:top w:val="nil"/>
              <w:left w:val="nil"/>
              <w:bottom w:val="nil"/>
              <w:right w:val="nil"/>
            </w:tcBorders>
            <w:shd w:val="clear" w:color="auto" w:fill="auto"/>
            <w:hideMark/>
          </w:tcPr>
          <w:p w14:paraId="5196D179"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lastRenderedPageBreak/>
              <w:t>Anwar, 2023</w:t>
            </w:r>
          </w:p>
        </w:tc>
        <w:tc>
          <w:tcPr>
            <w:tcW w:w="2430" w:type="dxa"/>
            <w:tcBorders>
              <w:top w:val="nil"/>
              <w:left w:val="nil"/>
              <w:bottom w:val="nil"/>
              <w:right w:val="nil"/>
            </w:tcBorders>
            <w:shd w:val="clear" w:color="auto" w:fill="auto"/>
            <w:hideMark/>
          </w:tcPr>
          <w:p w14:paraId="21EEE4E7"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Identify the prevalence and determinants of anxiety and stress related to COVID-19 among the community dwelling older adults residing in the largest refugee camp of the world</w:t>
            </w:r>
          </w:p>
        </w:tc>
        <w:tc>
          <w:tcPr>
            <w:tcW w:w="2250" w:type="dxa"/>
            <w:tcBorders>
              <w:top w:val="nil"/>
              <w:left w:val="nil"/>
              <w:bottom w:val="nil"/>
              <w:right w:val="nil"/>
            </w:tcBorders>
            <w:shd w:val="clear" w:color="auto" w:fill="auto"/>
            <w:hideMark/>
          </w:tcPr>
          <w:p w14:paraId="64D0328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study using simple random sampling</w:t>
            </w:r>
          </w:p>
        </w:tc>
        <w:tc>
          <w:tcPr>
            <w:tcW w:w="1800" w:type="dxa"/>
            <w:tcBorders>
              <w:top w:val="nil"/>
              <w:left w:val="nil"/>
              <w:bottom w:val="nil"/>
              <w:right w:val="nil"/>
            </w:tcBorders>
            <w:shd w:val="clear" w:color="auto" w:fill="auto"/>
            <w:hideMark/>
          </w:tcPr>
          <w:p w14:paraId="222E6EBC"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Rohingya refugee camp in Cox's Bazar, November-December 2021 (Myanmar's Rohingya Persecution, Rwanda, 2017)</w:t>
            </w:r>
          </w:p>
        </w:tc>
        <w:tc>
          <w:tcPr>
            <w:tcW w:w="1980" w:type="dxa"/>
            <w:tcBorders>
              <w:top w:val="nil"/>
              <w:left w:val="nil"/>
              <w:bottom w:val="nil"/>
              <w:right w:val="nil"/>
            </w:tcBorders>
            <w:shd w:val="clear" w:color="auto" w:fill="auto"/>
            <w:hideMark/>
          </w:tcPr>
          <w:p w14:paraId="6A5ADD0A"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864 older adults residing in Rohingya refugee camp (aged 60 or above, 56% males)</w:t>
            </w:r>
          </w:p>
        </w:tc>
        <w:tc>
          <w:tcPr>
            <w:tcW w:w="3510" w:type="dxa"/>
            <w:tcBorders>
              <w:top w:val="nil"/>
              <w:left w:val="nil"/>
              <w:bottom w:val="nil"/>
              <w:right w:val="nil"/>
            </w:tcBorders>
            <w:shd w:val="clear" w:color="auto" w:fill="auto"/>
            <w:hideMark/>
          </w:tcPr>
          <w:p w14:paraId="3ADEB20F"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 xml:space="preserve">The prevalence of COVID-19-related anxiety and perceived stress was 68% and 93%, respectively. The average COVID-19-related anxiety score expected to be significantly higher among those who were physically inactive, concerned about COVID-19, had a close friend/family member diagnosed with COVID-19, and had some difficulty in getting food and routine medical care during the COVID-19 pandemic. Meanwhile, the average perceived stress score was expected to be significantly higher among those without partners, who were feeling overwhelmed by COVID-19, and who experienced COVID-19-related anxiety during the pandemic. </w:t>
            </w:r>
          </w:p>
        </w:tc>
      </w:tr>
      <w:tr w:rsidR="002F15A9" w:rsidRPr="002F15A9" w14:paraId="3BB0C079" w14:textId="77777777" w:rsidTr="000B387E">
        <w:trPr>
          <w:trHeight w:val="280"/>
        </w:trPr>
        <w:tc>
          <w:tcPr>
            <w:tcW w:w="1710" w:type="dxa"/>
            <w:tcBorders>
              <w:top w:val="nil"/>
              <w:left w:val="nil"/>
              <w:bottom w:val="nil"/>
              <w:right w:val="nil"/>
            </w:tcBorders>
            <w:shd w:val="clear" w:color="auto" w:fill="auto"/>
            <w:hideMark/>
          </w:tcPr>
          <w:p w14:paraId="1B127C23"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Anwar, 2023</w:t>
            </w:r>
          </w:p>
        </w:tc>
        <w:tc>
          <w:tcPr>
            <w:tcW w:w="2430" w:type="dxa"/>
            <w:tcBorders>
              <w:top w:val="nil"/>
              <w:left w:val="nil"/>
              <w:bottom w:val="nil"/>
              <w:right w:val="nil"/>
            </w:tcBorders>
            <w:shd w:val="clear" w:color="auto" w:fill="auto"/>
            <w:hideMark/>
          </w:tcPr>
          <w:p w14:paraId="2F311A24"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Explore the prevalence and determinants of self-reported functional status among the older adults residing in the Rohingya refugee camp in Bangladesh.</w:t>
            </w:r>
          </w:p>
        </w:tc>
        <w:tc>
          <w:tcPr>
            <w:tcW w:w="2250" w:type="dxa"/>
            <w:tcBorders>
              <w:top w:val="nil"/>
              <w:left w:val="nil"/>
              <w:bottom w:val="nil"/>
              <w:right w:val="nil"/>
            </w:tcBorders>
            <w:shd w:val="clear" w:color="auto" w:fill="auto"/>
            <w:hideMark/>
          </w:tcPr>
          <w:p w14:paraId="09C49F3D"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Quantitative cross-sectional study using simple random sampling</w:t>
            </w:r>
          </w:p>
        </w:tc>
        <w:tc>
          <w:tcPr>
            <w:tcW w:w="1800" w:type="dxa"/>
            <w:tcBorders>
              <w:top w:val="nil"/>
              <w:left w:val="nil"/>
              <w:bottom w:val="nil"/>
              <w:right w:val="nil"/>
            </w:tcBorders>
            <w:shd w:val="clear" w:color="auto" w:fill="auto"/>
            <w:hideMark/>
          </w:tcPr>
          <w:p w14:paraId="571D9790"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Bangladesh, Rohingya refugee camp in Cox's Bazar, November-December 2021 (Myanmar's Rohingya Persecution, Rwanda, 2017)</w:t>
            </w:r>
          </w:p>
        </w:tc>
        <w:tc>
          <w:tcPr>
            <w:tcW w:w="1980" w:type="dxa"/>
            <w:tcBorders>
              <w:top w:val="nil"/>
              <w:left w:val="nil"/>
              <w:bottom w:val="nil"/>
              <w:right w:val="nil"/>
            </w:tcBorders>
            <w:shd w:val="clear" w:color="auto" w:fill="auto"/>
            <w:hideMark/>
          </w:tcPr>
          <w:p w14:paraId="254C5631"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864 older adults residing in Rohingya refugee camp (aged 60 or above, 56% males)</w:t>
            </w:r>
          </w:p>
        </w:tc>
        <w:tc>
          <w:tcPr>
            <w:tcW w:w="3510" w:type="dxa"/>
            <w:tcBorders>
              <w:top w:val="nil"/>
              <w:left w:val="nil"/>
              <w:bottom w:val="nil"/>
              <w:right w:val="nil"/>
            </w:tcBorders>
            <w:shd w:val="clear" w:color="auto" w:fill="auto"/>
            <w:hideMark/>
          </w:tcPr>
          <w:p w14:paraId="7C935855" w14:textId="77777777" w:rsidR="002F15A9" w:rsidRPr="002F15A9" w:rsidRDefault="002F15A9" w:rsidP="002F15A9">
            <w:pPr>
              <w:spacing w:after="0" w:line="240" w:lineRule="auto"/>
              <w:jc w:val="both"/>
              <w:rPr>
                <w:rFonts w:ascii="Times New Roman" w:eastAsia="Times New Roman" w:hAnsi="Times New Roman" w:cs="Times New Roman"/>
                <w:color w:val="000000"/>
                <w:sz w:val="20"/>
                <w:szCs w:val="20"/>
              </w:rPr>
            </w:pPr>
            <w:r w:rsidRPr="002F15A9">
              <w:rPr>
                <w:rFonts w:ascii="Times New Roman" w:eastAsia="Times New Roman" w:hAnsi="Times New Roman" w:cs="Times New Roman"/>
                <w:color w:val="000000"/>
                <w:sz w:val="20"/>
                <w:szCs w:val="20"/>
              </w:rPr>
              <w:t>The overall percentage of people having limited self-reported functional ability was 26.5% (male: 22.6% and female: 31.5%) with inability most found in grooming, bathing, stair using and mobility. Having age of 80 years or more, being female, having low memory or concentration, loneliness and living with aid alone were found to be associated with self-reported limited functional ability.</w:t>
            </w:r>
          </w:p>
        </w:tc>
      </w:tr>
    </w:tbl>
    <w:p w14:paraId="0BE2CDC2" w14:textId="77777777" w:rsidR="00E736E3" w:rsidRDefault="00E736E3"/>
    <w:sectPr w:rsidR="00E736E3" w:rsidSect="002F15A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A9"/>
    <w:rsid w:val="000123DD"/>
    <w:rsid w:val="000B387E"/>
    <w:rsid w:val="00117339"/>
    <w:rsid w:val="001E6556"/>
    <w:rsid w:val="002333E6"/>
    <w:rsid w:val="0029152C"/>
    <w:rsid w:val="002E242B"/>
    <w:rsid w:val="002F15A9"/>
    <w:rsid w:val="00327CAE"/>
    <w:rsid w:val="00356EB9"/>
    <w:rsid w:val="0052634F"/>
    <w:rsid w:val="00661CF7"/>
    <w:rsid w:val="007D6DF1"/>
    <w:rsid w:val="009106A3"/>
    <w:rsid w:val="00917FE2"/>
    <w:rsid w:val="009B22F2"/>
    <w:rsid w:val="009D4197"/>
    <w:rsid w:val="009E398A"/>
    <w:rsid w:val="00A73A4B"/>
    <w:rsid w:val="00D3470A"/>
    <w:rsid w:val="00E725D1"/>
    <w:rsid w:val="00E736E3"/>
    <w:rsid w:val="00E737F6"/>
    <w:rsid w:val="00FB10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CBFD9"/>
  <w15:chartTrackingRefBased/>
  <w15:docId w15:val="{B8F5A9C0-8243-48AF-8DF2-4941DADC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E398A"/>
    <w:rPr>
      <w:sz w:val="16"/>
      <w:szCs w:val="16"/>
    </w:rPr>
  </w:style>
  <w:style w:type="paragraph" w:styleId="CommentText">
    <w:name w:val="annotation text"/>
    <w:basedOn w:val="Normal"/>
    <w:link w:val="CommentTextChar"/>
    <w:uiPriority w:val="99"/>
    <w:semiHidden/>
    <w:unhideWhenUsed/>
    <w:rsid w:val="009E398A"/>
    <w:pPr>
      <w:spacing w:line="240" w:lineRule="auto"/>
    </w:pPr>
    <w:rPr>
      <w:sz w:val="20"/>
      <w:szCs w:val="20"/>
    </w:rPr>
  </w:style>
  <w:style w:type="character" w:customStyle="1" w:styleId="CommentTextChar">
    <w:name w:val="Comment Text Char"/>
    <w:basedOn w:val="DefaultParagraphFont"/>
    <w:link w:val="CommentText"/>
    <w:uiPriority w:val="99"/>
    <w:semiHidden/>
    <w:rsid w:val="009E398A"/>
    <w:rPr>
      <w:sz w:val="20"/>
      <w:szCs w:val="20"/>
    </w:rPr>
  </w:style>
  <w:style w:type="paragraph" w:styleId="CommentSubject">
    <w:name w:val="annotation subject"/>
    <w:basedOn w:val="CommentText"/>
    <w:next w:val="CommentText"/>
    <w:link w:val="CommentSubjectChar"/>
    <w:uiPriority w:val="99"/>
    <w:semiHidden/>
    <w:unhideWhenUsed/>
    <w:rsid w:val="009E398A"/>
    <w:rPr>
      <w:b/>
      <w:bCs/>
    </w:rPr>
  </w:style>
  <w:style w:type="character" w:customStyle="1" w:styleId="CommentSubjectChar">
    <w:name w:val="Comment Subject Char"/>
    <w:basedOn w:val="CommentTextChar"/>
    <w:link w:val="CommentSubject"/>
    <w:uiPriority w:val="99"/>
    <w:semiHidden/>
    <w:rsid w:val="009E39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5870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D834A-B022-4DF7-937E-1F135B926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25</Pages>
  <Words>8838</Words>
  <Characters>50383</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Omari</dc:creator>
  <cp:keywords/>
  <dc:description/>
  <cp:lastModifiedBy>Sarah Omari</cp:lastModifiedBy>
  <cp:revision>22</cp:revision>
  <dcterms:created xsi:type="dcterms:W3CDTF">2024-03-03T17:17:00Z</dcterms:created>
  <dcterms:modified xsi:type="dcterms:W3CDTF">2024-10-02T08:25:00Z</dcterms:modified>
</cp:coreProperties>
</file>