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0CB86" w14:textId="77777777" w:rsidR="00403529" w:rsidRPr="00CE5497" w:rsidRDefault="00403529" w:rsidP="00403529">
      <w:pPr>
        <w:pStyle w:val="Heading1"/>
      </w:pPr>
      <w:r>
        <w:t>Supplementary File 2</w:t>
      </w:r>
    </w:p>
    <w:p w14:paraId="264CABCC" w14:textId="77777777" w:rsidR="00403529" w:rsidRPr="00935EE5" w:rsidRDefault="00403529" w:rsidP="00403529">
      <w:pPr>
        <w:spacing w:after="0" w:line="240" w:lineRule="auto"/>
        <w:textAlignment w:val="baseline"/>
        <w:rPr>
          <w:rFonts w:ascii="Segoe UI" w:eastAsia="Times New Roman" w:hAnsi="Segoe UI" w:cs="Segoe UI"/>
          <w:i/>
          <w:iCs/>
          <w:color w:val="0E2841"/>
          <w:kern w:val="0"/>
          <w:sz w:val="18"/>
          <w:szCs w:val="18"/>
          <w:lang w:val="en-GB" w:eastAsia="en-GB"/>
          <w14:ligatures w14:val="none"/>
        </w:rPr>
      </w:pPr>
      <w:r w:rsidRPr="00935EE5">
        <w:rPr>
          <w:rFonts w:ascii="Aptos" w:eastAsia="Times New Roman" w:hAnsi="Aptos" w:cs="Segoe UI"/>
          <w:i/>
          <w:iCs/>
          <w:color w:val="0E2841"/>
          <w:kern w:val="0"/>
          <w:sz w:val="18"/>
          <w:szCs w:val="18"/>
          <w:lang w:val="en-GB" w:eastAsia="en-GB"/>
          <w14:ligatures w14:val="none"/>
        </w:rPr>
        <w:t> </w:t>
      </w:r>
    </w:p>
    <w:p w14:paraId="66677BF6" w14:textId="23D44891" w:rsidR="00403529" w:rsidRPr="00935EE5" w:rsidRDefault="00403529" w:rsidP="00403529">
      <w:pPr>
        <w:spacing w:after="0" w:line="240" w:lineRule="auto"/>
        <w:textAlignment w:val="baseline"/>
        <w:rPr>
          <w:rFonts w:ascii="Segoe UI" w:eastAsia="Times New Roman" w:hAnsi="Segoe UI" w:cs="Segoe UI"/>
          <w:i/>
          <w:iCs/>
          <w:color w:val="0E2841"/>
          <w:kern w:val="0"/>
          <w:sz w:val="18"/>
          <w:szCs w:val="18"/>
          <w:lang w:val="en-GB" w:eastAsia="en-GB"/>
          <w14:ligatures w14:val="none"/>
        </w:rPr>
      </w:pPr>
      <w:r w:rsidRPr="00935EE5">
        <w:rPr>
          <w:rFonts w:ascii="Calibri" w:eastAsia="Times New Roman" w:hAnsi="Calibri" w:cs="Calibri"/>
          <w:i/>
          <w:iCs/>
          <w:color w:val="0E2841"/>
          <w:kern w:val="0"/>
          <w:lang w:val="en-GB" w:eastAsia="en-GB"/>
          <w14:ligatures w14:val="none"/>
        </w:rPr>
        <w:t xml:space="preserve">Table </w:t>
      </w:r>
      <w:r>
        <w:rPr>
          <w:rFonts w:ascii="Calibri" w:eastAsia="Times New Roman" w:hAnsi="Calibri" w:cs="Calibri"/>
          <w:i/>
          <w:iCs/>
          <w:color w:val="F5F5F5"/>
          <w:kern w:val="0"/>
          <w:shd w:val="clear" w:color="auto" w:fill="424448"/>
          <w:lang w:val="en-GB" w:eastAsia="en-GB"/>
          <w14:ligatures w14:val="none"/>
        </w:rPr>
        <w:t xml:space="preserve">1: </w:t>
      </w:r>
      <w:r w:rsidRPr="00935EE5">
        <w:rPr>
          <w:rFonts w:ascii="Calibri" w:eastAsia="Times New Roman" w:hAnsi="Calibri" w:cs="Calibri"/>
          <w:i/>
          <w:iCs/>
          <w:color w:val="0E2841"/>
          <w:kern w:val="0"/>
          <w:lang w:val="en-GB" w:eastAsia="en-GB"/>
          <w14:ligatures w14:val="none"/>
        </w:rPr>
        <w:t xml:space="preserve"> Themes and selected responses highlighting facilitators and barriers to understanding childhood vaccination uptake within the COM-B framework (adapted from</w:t>
      </w:r>
      <w:r>
        <w:rPr>
          <w:rFonts w:ascii="Calibri" w:eastAsia="Times New Roman" w:hAnsi="Calibri" w:cs="Calibri"/>
          <w:i/>
          <w:iCs/>
          <w:color w:val="0E2841"/>
          <w:kern w:val="0"/>
          <w:lang w:val="en-GB" w:eastAsia="en-GB"/>
          <w14:ligatures w14:val="none"/>
        </w:rPr>
        <w:t xml:space="preserve"> </w:t>
      </w:r>
      <w:r w:rsidRPr="00935EE5">
        <w:rPr>
          <w:rFonts w:ascii="Calibri" w:eastAsia="Times New Roman" w:hAnsi="Calibri" w:cs="Calibri"/>
          <w:i/>
          <w:iCs/>
          <w:color w:val="0E2841"/>
          <w:kern w:val="0"/>
          <w:lang w:val="en-GB" w:eastAsia="en-GB"/>
          <w14:ligatures w14:val="none"/>
        </w:rPr>
        <w:t xml:space="preserve"> </w:t>
      </w:r>
      <w:r>
        <w:rPr>
          <w:rFonts w:ascii="Calibri" w:eastAsia="Times New Roman" w:hAnsi="Calibri" w:cs="Calibri"/>
          <w:i/>
          <w:iCs/>
          <w:color w:val="0E2841"/>
          <w:kern w:val="0"/>
          <w:lang w:val="en-GB" w:eastAsia="en-GB"/>
          <w14:ligatures w14:val="none"/>
        </w:rPr>
        <w:fldChar w:fldCharType="begin"/>
      </w:r>
      <w:r w:rsidR="006A7889">
        <w:rPr>
          <w:rFonts w:ascii="Calibri" w:eastAsia="Times New Roman" w:hAnsi="Calibri" w:cs="Calibri"/>
          <w:i/>
          <w:iCs/>
          <w:color w:val="0E2841"/>
          <w:kern w:val="0"/>
          <w:lang w:val="en-GB" w:eastAsia="en-GB"/>
          <w14:ligatures w14:val="none"/>
        </w:rPr>
        <w:instrText xml:space="preserve"> ADDIN EN.CITE &lt;EndNote&gt;&lt;Cite AuthorYear="1"&gt;&lt;Author&gt;Patterson&lt;/Author&gt;&lt;Year&gt;2023&lt;/Year&gt;&lt;RecNum&gt;27&lt;/RecNum&gt;&lt;DisplayText&gt;Patterson, Berry (1)&lt;/DisplayText&gt;&lt;record&gt;&lt;rec-number&gt;27&lt;/rec-number&gt;&lt;foreign-keys&gt;&lt;key app="EN" db-id="ase9fr2xhaxxz2etffix5st8t2eaes9sxprr" timestamp="1761341692"&gt;27&lt;/key&gt;&lt;/foreign-keys&gt;&lt;ref-type name="Journal Article"&gt;17&lt;/ref-type&gt;&lt;contributors&gt;&lt;authors&gt;&lt;author&gt;Patterson, Lynsey&lt;/author&gt;&lt;author&gt;Berry, Emma&lt;/author&gt;&lt;author&gt;Parsons, Carole&lt;/author&gt;&lt;author&gt;Clarke, Bronagh&lt;/author&gt;&lt;author&gt;Little, Alison&lt;/author&gt;&lt;author&gt;Beggs, Jillian&lt;/author&gt;&lt;author&gt;Chuter, Antony&lt;/author&gt;&lt;author&gt;Jackson, Tracy&lt;/author&gt;&lt;author&gt;Hsia, Yingfen&lt;/author&gt;&lt;author&gt;McGrath, Hannah&lt;/author&gt;&lt;author&gt;Millman, Catherine&lt;/author&gt;&lt;author&gt;Murphy, Siobhan&lt;/author&gt;&lt;author&gt;Bradley, Declan T.&lt;/author&gt;&lt;author&gt;Milligan, Sarah&lt;/author&gt;&lt;/authors&gt;&lt;/contributors&gt;&lt;titles&gt;&lt;title&gt;Using the COM-B framework to elucidate facilitators and barriers to COVID-19 vaccine uptake in pregnant women: a qualitative study&lt;/title&gt;&lt;secondary-title&gt;BMC Pregnancy and Childbirth&lt;/secondary-title&gt;&lt;/titles&gt;&lt;pages&gt;640&lt;/pages&gt;&lt;volume&gt;23&lt;/volume&gt;&lt;number&gt;1&lt;/number&gt;&lt;dates&gt;&lt;year&gt;2023&lt;/year&gt;&lt;pub-dates&gt;&lt;date&gt;2023/09/06&lt;/date&gt;&lt;/pub-dates&gt;&lt;/dates&gt;&lt;isbn&gt;1471-2393&lt;/isbn&gt;&lt;urls&gt;&lt;related-urls&gt;&lt;url&gt;https://doi.org/10.1186/s12884-023-05958-y&lt;/url&gt;&lt;/related-urls&gt;&lt;/urls&gt;&lt;electronic-resource-num&gt;10.1186/s12884-023-05958-y&lt;/electronic-resource-num&gt;&lt;/record&gt;&lt;/Cite&gt;&lt;/EndNote&gt;</w:instrText>
      </w:r>
      <w:r>
        <w:rPr>
          <w:rFonts w:ascii="Calibri" w:eastAsia="Times New Roman" w:hAnsi="Calibri" w:cs="Calibri"/>
          <w:i/>
          <w:iCs/>
          <w:color w:val="0E2841"/>
          <w:kern w:val="0"/>
          <w:lang w:val="en-GB" w:eastAsia="en-GB"/>
          <w14:ligatures w14:val="none"/>
        </w:rPr>
        <w:fldChar w:fldCharType="separate"/>
      </w:r>
      <w:r w:rsidR="006A7889">
        <w:rPr>
          <w:rFonts w:ascii="Calibri" w:eastAsia="Times New Roman" w:hAnsi="Calibri" w:cs="Calibri"/>
          <w:i/>
          <w:iCs/>
          <w:noProof/>
          <w:color w:val="0E2841"/>
          <w:kern w:val="0"/>
          <w:lang w:val="en-GB" w:eastAsia="en-GB"/>
          <w14:ligatures w14:val="none"/>
        </w:rPr>
        <w:t>Patterson, Berry (1)</w:t>
      </w:r>
      <w:r>
        <w:rPr>
          <w:rFonts w:ascii="Calibri" w:eastAsia="Times New Roman" w:hAnsi="Calibri" w:cs="Calibri"/>
          <w:i/>
          <w:iCs/>
          <w:color w:val="0E2841"/>
          <w:kern w:val="0"/>
          <w:lang w:val="en-GB" w:eastAsia="en-GB"/>
          <w14:ligatures w14:val="none"/>
        </w:rPr>
        <w:fldChar w:fldCharType="end"/>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45"/>
        <w:gridCol w:w="2039"/>
        <w:gridCol w:w="1856"/>
        <w:gridCol w:w="3970"/>
      </w:tblGrid>
      <w:tr w:rsidR="00403529" w:rsidRPr="00935EE5" w14:paraId="4987C6AE" w14:textId="77777777" w:rsidTr="003B6D85">
        <w:trPr>
          <w:trHeight w:val="285"/>
        </w:trPr>
        <w:tc>
          <w:tcPr>
            <w:tcW w:w="1335" w:type="dxa"/>
            <w:tcBorders>
              <w:top w:val="single" w:sz="6" w:space="0" w:color="auto"/>
              <w:left w:val="single" w:sz="6" w:space="0" w:color="auto"/>
              <w:bottom w:val="single" w:sz="6" w:space="0" w:color="auto"/>
              <w:right w:val="single" w:sz="6" w:space="0" w:color="auto"/>
            </w:tcBorders>
            <w:hideMark/>
          </w:tcPr>
          <w:p w14:paraId="2B0B77D1"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 </w:t>
            </w:r>
          </w:p>
        </w:tc>
        <w:tc>
          <w:tcPr>
            <w:tcW w:w="2910" w:type="dxa"/>
            <w:tcBorders>
              <w:top w:val="single" w:sz="6" w:space="0" w:color="auto"/>
              <w:left w:val="single" w:sz="6" w:space="0" w:color="auto"/>
              <w:bottom w:val="single" w:sz="6" w:space="0" w:color="auto"/>
              <w:right w:val="single" w:sz="6" w:space="0" w:color="auto"/>
            </w:tcBorders>
            <w:hideMark/>
          </w:tcPr>
          <w:p w14:paraId="72005288"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b/>
                <w:bCs/>
                <w:kern w:val="0"/>
                <w:lang w:val="en-GB" w:eastAsia="en-GB"/>
                <w14:ligatures w14:val="none"/>
              </w:rPr>
              <w:t>COM-B</w:t>
            </w:r>
            <w:r w:rsidRPr="00935EE5">
              <w:rPr>
                <w:rFonts w:ascii="Calibri" w:eastAsia="Times New Roman" w:hAnsi="Calibri" w:cs="Calibri"/>
                <w:kern w:val="0"/>
                <w:lang w:val="en-GB" w:eastAsia="en-GB"/>
                <w14:ligatures w14:val="none"/>
              </w:rPr>
              <w:t> </w:t>
            </w:r>
          </w:p>
        </w:tc>
        <w:tc>
          <w:tcPr>
            <w:tcW w:w="2550" w:type="dxa"/>
            <w:tcBorders>
              <w:top w:val="single" w:sz="6" w:space="0" w:color="auto"/>
              <w:left w:val="single" w:sz="6" w:space="0" w:color="auto"/>
              <w:bottom w:val="single" w:sz="6" w:space="0" w:color="auto"/>
              <w:right w:val="single" w:sz="6" w:space="0" w:color="auto"/>
            </w:tcBorders>
            <w:hideMark/>
          </w:tcPr>
          <w:p w14:paraId="116B21CC"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b/>
                <w:bCs/>
                <w:kern w:val="0"/>
                <w:lang w:val="en-GB" w:eastAsia="en-GB"/>
                <w14:ligatures w14:val="none"/>
              </w:rPr>
              <w:t>Sub-theme</w:t>
            </w:r>
            <w:r w:rsidRPr="00935EE5">
              <w:rPr>
                <w:rFonts w:ascii="Calibri" w:eastAsia="Times New Roman" w:hAnsi="Calibri" w:cs="Calibri"/>
                <w:kern w:val="0"/>
                <w:lang w:val="en-GB" w:eastAsia="en-GB"/>
                <w14:ligatures w14:val="none"/>
              </w:rPr>
              <w:t> </w:t>
            </w:r>
          </w:p>
        </w:tc>
        <w:tc>
          <w:tcPr>
            <w:tcW w:w="6660" w:type="dxa"/>
            <w:tcBorders>
              <w:top w:val="single" w:sz="6" w:space="0" w:color="auto"/>
              <w:left w:val="single" w:sz="6" w:space="0" w:color="auto"/>
              <w:bottom w:val="single" w:sz="6" w:space="0" w:color="auto"/>
              <w:right w:val="single" w:sz="6" w:space="0" w:color="auto"/>
            </w:tcBorders>
            <w:hideMark/>
          </w:tcPr>
          <w:p w14:paraId="55FC4249"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b/>
                <w:bCs/>
                <w:kern w:val="0"/>
                <w:lang w:val="en-GB" w:eastAsia="en-GB"/>
                <w14:ligatures w14:val="none"/>
              </w:rPr>
              <w:t>Sample of responses </w:t>
            </w:r>
            <w:r w:rsidRPr="00935EE5">
              <w:rPr>
                <w:rFonts w:ascii="Calibri" w:eastAsia="Times New Roman" w:hAnsi="Calibri" w:cs="Calibri"/>
                <w:kern w:val="0"/>
                <w:lang w:val="en-GB" w:eastAsia="en-GB"/>
                <w14:ligatures w14:val="none"/>
              </w:rPr>
              <w:t> </w:t>
            </w:r>
          </w:p>
        </w:tc>
      </w:tr>
      <w:tr w:rsidR="00403529" w:rsidRPr="00935EE5" w14:paraId="3B2D4826" w14:textId="77777777" w:rsidTr="003B6D85">
        <w:trPr>
          <w:trHeight w:val="285"/>
        </w:trPr>
        <w:tc>
          <w:tcPr>
            <w:tcW w:w="1335" w:type="dxa"/>
            <w:vMerge w:val="restart"/>
            <w:tcBorders>
              <w:top w:val="single" w:sz="6" w:space="0" w:color="auto"/>
              <w:left w:val="single" w:sz="6" w:space="0" w:color="auto"/>
              <w:bottom w:val="single" w:sz="6" w:space="0" w:color="auto"/>
              <w:right w:val="single" w:sz="6" w:space="0" w:color="auto"/>
            </w:tcBorders>
            <w:hideMark/>
          </w:tcPr>
          <w:p w14:paraId="78DDEB15" w14:textId="77777777" w:rsidR="00403529" w:rsidRPr="00935EE5" w:rsidRDefault="00403529" w:rsidP="003B6D85">
            <w:pPr>
              <w:spacing w:after="0" w:line="240" w:lineRule="auto"/>
              <w:jc w:val="center"/>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b/>
                <w:bCs/>
                <w:kern w:val="0"/>
                <w:lang w:val="en-GB" w:eastAsia="en-GB"/>
                <w14:ligatures w14:val="none"/>
              </w:rPr>
              <w:t>Individual</w:t>
            </w:r>
            <w:r w:rsidRPr="00935EE5">
              <w:rPr>
                <w:rFonts w:ascii="Calibri" w:eastAsia="Times New Roman" w:hAnsi="Calibri" w:cs="Calibri"/>
                <w:kern w:val="0"/>
                <w:lang w:val="en-GB" w:eastAsia="en-GB"/>
                <w14:ligatures w14:val="none"/>
              </w:rPr>
              <w:t> </w:t>
            </w:r>
          </w:p>
        </w:tc>
        <w:tc>
          <w:tcPr>
            <w:tcW w:w="2910" w:type="dxa"/>
            <w:vMerge w:val="restart"/>
            <w:tcBorders>
              <w:top w:val="single" w:sz="6" w:space="0" w:color="auto"/>
              <w:left w:val="single" w:sz="6" w:space="0" w:color="auto"/>
              <w:bottom w:val="single" w:sz="6" w:space="0" w:color="auto"/>
              <w:right w:val="single" w:sz="6" w:space="0" w:color="auto"/>
            </w:tcBorders>
            <w:hideMark/>
          </w:tcPr>
          <w:p w14:paraId="749077B7"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Psychological capability (factors influenced by an individual’s knowledge, skills, and resilience) </w:t>
            </w:r>
          </w:p>
        </w:tc>
        <w:tc>
          <w:tcPr>
            <w:tcW w:w="2550" w:type="dxa"/>
            <w:vMerge w:val="restart"/>
            <w:tcBorders>
              <w:top w:val="single" w:sz="6" w:space="0" w:color="auto"/>
              <w:left w:val="single" w:sz="6" w:space="0" w:color="auto"/>
              <w:bottom w:val="single" w:sz="6" w:space="0" w:color="auto"/>
              <w:right w:val="single" w:sz="6" w:space="0" w:color="auto"/>
            </w:tcBorders>
            <w:hideMark/>
          </w:tcPr>
          <w:p w14:paraId="654DA7AE"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Financial and psychological burdens due to war  </w:t>
            </w:r>
          </w:p>
        </w:tc>
        <w:tc>
          <w:tcPr>
            <w:tcW w:w="6660" w:type="dxa"/>
            <w:tcBorders>
              <w:top w:val="single" w:sz="6" w:space="0" w:color="auto"/>
              <w:left w:val="single" w:sz="6" w:space="0" w:color="auto"/>
              <w:bottom w:val="single" w:sz="6" w:space="0" w:color="auto"/>
              <w:right w:val="single" w:sz="6" w:space="0" w:color="auto"/>
            </w:tcBorders>
            <w:hideMark/>
          </w:tcPr>
          <w:p w14:paraId="6F26B652" w14:textId="77777777" w:rsidR="00403529" w:rsidRPr="00935EE5" w:rsidRDefault="00403529" w:rsidP="003B6D85">
            <w:pPr>
              <w:spacing w:beforeAutospacing="1" w:after="0" w:afterAutospacing="1"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eastAsia="en-GB"/>
                <w14:ligatures w14:val="none"/>
              </w:rPr>
              <w:t> “For my family, the biggest problem now is the lack of our own housing here and the fact that we must rent housing, which is very expensive. That is, this is the main problem.” (IDP, Zakarpattia, urban)</w:t>
            </w:r>
            <w:r w:rsidRPr="00935EE5">
              <w:rPr>
                <w:rFonts w:ascii="Calibri" w:eastAsia="Times New Roman" w:hAnsi="Calibri" w:cs="Calibri"/>
                <w:kern w:val="0"/>
                <w:lang w:val="en-GB" w:eastAsia="en-GB"/>
                <w14:ligatures w14:val="none"/>
              </w:rPr>
              <w:t> </w:t>
            </w:r>
          </w:p>
        </w:tc>
      </w:tr>
      <w:tr w:rsidR="00403529" w:rsidRPr="00935EE5" w14:paraId="06E45EA8" w14:textId="77777777" w:rsidTr="003B6D85">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335A40F" w14:textId="77777777" w:rsidR="00403529" w:rsidRPr="00935EE5" w:rsidRDefault="00403529" w:rsidP="003B6D85">
            <w:pPr>
              <w:spacing w:after="0" w:line="240" w:lineRule="auto"/>
              <w:rPr>
                <w:rFonts w:ascii="Times New Roman" w:eastAsia="Times New Roman" w:hAnsi="Times New Roman" w:cs="Times New Roman"/>
                <w:kern w:val="0"/>
                <w:sz w:val="24"/>
                <w:szCs w:val="24"/>
                <w:lang w:val="en-GB" w:eastAsia="en-GB"/>
                <w14:ligatures w14:val="none"/>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BE3AD83" w14:textId="77777777" w:rsidR="00403529" w:rsidRPr="00935EE5" w:rsidRDefault="00403529" w:rsidP="003B6D85">
            <w:pPr>
              <w:spacing w:after="0" w:line="240" w:lineRule="auto"/>
              <w:rPr>
                <w:rFonts w:ascii="Times New Roman" w:eastAsia="Times New Roman" w:hAnsi="Times New Roman" w:cs="Times New Roman"/>
                <w:kern w:val="0"/>
                <w:sz w:val="24"/>
                <w:szCs w:val="24"/>
                <w:lang w:val="en-GB" w:eastAsia="en-GB"/>
                <w14:ligatures w14:val="none"/>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884612A" w14:textId="77777777" w:rsidR="00403529" w:rsidRPr="00935EE5" w:rsidRDefault="00403529" w:rsidP="003B6D85">
            <w:pPr>
              <w:spacing w:after="0" w:line="240" w:lineRule="auto"/>
              <w:rPr>
                <w:rFonts w:ascii="Times New Roman" w:eastAsia="Times New Roman" w:hAnsi="Times New Roman" w:cs="Times New Roman"/>
                <w:kern w:val="0"/>
                <w:sz w:val="24"/>
                <w:szCs w:val="24"/>
                <w:lang w:val="en-GB" w:eastAsia="en-GB"/>
                <w14:ligatures w14:val="none"/>
              </w:rPr>
            </w:pPr>
          </w:p>
        </w:tc>
        <w:tc>
          <w:tcPr>
            <w:tcW w:w="6660" w:type="dxa"/>
            <w:tcBorders>
              <w:top w:val="single" w:sz="6" w:space="0" w:color="auto"/>
              <w:left w:val="single" w:sz="6" w:space="0" w:color="auto"/>
              <w:bottom w:val="single" w:sz="6" w:space="0" w:color="auto"/>
              <w:right w:val="single" w:sz="6" w:space="0" w:color="auto"/>
            </w:tcBorders>
            <w:hideMark/>
          </w:tcPr>
          <w:p w14:paraId="09907BA7" w14:textId="77777777" w:rsidR="00403529" w:rsidRPr="00935EE5" w:rsidRDefault="00403529" w:rsidP="003B6D85">
            <w:pPr>
              <w:spacing w:beforeAutospacing="1" w:after="0" w:afterAutospacing="1" w:line="240" w:lineRule="auto"/>
              <w:textAlignment w:val="baseline"/>
              <w:rPr>
                <w:rFonts w:ascii="Times New Roman" w:eastAsia="Times New Roman" w:hAnsi="Times New Roman" w:cs="Times New Roman"/>
                <w:kern w:val="0"/>
                <w:sz w:val="24"/>
                <w:szCs w:val="24"/>
                <w:lang w:eastAsia="en-GB"/>
                <w14:ligatures w14:val="none"/>
              </w:rPr>
            </w:pPr>
            <w:r w:rsidRPr="00935EE5">
              <w:rPr>
                <w:rFonts w:ascii="Calibri" w:eastAsia="Times New Roman" w:hAnsi="Calibri" w:cs="Calibri"/>
                <w:kern w:val="0"/>
                <w:lang w:eastAsia="en-GB"/>
                <w14:ligatures w14:val="none"/>
              </w:rPr>
              <w:t>“The state of prolonged depression and stress made itself felt […] I haven't read any news for over four months. I have turned off the alarms on my phone because my nervous system has failed […] We tune ourselves to positive emotions, and there is no other way.” (Non-displaced person, frontline, urban) </w:t>
            </w:r>
          </w:p>
        </w:tc>
      </w:tr>
      <w:tr w:rsidR="00403529" w:rsidRPr="00935EE5" w14:paraId="78E05AAB" w14:textId="77777777" w:rsidTr="003B6D85">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2101439" w14:textId="77777777" w:rsidR="00403529" w:rsidRPr="00935EE5" w:rsidRDefault="00403529" w:rsidP="003B6D85">
            <w:pPr>
              <w:spacing w:after="0" w:line="240" w:lineRule="auto"/>
              <w:rPr>
                <w:rFonts w:ascii="Times New Roman" w:eastAsia="Times New Roman" w:hAnsi="Times New Roman" w:cs="Times New Roman"/>
                <w:kern w:val="0"/>
                <w:sz w:val="24"/>
                <w:szCs w:val="24"/>
                <w:lang w:val="en-GB" w:eastAsia="en-GB"/>
                <w14:ligatures w14:val="none"/>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DE4833B" w14:textId="77777777" w:rsidR="00403529" w:rsidRPr="00935EE5" w:rsidRDefault="00403529" w:rsidP="003B6D85">
            <w:pPr>
              <w:spacing w:after="0" w:line="240" w:lineRule="auto"/>
              <w:rPr>
                <w:rFonts w:ascii="Times New Roman" w:eastAsia="Times New Roman" w:hAnsi="Times New Roman" w:cs="Times New Roman"/>
                <w:kern w:val="0"/>
                <w:sz w:val="24"/>
                <w:szCs w:val="24"/>
                <w:lang w:val="en-GB" w:eastAsia="en-GB"/>
                <w14:ligatures w14:val="none"/>
              </w:rPr>
            </w:pPr>
          </w:p>
        </w:tc>
        <w:tc>
          <w:tcPr>
            <w:tcW w:w="2550" w:type="dxa"/>
            <w:vMerge w:val="restart"/>
            <w:tcBorders>
              <w:top w:val="single" w:sz="6" w:space="0" w:color="auto"/>
              <w:left w:val="single" w:sz="6" w:space="0" w:color="auto"/>
              <w:bottom w:val="single" w:sz="6" w:space="0" w:color="auto"/>
              <w:right w:val="single" w:sz="6" w:space="0" w:color="auto"/>
            </w:tcBorders>
            <w:hideMark/>
          </w:tcPr>
          <w:p w14:paraId="028B54F1"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Moderate levels of vaccine knowledge with gendered disparities  </w:t>
            </w:r>
          </w:p>
          <w:p w14:paraId="36465840"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 </w:t>
            </w:r>
          </w:p>
        </w:tc>
        <w:tc>
          <w:tcPr>
            <w:tcW w:w="6660" w:type="dxa"/>
            <w:tcBorders>
              <w:top w:val="single" w:sz="6" w:space="0" w:color="auto"/>
              <w:left w:val="single" w:sz="6" w:space="0" w:color="auto"/>
              <w:bottom w:val="single" w:sz="6" w:space="0" w:color="auto"/>
              <w:right w:val="single" w:sz="6" w:space="0" w:color="auto"/>
            </w:tcBorders>
            <w:hideMark/>
          </w:tcPr>
          <w:p w14:paraId="43B459A8" w14:textId="77777777" w:rsidR="00403529" w:rsidRPr="00935EE5" w:rsidRDefault="00403529" w:rsidP="003B6D85">
            <w:pPr>
              <w:spacing w:beforeAutospacing="1" w:after="0" w:afterAutospacing="1"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eastAsia="en-GB"/>
                <w14:ligatures w14:val="none"/>
              </w:rPr>
              <w:t>“This is a serum in which there are half-dead viruses, and they enter the body of a person or a child and are there and prevent, because they are there in such a state, they prevent further infection with this disease, do not increase the risk of infection with this disease.”</w:t>
            </w:r>
            <w:r w:rsidRPr="00935EE5">
              <w:rPr>
                <w:rFonts w:ascii="Calibri" w:eastAsia="Times New Roman" w:hAnsi="Calibri" w:cs="Calibri"/>
                <w:kern w:val="0"/>
                <w:lang w:val="uk-UA" w:eastAsia="en-GB"/>
                <w14:ligatures w14:val="none"/>
              </w:rPr>
              <w:t> </w:t>
            </w:r>
            <w:r w:rsidRPr="00935EE5">
              <w:rPr>
                <w:rFonts w:ascii="Calibri" w:eastAsia="Times New Roman" w:hAnsi="Calibri" w:cs="Calibri"/>
                <w:kern w:val="0"/>
                <w:lang w:val="en-GB" w:eastAsia="en-GB"/>
                <w14:ligatures w14:val="none"/>
              </w:rPr>
              <w:t> (IDP, Zakarpattia, urban)  </w:t>
            </w:r>
          </w:p>
        </w:tc>
      </w:tr>
      <w:tr w:rsidR="00403529" w:rsidRPr="00935EE5" w14:paraId="194F386F" w14:textId="77777777" w:rsidTr="003B6D85">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2034DC1" w14:textId="77777777" w:rsidR="00403529" w:rsidRPr="00935EE5" w:rsidRDefault="00403529" w:rsidP="003B6D85">
            <w:pPr>
              <w:spacing w:after="0" w:line="240" w:lineRule="auto"/>
              <w:rPr>
                <w:rFonts w:ascii="Times New Roman" w:eastAsia="Times New Roman" w:hAnsi="Times New Roman" w:cs="Times New Roman"/>
                <w:kern w:val="0"/>
                <w:sz w:val="24"/>
                <w:szCs w:val="24"/>
                <w:lang w:val="en-GB" w:eastAsia="en-GB"/>
                <w14:ligatures w14:val="none"/>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3CAB3DC" w14:textId="77777777" w:rsidR="00403529" w:rsidRPr="00935EE5" w:rsidRDefault="00403529" w:rsidP="003B6D85">
            <w:pPr>
              <w:spacing w:after="0" w:line="240" w:lineRule="auto"/>
              <w:rPr>
                <w:rFonts w:ascii="Times New Roman" w:eastAsia="Times New Roman" w:hAnsi="Times New Roman" w:cs="Times New Roman"/>
                <w:kern w:val="0"/>
                <w:sz w:val="24"/>
                <w:szCs w:val="24"/>
                <w:lang w:val="en-GB" w:eastAsia="en-GB"/>
                <w14:ligatures w14:val="none"/>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262FB73" w14:textId="77777777" w:rsidR="00403529" w:rsidRPr="00935EE5" w:rsidRDefault="00403529" w:rsidP="003B6D85">
            <w:pPr>
              <w:spacing w:after="0" w:line="240" w:lineRule="auto"/>
              <w:rPr>
                <w:rFonts w:ascii="Times New Roman" w:eastAsia="Times New Roman" w:hAnsi="Times New Roman" w:cs="Times New Roman"/>
                <w:kern w:val="0"/>
                <w:sz w:val="24"/>
                <w:szCs w:val="24"/>
                <w:lang w:val="en-GB" w:eastAsia="en-GB"/>
                <w14:ligatures w14:val="none"/>
              </w:rPr>
            </w:pPr>
          </w:p>
        </w:tc>
        <w:tc>
          <w:tcPr>
            <w:tcW w:w="6660" w:type="dxa"/>
            <w:tcBorders>
              <w:top w:val="single" w:sz="6" w:space="0" w:color="auto"/>
              <w:left w:val="single" w:sz="6" w:space="0" w:color="auto"/>
              <w:bottom w:val="single" w:sz="6" w:space="0" w:color="auto"/>
              <w:right w:val="single" w:sz="6" w:space="0" w:color="auto"/>
            </w:tcBorders>
            <w:hideMark/>
          </w:tcPr>
          <w:p w14:paraId="5A5566A2" w14:textId="77777777" w:rsidR="00403529" w:rsidRPr="00935EE5" w:rsidRDefault="00403529" w:rsidP="003B6D85">
            <w:pPr>
              <w:spacing w:beforeAutospacing="1" w:after="0" w:afterAutospacing="1"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eastAsia="en-GB"/>
                <w14:ligatures w14:val="none"/>
              </w:rPr>
              <w:t>“My wife does this for us. She looks out for what is needed and what is not. You understand, I also have a job where I am not at home that much, and whether she wants to or not, she still has to do more of this.”  (Non-displaced person, frontline, urban)</w:t>
            </w:r>
            <w:r w:rsidRPr="00935EE5">
              <w:rPr>
                <w:rFonts w:ascii="Calibri" w:eastAsia="Times New Roman" w:hAnsi="Calibri" w:cs="Calibri"/>
                <w:kern w:val="0"/>
                <w:lang w:val="en-GB" w:eastAsia="en-GB"/>
                <w14:ligatures w14:val="none"/>
              </w:rPr>
              <w:t> </w:t>
            </w:r>
          </w:p>
        </w:tc>
      </w:tr>
      <w:tr w:rsidR="00403529" w:rsidRPr="00935EE5" w14:paraId="32E61156" w14:textId="77777777" w:rsidTr="003B6D85">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F34BD2A" w14:textId="77777777" w:rsidR="00403529" w:rsidRPr="00935EE5" w:rsidRDefault="00403529" w:rsidP="003B6D85">
            <w:pPr>
              <w:spacing w:after="0" w:line="240" w:lineRule="auto"/>
              <w:rPr>
                <w:rFonts w:ascii="Times New Roman" w:eastAsia="Times New Roman" w:hAnsi="Times New Roman" w:cs="Times New Roman"/>
                <w:kern w:val="0"/>
                <w:sz w:val="24"/>
                <w:szCs w:val="24"/>
                <w:lang w:val="en-GB" w:eastAsia="en-GB"/>
                <w14:ligatures w14:val="none"/>
              </w:rPr>
            </w:pPr>
          </w:p>
        </w:tc>
        <w:tc>
          <w:tcPr>
            <w:tcW w:w="2910" w:type="dxa"/>
            <w:vMerge w:val="restart"/>
            <w:tcBorders>
              <w:top w:val="single" w:sz="6" w:space="0" w:color="auto"/>
              <w:left w:val="single" w:sz="6" w:space="0" w:color="auto"/>
              <w:bottom w:val="single" w:sz="6" w:space="0" w:color="auto"/>
              <w:right w:val="single" w:sz="6" w:space="0" w:color="auto"/>
            </w:tcBorders>
            <w:hideMark/>
          </w:tcPr>
          <w:p w14:paraId="7549A8A1"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Motivation (factors driven by an individual’s attitudes, perceptions, beliefs, emotions, and trust) </w:t>
            </w:r>
          </w:p>
        </w:tc>
        <w:tc>
          <w:tcPr>
            <w:tcW w:w="2550" w:type="dxa"/>
            <w:tcBorders>
              <w:top w:val="single" w:sz="6" w:space="0" w:color="auto"/>
              <w:left w:val="single" w:sz="6" w:space="0" w:color="auto"/>
              <w:bottom w:val="single" w:sz="6" w:space="0" w:color="auto"/>
              <w:right w:val="single" w:sz="6" w:space="0" w:color="auto"/>
            </w:tcBorders>
            <w:hideMark/>
          </w:tcPr>
          <w:p w14:paraId="25D7276B"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Firm belief in the necessity of vaccines to save lives </w:t>
            </w:r>
          </w:p>
          <w:p w14:paraId="4A100252"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 </w:t>
            </w:r>
          </w:p>
        </w:tc>
        <w:tc>
          <w:tcPr>
            <w:tcW w:w="6660" w:type="dxa"/>
            <w:tcBorders>
              <w:top w:val="single" w:sz="6" w:space="0" w:color="auto"/>
              <w:left w:val="single" w:sz="6" w:space="0" w:color="auto"/>
              <w:bottom w:val="single" w:sz="6" w:space="0" w:color="auto"/>
              <w:right w:val="single" w:sz="6" w:space="0" w:color="auto"/>
            </w:tcBorders>
            <w:hideMark/>
          </w:tcPr>
          <w:p w14:paraId="6335E472" w14:textId="77777777" w:rsidR="00403529" w:rsidRPr="00935EE5" w:rsidRDefault="00403529" w:rsidP="003B6D85">
            <w:pPr>
              <w:spacing w:beforeAutospacing="1" w:after="0" w:afterAutospacing="1"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eastAsia="en-GB"/>
                <w14:ligatures w14:val="none"/>
              </w:rPr>
              <w:t>“Vaccines are good because they prevent many diseases. My mother had polio only because she was not vaccinated on time. So, I'm positive about vaccines.”  (IDP, frontline, urban) </w:t>
            </w:r>
            <w:r w:rsidRPr="00935EE5">
              <w:rPr>
                <w:rFonts w:ascii="Calibri" w:eastAsia="Times New Roman" w:hAnsi="Calibri" w:cs="Calibri"/>
                <w:kern w:val="0"/>
                <w:lang w:val="en-GB" w:eastAsia="en-GB"/>
                <w14:ligatures w14:val="none"/>
              </w:rPr>
              <w:t> </w:t>
            </w:r>
          </w:p>
          <w:p w14:paraId="2589CF65"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 </w:t>
            </w:r>
          </w:p>
        </w:tc>
      </w:tr>
      <w:tr w:rsidR="00403529" w:rsidRPr="00935EE5" w14:paraId="3A944670" w14:textId="77777777" w:rsidTr="003B6D85">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F33DA32" w14:textId="77777777" w:rsidR="00403529" w:rsidRPr="00935EE5" w:rsidRDefault="00403529" w:rsidP="003B6D85">
            <w:pPr>
              <w:spacing w:after="0" w:line="240" w:lineRule="auto"/>
              <w:rPr>
                <w:rFonts w:ascii="Times New Roman" w:eastAsia="Times New Roman" w:hAnsi="Times New Roman" w:cs="Times New Roman"/>
                <w:kern w:val="0"/>
                <w:sz w:val="24"/>
                <w:szCs w:val="24"/>
                <w:lang w:val="en-GB" w:eastAsia="en-GB"/>
                <w14:ligatures w14:val="none"/>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34694B8" w14:textId="77777777" w:rsidR="00403529" w:rsidRPr="00935EE5" w:rsidRDefault="00403529" w:rsidP="003B6D85">
            <w:pPr>
              <w:spacing w:after="0" w:line="240" w:lineRule="auto"/>
              <w:rPr>
                <w:rFonts w:ascii="Times New Roman" w:eastAsia="Times New Roman" w:hAnsi="Times New Roman" w:cs="Times New Roman"/>
                <w:kern w:val="0"/>
                <w:sz w:val="24"/>
                <w:szCs w:val="24"/>
                <w:lang w:val="en-GB" w:eastAsia="en-GB"/>
                <w14:ligatures w14:val="none"/>
              </w:rPr>
            </w:pPr>
          </w:p>
        </w:tc>
        <w:tc>
          <w:tcPr>
            <w:tcW w:w="2550" w:type="dxa"/>
            <w:tcBorders>
              <w:top w:val="single" w:sz="6" w:space="0" w:color="auto"/>
              <w:left w:val="single" w:sz="6" w:space="0" w:color="auto"/>
              <w:bottom w:val="single" w:sz="6" w:space="0" w:color="auto"/>
              <w:right w:val="single" w:sz="6" w:space="0" w:color="auto"/>
            </w:tcBorders>
            <w:hideMark/>
          </w:tcPr>
          <w:p w14:paraId="05C4278C"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Perceived vaccine quality based on type and war disruptions </w:t>
            </w:r>
          </w:p>
          <w:p w14:paraId="512DCB06"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 </w:t>
            </w:r>
          </w:p>
        </w:tc>
        <w:tc>
          <w:tcPr>
            <w:tcW w:w="6660" w:type="dxa"/>
            <w:tcBorders>
              <w:top w:val="single" w:sz="6" w:space="0" w:color="auto"/>
              <w:left w:val="single" w:sz="6" w:space="0" w:color="auto"/>
              <w:bottom w:val="single" w:sz="6" w:space="0" w:color="auto"/>
              <w:right w:val="single" w:sz="6" w:space="0" w:color="auto"/>
            </w:tcBorders>
            <w:hideMark/>
          </w:tcPr>
          <w:p w14:paraId="64D2829D"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eastAsia="en-GB"/>
                <w14:ligatures w14:val="none"/>
              </w:rPr>
            </w:pPr>
            <w:r w:rsidRPr="00935EE5">
              <w:rPr>
                <w:rFonts w:ascii="Calibri" w:eastAsia="Times New Roman" w:hAnsi="Calibri" w:cs="Calibri"/>
                <w:kern w:val="0"/>
                <w:lang w:eastAsia="en-GB"/>
                <w14:ligatures w14:val="none"/>
              </w:rPr>
              <w:t>“The quality of free vaccines does not suit me very much because when my child was two months old, we gave her the first Indian vaccination […] After that, I did not give her vaccinations for four months because it was terrible[…] After that, we started injecting her with purchased vaccines. After that, there were no side effects at all.” (IDP, frontline, rural) </w:t>
            </w:r>
          </w:p>
          <w:p w14:paraId="7AE9AE47"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eastAsia="en-GB"/>
                <w14:ligatures w14:val="none"/>
              </w:rPr>
            </w:pPr>
            <w:r w:rsidRPr="00935EE5">
              <w:rPr>
                <w:rFonts w:ascii="Calibri" w:eastAsia="Times New Roman" w:hAnsi="Calibri" w:cs="Calibri"/>
                <w:kern w:val="0"/>
                <w:lang w:eastAsia="en-GB"/>
                <w14:ligatures w14:val="none"/>
              </w:rPr>
              <w:t> </w:t>
            </w:r>
          </w:p>
          <w:p w14:paraId="71CFD38C"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eastAsia="en-GB"/>
                <w14:ligatures w14:val="none"/>
              </w:rPr>
              <w:lastRenderedPageBreak/>
              <w:t>“There is less trust in vaccines because now the electricity is turned off for a long time. Vaccines are often not heat-stable, and it is not known how well they are stored there. This is a very important question. We have concerns about these free vaccines.” (Non-displaced person, frontline, urban)</w:t>
            </w:r>
            <w:r w:rsidRPr="00935EE5">
              <w:rPr>
                <w:rFonts w:ascii="Calibri" w:eastAsia="Times New Roman" w:hAnsi="Calibri" w:cs="Calibri"/>
                <w:kern w:val="0"/>
                <w:lang w:val="en-GB" w:eastAsia="en-GB"/>
                <w14:ligatures w14:val="none"/>
              </w:rPr>
              <w:t> </w:t>
            </w:r>
          </w:p>
          <w:p w14:paraId="4CF3A881"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eastAsia="en-GB"/>
                <w14:ligatures w14:val="none"/>
              </w:rPr>
            </w:pPr>
            <w:r w:rsidRPr="00935EE5">
              <w:rPr>
                <w:rFonts w:ascii="Calibri" w:eastAsia="Times New Roman" w:hAnsi="Calibri" w:cs="Calibri"/>
                <w:kern w:val="0"/>
                <w:lang w:eastAsia="en-GB"/>
                <w14:ligatures w14:val="none"/>
              </w:rPr>
              <w:t> </w:t>
            </w:r>
          </w:p>
        </w:tc>
      </w:tr>
      <w:tr w:rsidR="00403529" w:rsidRPr="00935EE5" w14:paraId="23484BC3" w14:textId="77777777" w:rsidTr="003B6D85">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55F0DE7" w14:textId="77777777" w:rsidR="00403529" w:rsidRPr="00935EE5" w:rsidRDefault="00403529" w:rsidP="003B6D85">
            <w:pPr>
              <w:spacing w:after="0" w:line="240" w:lineRule="auto"/>
              <w:rPr>
                <w:rFonts w:ascii="Times New Roman" w:eastAsia="Times New Roman" w:hAnsi="Times New Roman" w:cs="Times New Roman"/>
                <w:kern w:val="0"/>
                <w:sz w:val="24"/>
                <w:szCs w:val="24"/>
                <w:lang w:val="en-GB" w:eastAsia="en-GB"/>
                <w14:ligatures w14:val="none"/>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AA5413F" w14:textId="77777777" w:rsidR="00403529" w:rsidRPr="00935EE5" w:rsidRDefault="00403529" w:rsidP="003B6D85">
            <w:pPr>
              <w:spacing w:after="0" w:line="240" w:lineRule="auto"/>
              <w:rPr>
                <w:rFonts w:ascii="Times New Roman" w:eastAsia="Times New Roman" w:hAnsi="Times New Roman" w:cs="Times New Roman"/>
                <w:kern w:val="0"/>
                <w:sz w:val="24"/>
                <w:szCs w:val="24"/>
                <w:lang w:val="en-GB" w:eastAsia="en-GB"/>
                <w14:ligatures w14:val="none"/>
              </w:rPr>
            </w:pPr>
          </w:p>
        </w:tc>
        <w:tc>
          <w:tcPr>
            <w:tcW w:w="2550" w:type="dxa"/>
            <w:tcBorders>
              <w:top w:val="single" w:sz="6" w:space="0" w:color="auto"/>
              <w:left w:val="single" w:sz="6" w:space="0" w:color="auto"/>
              <w:bottom w:val="single" w:sz="6" w:space="0" w:color="auto"/>
              <w:right w:val="single" w:sz="6" w:space="0" w:color="auto"/>
            </w:tcBorders>
            <w:hideMark/>
          </w:tcPr>
          <w:p w14:paraId="00C4B7B3"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eastAsia="en-GB"/>
                <w14:ligatures w14:val="none"/>
              </w:rPr>
              <w:t>Lack of trust and confidence motivated not to vaccinate</w:t>
            </w:r>
            <w:r w:rsidRPr="00935EE5">
              <w:rPr>
                <w:rFonts w:ascii="Calibri" w:eastAsia="Times New Roman" w:hAnsi="Calibri" w:cs="Calibri"/>
                <w:kern w:val="0"/>
                <w:lang w:val="en-GB" w:eastAsia="en-GB"/>
                <w14:ligatures w14:val="none"/>
              </w:rPr>
              <w:t> </w:t>
            </w:r>
          </w:p>
          <w:p w14:paraId="15C80F25"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 </w:t>
            </w:r>
          </w:p>
        </w:tc>
        <w:tc>
          <w:tcPr>
            <w:tcW w:w="6660" w:type="dxa"/>
            <w:tcBorders>
              <w:top w:val="single" w:sz="6" w:space="0" w:color="auto"/>
              <w:left w:val="single" w:sz="6" w:space="0" w:color="auto"/>
              <w:bottom w:val="single" w:sz="6" w:space="0" w:color="auto"/>
              <w:right w:val="single" w:sz="6" w:space="0" w:color="auto"/>
            </w:tcBorders>
            <w:hideMark/>
          </w:tcPr>
          <w:p w14:paraId="36F9AC00"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eastAsia="en-GB"/>
                <w14:ligatures w14:val="none"/>
              </w:rPr>
              <w:t>“I have a negative, extremely negative attitude towards vaccination. My cousin, at such a young age, earned his disability from a vaccine in the village. […] Doctors should be responsible for this.” (IDP, frontline, urban)</w:t>
            </w:r>
            <w:r w:rsidRPr="00935EE5">
              <w:rPr>
                <w:rFonts w:ascii="Calibri" w:eastAsia="Times New Roman" w:hAnsi="Calibri" w:cs="Calibri"/>
                <w:kern w:val="0"/>
                <w:lang w:val="en-GB" w:eastAsia="en-GB"/>
                <w14:ligatures w14:val="none"/>
              </w:rPr>
              <w:t> </w:t>
            </w:r>
          </w:p>
        </w:tc>
      </w:tr>
      <w:tr w:rsidR="00403529" w:rsidRPr="00935EE5" w14:paraId="4A2146EC" w14:textId="77777777" w:rsidTr="003B6D85">
        <w:trPr>
          <w:trHeight w:val="285"/>
        </w:trPr>
        <w:tc>
          <w:tcPr>
            <w:tcW w:w="1335" w:type="dxa"/>
            <w:vMerge w:val="restart"/>
            <w:tcBorders>
              <w:top w:val="single" w:sz="6" w:space="0" w:color="auto"/>
              <w:left w:val="single" w:sz="6" w:space="0" w:color="auto"/>
              <w:bottom w:val="single" w:sz="6" w:space="0" w:color="auto"/>
              <w:right w:val="single" w:sz="6" w:space="0" w:color="auto"/>
            </w:tcBorders>
            <w:hideMark/>
          </w:tcPr>
          <w:p w14:paraId="278F4C36" w14:textId="77777777" w:rsidR="00403529" w:rsidRPr="00935EE5" w:rsidRDefault="00403529" w:rsidP="003B6D85">
            <w:pPr>
              <w:spacing w:after="0" w:line="240" w:lineRule="auto"/>
              <w:jc w:val="center"/>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b/>
                <w:bCs/>
                <w:kern w:val="0"/>
                <w:lang w:val="en-GB" w:eastAsia="en-GB"/>
                <w14:ligatures w14:val="none"/>
              </w:rPr>
              <w:t>Context</w:t>
            </w:r>
            <w:r w:rsidRPr="00935EE5">
              <w:rPr>
                <w:rFonts w:ascii="Calibri" w:eastAsia="Times New Roman" w:hAnsi="Calibri" w:cs="Calibri"/>
                <w:kern w:val="0"/>
                <w:lang w:val="en-GB" w:eastAsia="en-GB"/>
                <w14:ligatures w14:val="none"/>
              </w:rPr>
              <w:t> </w:t>
            </w:r>
          </w:p>
        </w:tc>
        <w:tc>
          <w:tcPr>
            <w:tcW w:w="2910" w:type="dxa"/>
            <w:tcBorders>
              <w:top w:val="single" w:sz="6" w:space="0" w:color="auto"/>
              <w:left w:val="single" w:sz="6" w:space="0" w:color="auto"/>
              <w:bottom w:val="single" w:sz="6" w:space="0" w:color="auto"/>
              <w:right w:val="single" w:sz="6" w:space="0" w:color="auto"/>
            </w:tcBorders>
            <w:hideMark/>
          </w:tcPr>
          <w:p w14:paraId="3F6B7B53"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Physical opportunities (factors affecting access, affordability, and availability of vaccination) </w:t>
            </w:r>
          </w:p>
        </w:tc>
        <w:tc>
          <w:tcPr>
            <w:tcW w:w="2550" w:type="dxa"/>
            <w:tcBorders>
              <w:top w:val="single" w:sz="6" w:space="0" w:color="auto"/>
              <w:left w:val="single" w:sz="6" w:space="0" w:color="auto"/>
              <w:bottom w:val="single" w:sz="6" w:space="0" w:color="auto"/>
              <w:right w:val="single" w:sz="6" w:space="0" w:color="auto"/>
            </w:tcBorders>
            <w:hideMark/>
          </w:tcPr>
          <w:p w14:paraId="1966F27A"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Low availability and cost of vaccines   </w:t>
            </w:r>
          </w:p>
        </w:tc>
        <w:tc>
          <w:tcPr>
            <w:tcW w:w="6660" w:type="dxa"/>
            <w:tcBorders>
              <w:top w:val="single" w:sz="6" w:space="0" w:color="auto"/>
              <w:left w:val="single" w:sz="6" w:space="0" w:color="auto"/>
              <w:bottom w:val="single" w:sz="6" w:space="0" w:color="auto"/>
              <w:right w:val="single" w:sz="6" w:space="0" w:color="auto"/>
            </w:tcBorders>
            <w:hideMark/>
          </w:tcPr>
          <w:p w14:paraId="1D70E533" w14:textId="77777777" w:rsidR="00403529" w:rsidRPr="00935EE5" w:rsidRDefault="00403529" w:rsidP="003B6D85">
            <w:pPr>
              <w:spacing w:beforeAutospacing="1" w:after="0" w:afterAutospacing="1"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eastAsia="en-GB"/>
                <w14:ligatures w14:val="none"/>
              </w:rPr>
              <w:t>“We can't vaccinate our baby because there are no available doctors […] We'll have to go to a private clinic. But that will cost us money” (IDP, frontline, urban)</w:t>
            </w:r>
            <w:r w:rsidRPr="00935EE5">
              <w:rPr>
                <w:rFonts w:ascii="Calibri" w:eastAsia="Times New Roman" w:hAnsi="Calibri" w:cs="Calibri"/>
                <w:kern w:val="0"/>
                <w:lang w:val="en-GB" w:eastAsia="en-GB"/>
                <w14:ligatures w14:val="none"/>
              </w:rPr>
              <w:t> </w:t>
            </w:r>
          </w:p>
          <w:p w14:paraId="0F1595D2"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 </w:t>
            </w:r>
          </w:p>
        </w:tc>
      </w:tr>
      <w:tr w:rsidR="00403529" w:rsidRPr="00935EE5" w14:paraId="377DA374" w14:textId="77777777" w:rsidTr="003B6D85">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9AA96F6" w14:textId="77777777" w:rsidR="00403529" w:rsidRPr="00935EE5" w:rsidRDefault="00403529" w:rsidP="003B6D85">
            <w:pPr>
              <w:spacing w:after="0" w:line="240" w:lineRule="auto"/>
              <w:rPr>
                <w:rFonts w:ascii="Times New Roman" w:eastAsia="Times New Roman" w:hAnsi="Times New Roman" w:cs="Times New Roman"/>
                <w:kern w:val="0"/>
                <w:sz w:val="24"/>
                <w:szCs w:val="24"/>
                <w:lang w:val="en-GB" w:eastAsia="en-GB"/>
                <w14:ligatures w14:val="none"/>
              </w:rPr>
            </w:pPr>
          </w:p>
        </w:tc>
        <w:tc>
          <w:tcPr>
            <w:tcW w:w="2910" w:type="dxa"/>
            <w:tcBorders>
              <w:top w:val="single" w:sz="6" w:space="0" w:color="auto"/>
              <w:left w:val="single" w:sz="6" w:space="0" w:color="auto"/>
              <w:bottom w:val="single" w:sz="6" w:space="0" w:color="auto"/>
              <w:right w:val="single" w:sz="6" w:space="0" w:color="auto"/>
            </w:tcBorders>
            <w:hideMark/>
          </w:tcPr>
          <w:p w14:paraId="206E434C"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 </w:t>
            </w:r>
          </w:p>
        </w:tc>
        <w:tc>
          <w:tcPr>
            <w:tcW w:w="2550" w:type="dxa"/>
            <w:tcBorders>
              <w:top w:val="single" w:sz="6" w:space="0" w:color="auto"/>
              <w:left w:val="single" w:sz="6" w:space="0" w:color="auto"/>
              <w:bottom w:val="single" w:sz="6" w:space="0" w:color="auto"/>
              <w:right w:val="single" w:sz="6" w:space="0" w:color="auto"/>
            </w:tcBorders>
            <w:hideMark/>
          </w:tcPr>
          <w:p w14:paraId="41186BB0"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Logistical barriers in accessing healthcare services </w:t>
            </w:r>
          </w:p>
          <w:p w14:paraId="60E817CD"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 </w:t>
            </w:r>
          </w:p>
        </w:tc>
        <w:tc>
          <w:tcPr>
            <w:tcW w:w="6660" w:type="dxa"/>
            <w:tcBorders>
              <w:top w:val="single" w:sz="6" w:space="0" w:color="auto"/>
              <w:left w:val="single" w:sz="6" w:space="0" w:color="auto"/>
              <w:bottom w:val="single" w:sz="6" w:space="0" w:color="auto"/>
              <w:right w:val="single" w:sz="6" w:space="0" w:color="auto"/>
            </w:tcBorders>
            <w:hideMark/>
          </w:tcPr>
          <w:p w14:paraId="42E5FDA5"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eastAsia="en-GB"/>
                <w14:ligatures w14:val="none"/>
              </w:rPr>
              <w:t>“We had a pharmacy, but they didn't want to move it here because people were leaving. […] We have to go to the city and hire a car because the war made transport worse, the roads are worse, and we now have such a problem with medicine.” (Non-displaced person, frontline, rural) </w:t>
            </w:r>
            <w:r w:rsidRPr="00935EE5">
              <w:rPr>
                <w:rFonts w:ascii="Calibri" w:eastAsia="Times New Roman" w:hAnsi="Calibri" w:cs="Calibri"/>
                <w:kern w:val="0"/>
                <w:lang w:val="en-GB" w:eastAsia="en-GB"/>
                <w14:ligatures w14:val="none"/>
              </w:rPr>
              <w:t> </w:t>
            </w:r>
          </w:p>
          <w:p w14:paraId="0C408B8B"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 </w:t>
            </w:r>
          </w:p>
          <w:p w14:paraId="23361CDA"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eastAsia="en-GB"/>
                <w14:ligatures w14:val="none"/>
              </w:rPr>
              <w:t>“I faced such difficulties that when we left my hometown, the medical records of my children remained in the hospital of our city. And when we arrived at a new place, we had to ask about vaccinations for children. But we did not have medical cards with us. And it was such a shock.” (IDP, frontline, rural) </w:t>
            </w:r>
            <w:r w:rsidRPr="00935EE5">
              <w:rPr>
                <w:rFonts w:ascii="Calibri" w:eastAsia="Times New Roman" w:hAnsi="Calibri" w:cs="Calibri"/>
                <w:kern w:val="0"/>
                <w:lang w:val="en-GB" w:eastAsia="en-GB"/>
                <w14:ligatures w14:val="none"/>
              </w:rPr>
              <w:t> </w:t>
            </w:r>
          </w:p>
          <w:p w14:paraId="6DFDAA5D"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 </w:t>
            </w:r>
          </w:p>
        </w:tc>
      </w:tr>
      <w:tr w:rsidR="00403529" w:rsidRPr="00935EE5" w14:paraId="4ED49EF8" w14:textId="77777777" w:rsidTr="003B6D85">
        <w:trPr>
          <w:trHeight w:val="285"/>
        </w:trPr>
        <w:tc>
          <w:tcPr>
            <w:tcW w:w="1335" w:type="dxa"/>
            <w:tcBorders>
              <w:top w:val="single" w:sz="6" w:space="0" w:color="auto"/>
              <w:left w:val="single" w:sz="6" w:space="0" w:color="auto"/>
              <w:bottom w:val="single" w:sz="6" w:space="0" w:color="auto"/>
              <w:right w:val="single" w:sz="6" w:space="0" w:color="auto"/>
            </w:tcBorders>
            <w:hideMark/>
          </w:tcPr>
          <w:p w14:paraId="69F461BE"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 </w:t>
            </w:r>
          </w:p>
        </w:tc>
        <w:tc>
          <w:tcPr>
            <w:tcW w:w="2910" w:type="dxa"/>
            <w:tcBorders>
              <w:top w:val="single" w:sz="6" w:space="0" w:color="auto"/>
              <w:left w:val="single" w:sz="6" w:space="0" w:color="auto"/>
              <w:bottom w:val="single" w:sz="6" w:space="0" w:color="auto"/>
              <w:right w:val="single" w:sz="6" w:space="0" w:color="auto"/>
            </w:tcBorders>
            <w:hideMark/>
          </w:tcPr>
          <w:p w14:paraId="5F56B699"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Social opportunities (factors influenced by social and cultural demands, norms, values, media) </w:t>
            </w:r>
          </w:p>
        </w:tc>
        <w:tc>
          <w:tcPr>
            <w:tcW w:w="2550" w:type="dxa"/>
            <w:tcBorders>
              <w:top w:val="single" w:sz="6" w:space="0" w:color="auto"/>
              <w:left w:val="single" w:sz="6" w:space="0" w:color="auto"/>
              <w:bottom w:val="single" w:sz="6" w:space="0" w:color="auto"/>
              <w:right w:val="single" w:sz="6" w:space="0" w:color="auto"/>
            </w:tcBorders>
            <w:hideMark/>
          </w:tcPr>
          <w:p w14:paraId="1CA80019"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 xml:space="preserve">Experiences of close social circles affecting vaccination </w:t>
            </w:r>
            <w:proofErr w:type="spellStart"/>
            <w:r w:rsidRPr="00935EE5">
              <w:rPr>
                <w:rFonts w:ascii="Calibri" w:eastAsia="Times New Roman" w:hAnsi="Calibri" w:cs="Calibri"/>
                <w:kern w:val="0"/>
                <w:lang w:val="en-GB" w:eastAsia="en-GB"/>
                <w14:ligatures w14:val="none"/>
              </w:rPr>
              <w:t>behaviors</w:t>
            </w:r>
            <w:proofErr w:type="spellEnd"/>
            <w:r w:rsidRPr="00935EE5">
              <w:rPr>
                <w:rFonts w:ascii="Calibri" w:eastAsia="Times New Roman" w:hAnsi="Calibri" w:cs="Calibri"/>
                <w:kern w:val="0"/>
                <w:lang w:val="en-GB" w:eastAsia="en-GB"/>
                <w14:ligatures w14:val="none"/>
              </w:rPr>
              <w:t> </w:t>
            </w:r>
          </w:p>
          <w:p w14:paraId="741883DD"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 </w:t>
            </w:r>
          </w:p>
        </w:tc>
        <w:tc>
          <w:tcPr>
            <w:tcW w:w="6660" w:type="dxa"/>
            <w:tcBorders>
              <w:top w:val="single" w:sz="6" w:space="0" w:color="auto"/>
              <w:left w:val="single" w:sz="6" w:space="0" w:color="auto"/>
              <w:bottom w:val="single" w:sz="6" w:space="0" w:color="auto"/>
              <w:right w:val="single" w:sz="6" w:space="0" w:color="auto"/>
            </w:tcBorders>
            <w:hideMark/>
          </w:tcPr>
          <w:p w14:paraId="6B87ABBF"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eastAsia="en-GB"/>
                <w14:ligatures w14:val="none"/>
              </w:rPr>
              <w:t>“I saw a child in the hospital; it was a girl of 8-10 years old with whooping cough; they were in the intensive care unit. The condition was so difficult. So, if mothers think that vaccinations are not necessary, they are very much mistaken. Suppose they could see the state of those children. There would be no turning back for moms; they would be ready to do anything, even ten vaccinations. That is why I am for vaccination” (IDP, Zakarpattia, urban)</w:t>
            </w:r>
            <w:r w:rsidRPr="00935EE5">
              <w:rPr>
                <w:rFonts w:ascii="Calibri" w:eastAsia="Times New Roman" w:hAnsi="Calibri" w:cs="Calibri"/>
                <w:kern w:val="0"/>
                <w:lang w:val="en-GB" w:eastAsia="en-GB"/>
                <w14:ligatures w14:val="none"/>
              </w:rPr>
              <w:t> </w:t>
            </w:r>
          </w:p>
        </w:tc>
      </w:tr>
      <w:tr w:rsidR="00403529" w:rsidRPr="00935EE5" w14:paraId="3D3C31C9" w14:textId="77777777" w:rsidTr="003B6D85">
        <w:trPr>
          <w:trHeight w:val="285"/>
        </w:trPr>
        <w:tc>
          <w:tcPr>
            <w:tcW w:w="1335" w:type="dxa"/>
            <w:tcBorders>
              <w:top w:val="single" w:sz="6" w:space="0" w:color="auto"/>
              <w:left w:val="single" w:sz="6" w:space="0" w:color="auto"/>
              <w:bottom w:val="single" w:sz="6" w:space="0" w:color="auto"/>
              <w:right w:val="single" w:sz="6" w:space="0" w:color="auto"/>
            </w:tcBorders>
            <w:hideMark/>
          </w:tcPr>
          <w:p w14:paraId="4DE36F2D"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 </w:t>
            </w:r>
          </w:p>
        </w:tc>
        <w:tc>
          <w:tcPr>
            <w:tcW w:w="2910" w:type="dxa"/>
            <w:tcBorders>
              <w:top w:val="single" w:sz="6" w:space="0" w:color="auto"/>
              <w:left w:val="single" w:sz="6" w:space="0" w:color="auto"/>
              <w:bottom w:val="single" w:sz="6" w:space="0" w:color="auto"/>
              <w:right w:val="single" w:sz="6" w:space="0" w:color="auto"/>
            </w:tcBorders>
            <w:hideMark/>
          </w:tcPr>
          <w:p w14:paraId="292CFE72"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 </w:t>
            </w:r>
          </w:p>
        </w:tc>
        <w:tc>
          <w:tcPr>
            <w:tcW w:w="2550" w:type="dxa"/>
            <w:tcBorders>
              <w:top w:val="single" w:sz="6" w:space="0" w:color="auto"/>
              <w:left w:val="single" w:sz="6" w:space="0" w:color="auto"/>
              <w:bottom w:val="single" w:sz="6" w:space="0" w:color="auto"/>
              <w:right w:val="single" w:sz="6" w:space="0" w:color="auto"/>
            </w:tcBorders>
            <w:hideMark/>
          </w:tcPr>
          <w:p w14:paraId="3E2A20DF"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 xml:space="preserve">I Influences from the media and </w:t>
            </w:r>
            <w:r w:rsidRPr="00935EE5">
              <w:rPr>
                <w:rFonts w:ascii="Calibri" w:eastAsia="Times New Roman" w:hAnsi="Calibri" w:cs="Calibri"/>
                <w:kern w:val="0"/>
                <w:lang w:val="en-GB" w:eastAsia="en-GB"/>
                <w14:ligatures w14:val="none"/>
              </w:rPr>
              <w:lastRenderedPageBreak/>
              <w:t>online communities and platforms </w:t>
            </w:r>
          </w:p>
          <w:p w14:paraId="713BF376"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 </w:t>
            </w:r>
          </w:p>
        </w:tc>
        <w:tc>
          <w:tcPr>
            <w:tcW w:w="6660" w:type="dxa"/>
            <w:tcBorders>
              <w:top w:val="single" w:sz="6" w:space="0" w:color="auto"/>
              <w:left w:val="single" w:sz="6" w:space="0" w:color="auto"/>
              <w:bottom w:val="single" w:sz="6" w:space="0" w:color="auto"/>
              <w:right w:val="single" w:sz="6" w:space="0" w:color="auto"/>
            </w:tcBorders>
            <w:hideMark/>
          </w:tcPr>
          <w:p w14:paraId="23F7D7A7" w14:textId="77777777" w:rsidR="00403529" w:rsidRPr="00935EE5" w:rsidRDefault="00403529" w:rsidP="003B6D85">
            <w:pPr>
              <w:spacing w:beforeAutospacing="1" w:after="0" w:afterAutospacing="1"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lastRenderedPageBreak/>
              <w:t xml:space="preserve">“You know, there are a lot of stories like this on social media, where mothers tell us that something went wrong with their </w:t>
            </w:r>
            <w:r w:rsidRPr="00935EE5">
              <w:rPr>
                <w:rFonts w:ascii="Calibri" w:eastAsia="Times New Roman" w:hAnsi="Calibri" w:cs="Calibri"/>
                <w:kern w:val="0"/>
                <w:lang w:val="en-GB" w:eastAsia="en-GB"/>
                <w14:ligatures w14:val="none"/>
              </w:rPr>
              <w:lastRenderedPageBreak/>
              <w:t>children after vaccination. That is, developmental delay, a leg gave out, an arm gave out.” (Non-displaced person, frontline, urban) </w:t>
            </w:r>
          </w:p>
          <w:p w14:paraId="7618D6CA" w14:textId="77777777" w:rsidR="00403529" w:rsidRPr="00935EE5" w:rsidRDefault="00403529" w:rsidP="003B6D85">
            <w:pPr>
              <w:spacing w:beforeAutospacing="1" w:after="0" w:afterAutospacing="1"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 </w:t>
            </w:r>
          </w:p>
          <w:p w14:paraId="31F4FB45" w14:textId="77777777" w:rsidR="00403529" w:rsidRPr="00935EE5" w:rsidRDefault="00403529" w:rsidP="003B6D85">
            <w:pPr>
              <w:spacing w:beforeAutospacing="1" w:after="0" w:afterAutospacing="1"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 xml:space="preserve">“Of course, there were fears, especially fears from relatives and </w:t>
            </w:r>
            <w:proofErr w:type="spellStart"/>
            <w:r w:rsidRPr="00935EE5">
              <w:rPr>
                <w:rFonts w:ascii="Calibri" w:eastAsia="Times New Roman" w:hAnsi="Calibri" w:cs="Calibri"/>
                <w:kern w:val="0"/>
                <w:lang w:val="en-GB" w:eastAsia="en-GB"/>
                <w14:ligatures w14:val="none"/>
              </w:rPr>
              <w:t>neighbors</w:t>
            </w:r>
            <w:proofErr w:type="spellEnd"/>
            <w:r w:rsidRPr="00935EE5">
              <w:rPr>
                <w:rFonts w:ascii="Calibri" w:eastAsia="Times New Roman" w:hAnsi="Calibri" w:cs="Calibri"/>
                <w:kern w:val="0"/>
                <w:lang w:val="en-GB" w:eastAsia="en-GB"/>
                <w14:ligatures w14:val="none"/>
              </w:rPr>
              <w:t>. As previous participants have already said, here in Transcarpathia, we have quite strong anti-vaccination propaganda. It seems like whole groups of people are engaged in this propaganda. It's not only religious communities, but in general, when they start telling each other that this child here died after vaccination, became disabled, and something else, and even more.” (Non-displaced person, Zakarpattia’s village) </w:t>
            </w:r>
          </w:p>
          <w:p w14:paraId="1E585186"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 </w:t>
            </w:r>
          </w:p>
        </w:tc>
      </w:tr>
      <w:tr w:rsidR="00403529" w:rsidRPr="00935EE5" w14:paraId="41D2CC5A" w14:textId="77777777" w:rsidTr="003B6D85">
        <w:trPr>
          <w:trHeight w:val="285"/>
        </w:trPr>
        <w:tc>
          <w:tcPr>
            <w:tcW w:w="1335" w:type="dxa"/>
            <w:tcBorders>
              <w:top w:val="single" w:sz="6" w:space="0" w:color="auto"/>
              <w:left w:val="single" w:sz="6" w:space="0" w:color="auto"/>
              <w:bottom w:val="single" w:sz="6" w:space="0" w:color="auto"/>
              <w:right w:val="single" w:sz="6" w:space="0" w:color="auto"/>
            </w:tcBorders>
            <w:hideMark/>
          </w:tcPr>
          <w:p w14:paraId="494EB706"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lastRenderedPageBreak/>
              <w:t> </w:t>
            </w:r>
          </w:p>
        </w:tc>
        <w:tc>
          <w:tcPr>
            <w:tcW w:w="2910" w:type="dxa"/>
            <w:tcBorders>
              <w:top w:val="single" w:sz="6" w:space="0" w:color="auto"/>
              <w:left w:val="single" w:sz="6" w:space="0" w:color="auto"/>
              <w:bottom w:val="single" w:sz="6" w:space="0" w:color="auto"/>
              <w:right w:val="single" w:sz="6" w:space="0" w:color="auto"/>
            </w:tcBorders>
            <w:hideMark/>
          </w:tcPr>
          <w:p w14:paraId="6BD03433"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 </w:t>
            </w:r>
          </w:p>
        </w:tc>
        <w:tc>
          <w:tcPr>
            <w:tcW w:w="2550" w:type="dxa"/>
            <w:tcBorders>
              <w:top w:val="single" w:sz="6" w:space="0" w:color="auto"/>
              <w:left w:val="single" w:sz="6" w:space="0" w:color="auto"/>
              <w:bottom w:val="single" w:sz="6" w:space="0" w:color="auto"/>
              <w:right w:val="single" w:sz="6" w:space="0" w:color="auto"/>
            </w:tcBorders>
            <w:hideMark/>
          </w:tcPr>
          <w:p w14:paraId="2D6F6C42"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Trust and reliance of healthcare providers  </w:t>
            </w:r>
          </w:p>
        </w:tc>
        <w:tc>
          <w:tcPr>
            <w:tcW w:w="6660" w:type="dxa"/>
            <w:tcBorders>
              <w:top w:val="single" w:sz="6" w:space="0" w:color="auto"/>
              <w:left w:val="single" w:sz="6" w:space="0" w:color="auto"/>
              <w:bottom w:val="single" w:sz="6" w:space="0" w:color="auto"/>
              <w:right w:val="single" w:sz="6" w:space="0" w:color="auto"/>
            </w:tcBorders>
            <w:hideMark/>
          </w:tcPr>
          <w:p w14:paraId="2698F0D3" w14:textId="77777777" w:rsidR="00403529" w:rsidRPr="00935EE5" w:rsidRDefault="00403529" w:rsidP="003B6D85">
            <w:pPr>
              <w:spacing w:beforeAutospacing="1" w:after="0" w:afterAutospacing="1"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“I trust my family doctor 95% of the time. Of course, I will consult; I have familiar doctors and relatives who work in this field, and I can also ask for additional opinions if some issue is more important. My family doctor is the main one. He helps me when I need it.” (Non-displaced person, Zakarpattia, rural) </w:t>
            </w:r>
          </w:p>
          <w:p w14:paraId="545BA81E" w14:textId="77777777" w:rsidR="00403529" w:rsidRPr="00935EE5" w:rsidRDefault="00403529" w:rsidP="003B6D85">
            <w:pPr>
              <w:spacing w:beforeAutospacing="1" w:after="0" w:afterAutospacing="1"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 </w:t>
            </w:r>
          </w:p>
          <w:p w14:paraId="5B4D5C17" w14:textId="77777777" w:rsidR="00403529" w:rsidRPr="00935EE5" w:rsidRDefault="00403529" w:rsidP="003B6D85">
            <w:pPr>
              <w:spacing w:after="0" w:line="240" w:lineRule="auto"/>
              <w:textAlignment w:val="baseline"/>
              <w:rPr>
                <w:rFonts w:ascii="Times New Roman" w:eastAsia="Times New Roman" w:hAnsi="Times New Roman" w:cs="Times New Roman"/>
                <w:kern w:val="0"/>
                <w:sz w:val="24"/>
                <w:szCs w:val="24"/>
                <w:lang w:val="en-GB" w:eastAsia="en-GB"/>
                <w14:ligatures w14:val="none"/>
              </w:rPr>
            </w:pPr>
            <w:r w:rsidRPr="00935EE5">
              <w:rPr>
                <w:rFonts w:ascii="Calibri" w:eastAsia="Times New Roman" w:hAnsi="Calibri" w:cs="Calibri"/>
                <w:kern w:val="0"/>
                <w:lang w:val="en-GB" w:eastAsia="en-GB"/>
                <w14:ligatures w14:val="none"/>
              </w:rPr>
              <w:t>“Unfortunately, our doctors are not interested in explaining, correctly explaining to parents how, what and why, because it takes time, they have a lot of people under the office, everyone is shouting, everyone is knocking on the door. Unfortunately, the doctors themselves are not even interested in correctly conveying information to the population.” (Non-displaced person, Zakarpattia, rural) </w:t>
            </w:r>
          </w:p>
        </w:tc>
      </w:tr>
    </w:tbl>
    <w:p w14:paraId="4EF6650C" w14:textId="77777777" w:rsidR="00403529" w:rsidRPr="00935EE5" w:rsidRDefault="00403529" w:rsidP="00403529">
      <w:pPr>
        <w:spacing w:after="0" w:line="240" w:lineRule="auto"/>
        <w:textAlignment w:val="baseline"/>
        <w:rPr>
          <w:rFonts w:ascii="Segoe UI" w:eastAsia="Times New Roman" w:hAnsi="Segoe UI" w:cs="Segoe UI"/>
          <w:kern w:val="0"/>
          <w:sz w:val="18"/>
          <w:szCs w:val="18"/>
          <w:lang w:val="en-GB" w:eastAsia="en-GB"/>
          <w14:ligatures w14:val="none"/>
        </w:rPr>
      </w:pPr>
      <w:r w:rsidRPr="00935EE5">
        <w:rPr>
          <w:rFonts w:ascii="Aptos" w:eastAsia="Times New Roman" w:hAnsi="Aptos" w:cs="Segoe UI"/>
          <w:kern w:val="0"/>
          <w:lang w:val="en-GB" w:eastAsia="en-GB"/>
          <w14:ligatures w14:val="none"/>
        </w:rPr>
        <w:t> </w:t>
      </w:r>
    </w:p>
    <w:p w14:paraId="5D8F5AB8" w14:textId="77777777" w:rsidR="00403529" w:rsidRDefault="00403529" w:rsidP="00403529">
      <w:pPr>
        <w:jc w:val="both"/>
        <w:rPr>
          <w:rFonts w:ascii="Calibri" w:hAnsi="Calibri" w:cs="Calibri"/>
        </w:rPr>
      </w:pPr>
    </w:p>
    <w:p w14:paraId="298B9C00" w14:textId="77777777" w:rsidR="006A7889" w:rsidRDefault="006A7889"/>
    <w:p w14:paraId="6961D719" w14:textId="77777777" w:rsidR="006A7889" w:rsidRDefault="006A7889"/>
    <w:p w14:paraId="29103432" w14:textId="77777777" w:rsidR="006A7889" w:rsidRPr="006A7889" w:rsidRDefault="006A7889" w:rsidP="006A7889">
      <w:pPr>
        <w:pStyle w:val="EndNoteBibliography"/>
      </w:pPr>
      <w:r>
        <w:lastRenderedPageBreak/>
        <w:fldChar w:fldCharType="begin"/>
      </w:r>
      <w:r>
        <w:instrText xml:space="preserve"> ADDIN EN.REFLIST </w:instrText>
      </w:r>
      <w:r>
        <w:fldChar w:fldCharType="separate"/>
      </w:r>
      <w:r w:rsidRPr="006A7889">
        <w:t>1.</w:t>
      </w:r>
      <w:r w:rsidRPr="006A7889">
        <w:tab/>
        <w:t>Patterson L, Berry E, Parsons C, Clarke B, Little A, Beggs J, et al. Using the COM-B framework to elucidate facilitators and barriers to COVID-19 vaccine uptake in pregnant women: a qualitative study. BMC Pregnancy and Childbirth. 2023;23(1):640.</w:t>
      </w:r>
    </w:p>
    <w:p w14:paraId="314FFD3F" w14:textId="369263EC" w:rsidR="00042258" w:rsidRDefault="006A7889">
      <w:r>
        <w:fldChar w:fldCharType="end"/>
      </w:r>
    </w:p>
    <w:sectPr w:rsidR="000422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403529"/>
    <w:rsid w:val="00042258"/>
    <w:rsid w:val="00403529"/>
    <w:rsid w:val="006A7889"/>
    <w:rsid w:val="00A603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B5CBC"/>
  <w15:chartTrackingRefBased/>
  <w15:docId w15:val="{306D4E50-E77B-4E0B-9DBD-C0765F0F7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529"/>
    <w:rPr>
      <w:lang w:val="en-US"/>
    </w:rPr>
  </w:style>
  <w:style w:type="paragraph" w:styleId="Heading1">
    <w:name w:val="heading 1"/>
    <w:basedOn w:val="Normal"/>
    <w:next w:val="Normal"/>
    <w:link w:val="Heading1Char"/>
    <w:uiPriority w:val="9"/>
    <w:qFormat/>
    <w:rsid w:val="00403529"/>
    <w:pPr>
      <w:keepNext/>
      <w:keepLines/>
      <w:spacing w:before="360" w:after="80"/>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semiHidden/>
    <w:unhideWhenUsed/>
    <w:qFormat/>
    <w:rsid w:val="00403529"/>
    <w:pPr>
      <w:keepNext/>
      <w:keepLines/>
      <w:spacing w:before="160" w:after="80"/>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403529"/>
    <w:pPr>
      <w:keepNext/>
      <w:keepLines/>
      <w:spacing w:before="160" w:after="80"/>
      <w:outlineLvl w:val="2"/>
    </w:pPr>
    <w:rPr>
      <w:rFonts w:eastAsiaTheme="majorEastAsia"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403529"/>
    <w:pPr>
      <w:keepNext/>
      <w:keepLines/>
      <w:spacing w:before="80" w:after="40"/>
      <w:outlineLvl w:val="3"/>
    </w:pPr>
    <w:rPr>
      <w:rFonts w:eastAsiaTheme="majorEastAsia" w:cstheme="majorBidi"/>
      <w:i/>
      <w:iCs/>
      <w:color w:val="0F4761" w:themeColor="accent1" w:themeShade="BF"/>
      <w:lang w:val="en-GB"/>
    </w:rPr>
  </w:style>
  <w:style w:type="paragraph" w:styleId="Heading5">
    <w:name w:val="heading 5"/>
    <w:basedOn w:val="Normal"/>
    <w:next w:val="Normal"/>
    <w:link w:val="Heading5Char"/>
    <w:uiPriority w:val="9"/>
    <w:semiHidden/>
    <w:unhideWhenUsed/>
    <w:qFormat/>
    <w:rsid w:val="00403529"/>
    <w:pPr>
      <w:keepNext/>
      <w:keepLines/>
      <w:spacing w:before="80" w:after="40"/>
      <w:outlineLvl w:val="4"/>
    </w:pPr>
    <w:rPr>
      <w:rFonts w:eastAsiaTheme="majorEastAsia" w:cstheme="majorBidi"/>
      <w:color w:val="0F4761" w:themeColor="accent1" w:themeShade="BF"/>
      <w:lang w:val="en-GB"/>
    </w:rPr>
  </w:style>
  <w:style w:type="paragraph" w:styleId="Heading6">
    <w:name w:val="heading 6"/>
    <w:basedOn w:val="Normal"/>
    <w:next w:val="Normal"/>
    <w:link w:val="Heading6Char"/>
    <w:uiPriority w:val="9"/>
    <w:semiHidden/>
    <w:unhideWhenUsed/>
    <w:qFormat/>
    <w:rsid w:val="00403529"/>
    <w:pPr>
      <w:keepNext/>
      <w:keepLines/>
      <w:spacing w:before="40" w:after="0"/>
      <w:outlineLvl w:val="5"/>
    </w:pPr>
    <w:rPr>
      <w:rFonts w:eastAsiaTheme="majorEastAsia" w:cstheme="majorBidi"/>
      <w:i/>
      <w:iCs/>
      <w:color w:val="595959" w:themeColor="text1" w:themeTint="A6"/>
      <w:lang w:val="en-GB"/>
    </w:rPr>
  </w:style>
  <w:style w:type="paragraph" w:styleId="Heading7">
    <w:name w:val="heading 7"/>
    <w:basedOn w:val="Normal"/>
    <w:next w:val="Normal"/>
    <w:link w:val="Heading7Char"/>
    <w:uiPriority w:val="9"/>
    <w:semiHidden/>
    <w:unhideWhenUsed/>
    <w:qFormat/>
    <w:rsid w:val="00403529"/>
    <w:pPr>
      <w:keepNext/>
      <w:keepLines/>
      <w:spacing w:before="40" w:after="0"/>
      <w:outlineLvl w:val="6"/>
    </w:pPr>
    <w:rPr>
      <w:rFonts w:eastAsiaTheme="majorEastAsia" w:cstheme="majorBidi"/>
      <w:color w:val="595959" w:themeColor="text1" w:themeTint="A6"/>
      <w:lang w:val="en-GB"/>
    </w:rPr>
  </w:style>
  <w:style w:type="paragraph" w:styleId="Heading8">
    <w:name w:val="heading 8"/>
    <w:basedOn w:val="Normal"/>
    <w:next w:val="Normal"/>
    <w:link w:val="Heading8Char"/>
    <w:uiPriority w:val="9"/>
    <w:semiHidden/>
    <w:unhideWhenUsed/>
    <w:qFormat/>
    <w:rsid w:val="00403529"/>
    <w:pPr>
      <w:keepNext/>
      <w:keepLines/>
      <w:spacing w:after="0"/>
      <w:outlineLvl w:val="7"/>
    </w:pPr>
    <w:rPr>
      <w:rFonts w:eastAsiaTheme="majorEastAsia"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403529"/>
    <w:pPr>
      <w:keepNext/>
      <w:keepLines/>
      <w:spacing w:after="0"/>
      <w:outlineLvl w:val="8"/>
    </w:pPr>
    <w:rPr>
      <w:rFonts w:eastAsiaTheme="majorEastAsia" w:cstheme="majorBidi"/>
      <w:color w:val="272727" w:themeColor="text1" w:themeTint="D8"/>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5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35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35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35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35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35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35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35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3529"/>
    <w:rPr>
      <w:rFonts w:eastAsiaTheme="majorEastAsia" w:cstheme="majorBidi"/>
      <w:color w:val="272727" w:themeColor="text1" w:themeTint="D8"/>
    </w:rPr>
  </w:style>
  <w:style w:type="paragraph" w:styleId="Title">
    <w:name w:val="Title"/>
    <w:basedOn w:val="Normal"/>
    <w:next w:val="Normal"/>
    <w:link w:val="TitleChar"/>
    <w:uiPriority w:val="10"/>
    <w:qFormat/>
    <w:rsid w:val="00403529"/>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4035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3529"/>
    <w:pPr>
      <w:numPr>
        <w:ilvl w:val="1"/>
      </w:numPr>
    </w:pPr>
    <w:rPr>
      <w:rFonts w:eastAsiaTheme="majorEastAsia"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4035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3529"/>
    <w:pPr>
      <w:spacing w:before="160"/>
      <w:jc w:val="center"/>
    </w:pPr>
    <w:rPr>
      <w:i/>
      <w:iCs/>
      <w:color w:val="404040" w:themeColor="text1" w:themeTint="BF"/>
      <w:lang w:val="en-GB"/>
    </w:rPr>
  </w:style>
  <w:style w:type="character" w:customStyle="1" w:styleId="QuoteChar">
    <w:name w:val="Quote Char"/>
    <w:basedOn w:val="DefaultParagraphFont"/>
    <w:link w:val="Quote"/>
    <w:uiPriority w:val="29"/>
    <w:rsid w:val="00403529"/>
    <w:rPr>
      <w:i/>
      <w:iCs/>
      <w:color w:val="404040" w:themeColor="text1" w:themeTint="BF"/>
    </w:rPr>
  </w:style>
  <w:style w:type="paragraph" w:styleId="ListParagraph">
    <w:name w:val="List Paragraph"/>
    <w:basedOn w:val="Normal"/>
    <w:uiPriority w:val="34"/>
    <w:qFormat/>
    <w:rsid w:val="00403529"/>
    <w:pPr>
      <w:ind w:left="720"/>
      <w:contextualSpacing/>
    </w:pPr>
    <w:rPr>
      <w:lang w:val="en-GB"/>
    </w:rPr>
  </w:style>
  <w:style w:type="character" w:styleId="IntenseEmphasis">
    <w:name w:val="Intense Emphasis"/>
    <w:basedOn w:val="DefaultParagraphFont"/>
    <w:uiPriority w:val="21"/>
    <w:qFormat/>
    <w:rsid w:val="00403529"/>
    <w:rPr>
      <w:i/>
      <w:iCs/>
      <w:color w:val="0F4761" w:themeColor="accent1" w:themeShade="BF"/>
    </w:rPr>
  </w:style>
  <w:style w:type="paragraph" w:styleId="IntenseQuote">
    <w:name w:val="Intense Quote"/>
    <w:basedOn w:val="Normal"/>
    <w:next w:val="Normal"/>
    <w:link w:val="IntenseQuoteChar"/>
    <w:uiPriority w:val="30"/>
    <w:qFormat/>
    <w:rsid w:val="004035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GB"/>
    </w:rPr>
  </w:style>
  <w:style w:type="character" w:customStyle="1" w:styleId="IntenseQuoteChar">
    <w:name w:val="Intense Quote Char"/>
    <w:basedOn w:val="DefaultParagraphFont"/>
    <w:link w:val="IntenseQuote"/>
    <w:uiPriority w:val="30"/>
    <w:rsid w:val="00403529"/>
    <w:rPr>
      <w:i/>
      <w:iCs/>
      <w:color w:val="0F4761" w:themeColor="accent1" w:themeShade="BF"/>
    </w:rPr>
  </w:style>
  <w:style w:type="character" w:styleId="IntenseReference">
    <w:name w:val="Intense Reference"/>
    <w:basedOn w:val="DefaultParagraphFont"/>
    <w:uiPriority w:val="32"/>
    <w:qFormat/>
    <w:rsid w:val="00403529"/>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6A7889"/>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6A7889"/>
    <w:rPr>
      <w:rFonts w:ascii="Aptos" w:hAnsi="Aptos"/>
      <w:noProof/>
      <w:lang w:val="en-US"/>
    </w:rPr>
  </w:style>
  <w:style w:type="paragraph" w:customStyle="1" w:styleId="EndNoteBibliography">
    <w:name w:val="EndNote Bibliography"/>
    <w:basedOn w:val="Normal"/>
    <w:link w:val="EndNoteBibliographyChar"/>
    <w:rsid w:val="006A7889"/>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6A7889"/>
    <w:rPr>
      <w:rFonts w:ascii="Aptos" w:hAnsi="Aptos"/>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05492658F1744E9CE3F3C2E4D13DBE" ma:contentTypeVersion="12" ma:contentTypeDescription="Create a new document." ma:contentTypeScope="" ma:versionID="fa84ed8d05e546f81a81960c8006ae67">
  <xsd:schema xmlns:xsd="http://www.w3.org/2001/XMLSchema" xmlns:xs="http://www.w3.org/2001/XMLSchema" xmlns:p="http://schemas.microsoft.com/office/2006/metadata/properties" xmlns:ns2="08e0b738-84fe-440f-adf1-e84dba43ca7e" xmlns:ns3="4ba679b7-7482-49ca-a523-4199948a7bc6" targetNamespace="http://schemas.microsoft.com/office/2006/metadata/properties" ma:root="true" ma:fieldsID="38d4b76ef2a12af13bc83f6729df8cd4" ns2:_="" ns3:_="">
    <xsd:import namespace="08e0b738-84fe-440f-adf1-e84dba43ca7e"/>
    <xsd:import namespace="4ba679b7-7482-49ca-a523-4199948a7b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e0b738-84fe-440f-adf1-e84dba43ca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a679b7-7482-49ca-a523-4199948a7bc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e0b738-84fe-440f-adf1-e84dba43ca7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9BBAC6-E841-4EEF-A7E1-E01143BE8E40}"/>
</file>

<file path=customXml/itemProps2.xml><?xml version="1.0" encoding="utf-8"?>
<ds:datastoreItem xmlns:ds="http://schemas.openxmlformats.org/officeDocument/2006/customXml" ds:itemID="{2D18A191-3179-4A46-8D0E-55345997B0DD}"/>
</file>

<file path=customXml/itemProps3.xml><?xml version="1.0" encoding="utf-8"?>
<ds:datastoreItem xmlns:ds="http://schemas.openxmlformats.org/officeDocument/2006/customXml" ds:itemID="{90D84BD6-517B-4812-9C00-AE4B5B42CE66}"/>
</file>

<file path=docProps/app.xml><?xml version="1.0" encoding="utf-8"?>
<Properties xmlns="http://schemas.openxmlformats.org/officeDocument/2006/extended-properties" xmlns:vt="http://schemas.openxmlformats.org/officeDocument/2006/docPropsVTypes">
  <Template>Normal.dotm</Template>
  <TotalTime>0</TotalTime>
  <Pages>4</Pages>
  <Words>1180</Words>
  <Characters>6650</Characters>
  <Application>Microsoft Office Word</Application>
  <DocSecurity>0</DocSecurity>
  <Lines>97</Lines>
  <Paragraphs>28</Paragraphs>
  <ScaleCrop>false</ScaleCrop>
  <Company/>
  <LinksUpToDate>false</LinksUpToDate>
  <CharactersWithSpaces>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Venner</dc:creator>
  <cp:keywords/>
  <dc:description/>
  <cp:lastModifiedBy>Georgia Venner</cp:lastModifiedBy>
  <cp:revision>2</cp:revision>
  <dcterms:created xsi:type="dcterms:W3CDTF">2026-01-22T13:58:00Z</dcterms:created>
  <dcterms:modified xsi:type="dcterms:W3CDTF">2026-01-22T13:59:00Z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44c74809-c683-41d7-87c5-3dd6ed369ef5</vt:lpwstr>
  </property>
  <property fmtid="{D5CDD505-2E9C-101B-9397-08002B2CF9AE}" pid="3" name="ContentTypeId">
    <vt:lpwstr>0x0101006105492658F1744E9CE3F3C2E4D13DBE</vt:lpwstr>
  </property>
</Properties>
</file>