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8D97F" w14:textId="79E5E2C9" w:rsidR="00517768" w:rsidRPr="003C0F3E" w:rsidRDefault="003C0F3E">
      <w:pPr>
        <w:rPr>
          <w:rFonts w:ascii="Aptos" w:hAnsi="Aptos"/>
          <w:b/>
          <w:bCs/>
          <w:sz w:val="28"/>
          <w:szCs w:val="28"/>
        </w:rPr>
      </w:pPr>
      <w:r w:rsidRPr="003C0F3E">
        <w:rPr>
          <w:rFonts w:ascii="Aptos" w:hAnsi="Aptos"/>
          <w:b/>
          <w:bCs/>
          <w:sz w:val="28"/>
          <w:szCs w:val="28"/>
        </w:rPr>
        <w:t xml:space="preserve">Supplementary material to the paper </w:t>
      </w:r>
    </w:p>
    <w:p w14:paraId="69E34633" w14:textId="530EEEE1" w:rsidR="003C0F3E" w:rsidRPr="00A109C7" w:rsidRDefault="00A109C7" w:rsidP="00A109C7">
      <w:pPr>
        <w:spacing w:after="120"/>
        <w:rPr>
          <w:i/>
          <w:iCs/>
          <w:sz w:val="28"/>
          <w:szCs w:val="28"/>
        </w:rPr>
      </w:pPr>
      <w:r w:rsidRPr="00A109C7">
        <w:rPr>
          <w:i/>
          <w:iCs/>
          <w:sz w:val="28"/>
          <w:szCs w:val="28"/>
        </w:rPr>
        <w:t xml:space="preserve">Increased utilization of health care services for non-communicable diseases during the COVID-19 pandemic among refugees in Jordan: a mixed-methods study </w:t>
      </w:r>
    </w:p>
    <w:p w14:paraId="7D932293" w14:textId="77777777" w:rsidR="00F44DAE" w:rsidRPr="00F44DAE" w:rsidRDefault="00F44DAE">
      <w:pPr>
        <w:rPr>
          <w:rFonts w:ascii="Aptos" w:hAnsi="Aptos"/>
        </w:rPr>
      </w:pPr>
    </w:p>
    <w:p w14:paraId="3E62C76B" w14:textId="77777777" w:rsidR="003C0F3E" w:rsidRDefault="003C0F3E">
      <w:pPr>
        <w:rPr>
          <w:rFonts w:ascii="Aptos" w:hAnsi="Aptos"/>
        </w:rPr>
      </w:pPr>
    </w:p>
    <w:p w14:paraId="3DE8503B" w14:textId="75A25451" w:rsidR="003C0F3E" w:rsidRDefault="003C0F3E" w:rsidP="003C0F3E">
      <w:pPr>
        <w:pStyle w:val="Heading1"/>
      </w:pPr>
      <w:r>
        <w:t xml:space="preserve">Additional Results </w:t>
      </w:r>
    </w:p>
    <w:p w14:paraId="3D70CC8C" w14:textId="53C26F08" w:rsidR="00F44DAE" w:rsidRPr="00F44DAE" w:rsidRDefault="00F44DAE" w:rsidP="003C0F3E">
      <w:pPr>
        <w:pStyle w:val="Heading2"/>
      </w:pPr>
      <w:r w:rsidRPr="00F44DAE">
        <w:t xml:space="preserve">Characteristics of household survey </w:t>
      </w:r>
      <w:r w:rsidR="003C0F3E">
        <w:t xml:space="preserve">respondents </w:t>
      </w:r>
    </w:p>
    <w:p w14:paraId="711BA53A" w14:textId="77777777" w:rsidR="00F44DAE" w:rsidRPr="00F44DAE" w:rsidRDefault="00F44DAE">
      <w:pPr>
        <w:rPr>
          <w:rFonts w:ascii="Aptos" w:hAnsi="Aptos"/>
        </w:rPr>
      </w:pPr>
    </w:p>
    <w:p w14:paraId="125C3226" w14:textId="73B10447" w:rsidR="007A26A7" w:rsidRDefault="007A26A7" w:rsidP="007A26A7">
      <w:pPr>
        <w:pStyle w:val="Caption"/>
        <w:keepNext/>
      </w:pPr>
      <w:r>
        <w:t xml:space="preserve">Table </w:t>
      </w:r>
      <w:r w:rsidR="00C23482">
        <w:t>S</w:t>
      </w:r>
      <w:fldSimple w:instr=" SEQ Table \* ARABIC ">
        <w:r>
          <w:rPr>
            <w:noProof/>
          </w:rPr>
          <w:t>1</w:t>
        </w:r>
      </w:fldSimple>
      <w:r>
        <w:t>: Household Survey participant characteristics, Jordan, August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4"/>
        <w:gridCol w:w="1231"/>
        <w:gridCol w:w="1262"/>
        <w:gridCol w:w="1213"/>
        <w:gridCol w:w="790"/>
      </w:tblGrid>
      <w:tr w:rsidR="00F44DAE" w:rsidRPr="00F44DAE" w14:paraId="49D384A2" w14:textId="77777777" w:rsidTr="00F44DAE">
        <w:tc>
          <w:tcPr>
            <w:tcW w:w="2598" w:type="pct"/>
            <w:tcBorders>
              <w:left w:val="nil"/>
            </w:tcBorders>
            <w:shd w:val="clear" w:color="auto" w:fill="4C94D8" w:themeFill="text2" w:themeFillTint="80"/>
            <w:noWrap/>
            <w:hideMark/>
          </w:tcPr>
          <w:p w14:paraId="3243086B" w14:textId="77777777" w:rsidR="00F44DAE" w:rsidRPr="00F44DAE" w:rsidRDefault="00F44DAE" w:rsidP="00F44DAE">
            <w:pPr>
              <w:rPr>
                <w:rFonts w:ascii="Aptos" w:eastAsia="Times New Roman" w:hAnsi="Aptos" w:cs="Calibri"/>
                <w:b/>
                <w:bCs/>
                <w:color w:val="FFFFFF" w:themeColor="background1"/>
                <w:kern w:val="0"/>
                <w:sz w:val="18"/>
                <w:szCs w:val="18"/>
                <w14:ligatures w14:val="none"/>
              </w:rPr>
            </w:pPr>
          </w:p>
        </w:tc>
        <w:tc>
          <w:tcPr>
            <w:tcW w:w="658" w:type="pct"/>
            <w:shd w:val="clear" w:color="auto" w:fill="4C94D8" w:themeFill="text2" w:themeFillTint="80"/>
            <w:noWrap/>
            <w:hideMark/>
          </w:tcPr>
          <w:p w14:paraId="50A6B308" w14:textId="77777777" w:rsidR="00F44DAE" w:rsidRPr="00F44DAE" w:rsidRDefault="00F44DAE" w:rsidP="00F44DAE">
            <w:pPr>
              <w:jc w:val="center"/>
              <w:rPr>
                <w:rFonts w:ascii="Aptos" w:hAnsi="Aptos"/>
                <w:b/>
                <w:bCs/>
                <w:color w:val="FFFFFF" w:themeColor="background1"/>
                <w:sz w:val="18"/>
                <w:szCs w:val="18"/>
              </w:rPr>
            </w:pPr>
            <w:r w:rsidRPr="00F44DAE">
              <w:rPr>
                <w:rFonts w:ascii="Aptos" w:hAnsi="Aptos"/>
                <w:b/>
                <w:bCs/>
                <w:color w:val="FFFFFF" w:themeColor="background1"/>
                <w:sz w:val="18"/>
                <w:szCs w:val="18"/>
              </w:rPr>
              <w:t xml:space="preserve">Syrian </w:t>
            </w:r>
          </w:p>
          <w:p w14:paraId="262F22A8" w14:textId="77777777" w:rsidR="00F44DAE" w:rsidRPr="00F44DAE" w:rsidRDefault="00F44DAE" w:rsidP="00F44DAE">
            <w:pPr>
              <w:jc w:val="center"/>
              <w:rPr>
                <w:rFonts w:ascii="Aptos" w:eastAsia="Times New Roman" w:hAnsi="Aptos" w:cs="Calibri"/>
                <w:b/>
                <w:bCs/>
                <w:color w:val="FFFFFF" w:themeColor="background1"/>
                <w:kern w:val="0"/>
                <w:sz w:val="18"/>
                <w:szCs w:val="18"/>
                <w14:ligatures w14:val="none"/>
              </w:rPr>
            </w:pPr>
            <w:r w:rsidRPr="00F44DAE">
              <w:rPr>
                <w:rFonts w:ascii="Aptos" w:hAnsi="Aptos"/>
                <w:b/>
                <w:bCs/>
                <w:color w:val="FFFFFF" w:themeColor="background1"/>
                <w:sz w:val="18"/>
                <w:szCs w:val="18"/>
              </w:rPr>
              <w:t>Out-of-Camp</w:t>
            </w:r>
          </w:p>
        </w:tc>
        <w:tc>
          <w:tcPr>
            <w:tcW w:w="674" w:type="pct"/>
            <w:shd w:val="clear" w:color="auto" w:fill="4C94D8" w:themeFill="text2" w:themeFillTint="80"/>
            <w:noWrap/>
            <w:hideMark/>
          </w:tcPr>
          <w:p w14:paraId="79515E52" w14:textId="77777777" w:rsidR="00F44DAE" w:rsidRPr="00F44DAE" w:rsidRDefault="00F44DAE" w:rsidP="00F44DAE">
            <w:pPr>
              <w:jc w:val="center"/>
              <w:rPr>
                <w:rFonts w:ascii="Aptos" w:hAnsi="Aptos"/>
                <w:b/>
                <w:bCs/>
                <w:color w:val="FFFFFF" w:themeColor="background1"/>
                <w:sz w:val="18"/>
                <w:szCs w:val="18"/>
              </w:rPr>
            </w:pPr>
            <w:r w:rsidRPr="00F44DAE">
              <w:rPr>
                <w:rFonts w:ascii="Aptos" w:hAnsi="Aptos"/>
                <w:b/>
                <w:bCs/>
                <w:color w:val="FFFFFF" w:themeColor="background1"/>
                <w:sz w:val="18"/>
                <w:szCs w:val="18"/>
              </w:rPr>
              <w:t xml:space="preserve">Non-Syrian </w:t>
            </w:r>
          </w:p>
          <w:p w14:paraId="419C6115" w14:textId="77777777" w:rsidR="00F44DAE" w:rsidRPr="00F44DAE" w:rsidRDefault="00F44DAE" w:rsidP="00F44DAE">
            <w:pPr>
              <w:jc w:val="center"/>
              <w:rPr>
                <w:rFonts w:ascii="Aptos" w:eastAsia="Times New Roman" w:hAnsi="Aptos" w:cs="Calibri"/>
                <w:b/>
                <w:bCs/>
                <w:color w:val="FFFFFF" w:themeColor="background1"/>
                <w:kern w:val="0"/>
                <w:sz w:val="18"/>
                <w:szCs w:val="18"/>
                <w14:ligatures w14:val="none"/>
              </w:rPr>
            </w:pPr>
            <w:r w:rsidRPr="00F44DAE">
              <w:rPr>
                <w:rFonts w:ascii="Aptos" w:hAnsi="Aptos"/>
                <w:b/>
                <w:bCs/>
                <w:color w:val="FFFFFF" w:themeColor="background1"/>
                <w:sz w:val="18"/>
                <w:szCs w:val="18"/>
              </w:rPr>
              <w:t>Out-of- Camp</w:t>
            </w:r>
          </w:p>
        </w:tc>
        <w:tc>
          <w:tcPr>
            <w:tcW w:w="648" w:type="pct"/>
            <w:shd w:val="clear" w:color="auto" w:fill="4C94D8" w:themeFill="text2" w:themeFillTint="80"/>
            <w:noWrap/>
            <w:hideMark/>
          </w:tcPr>
          <w:p w14:paraId="27452EAF" w14:textId="77777777" w:rsidR="00F44DAE" w:rsidRPr="00F44DAE" w:rsidRDefault="00F44DAE" w:rsidP="00F44DAE">
            <w:pPr>
              <w:jc w:val="center"/>
              <w:rPr>
                <w:rFonts w:ascii="Aptos" w:hAnsi="Aptos"/>
                <w:b/>
                <w:bCs/>
                <w:color w:val="FFFFFF" w:themeColor="background1"/>
                <w:sz w:val="18"/>
                <w:szCs w:val="18"/>
              </w:rPr>
            </w:pPr>
            <w:r w:rsidRPr="00F44DAE">
              <w:rPr>
                <w:rFonts w:ascii="Aptos" w:hAnsi="Aptos"/>
                <w:b/>
                <w:bCs/>
                <w:color w:val="FFFFFF" w:themeColor="background1"/>
                <w:sz w:val="18"/>
                <w:szCs w:val="18"/>
              </w:rPr>
              <w:t xml:space="preserve">Syrian </w:t>
            </w:r>
          </w:p>
          <w:p w14:paraId="241CB110" w14:textId="77777777" w:rsidR="00F44DAE" w:rsidRPr="00F44DAE" w:rsidRDefault="00F44DAE" w:rsidP="00F44DAE">
            <w:pPr>
              <w:jc w:val="center"/>
              <w:rPr>
                <w:rFonts w:ascii="Aptos" w:eastAsia="Times New Roman" w:hAnsi="Aptos" w:cs="Calibri"/>
                <w:b/>
                <w:bCs/>
                <w:color w:val="FFFFFF" w:themeColor="background1"/>
                <w:kern w:val="0"/>
                <w:sz w:val="18"/>
                <w:szCs w:val="18"/>
                <w14:ligatures w14:val="none"/>
              </w:rPr>
            </w:pPr>
            <w:r w:rsidRPr="00F44DAE">
              <w:rPr>
                <w:rFonts w:ascii="Aptos" w:hAnsi="Aptos"/>
                <w:b/>
                <w:bCs/>
                <w:color w:val="FFFFFF" w:themeColor="background1"/>
                <w:sz w:val="18"/>
                <w:szCs w:val="18"/>
              </w:rPr>
              <w:t>In-Camp</w:t>
            </w:r>
          </w:p>
        </w:tc>
        <w:tc>
          <w:tcPr>
            <w:tcW w:w="422" w:type="pct"/>
            <w:tcBorders>
              <w:right w:val="nil"/>
            </w:tcBorders>
            <w:shd w:val="clear" w:color="auto" w:fill="4C94D8" w:themeFill="text2" w:themeFillTint="80"/>
            <w:noWrap/>
            <w:hideMark/>
          </w:tcPr>
          <w:p w14:paraId="7BC18335" w14:textId="77777777" w:rsidR="00F44DAE" w:rsidRPr="00F44DAE" w:rsidRDefault="00F44DAE" w:rsidP="00F44DAE">
            <w:pPr>
              <w:jc w:val="center"/>
              <w:rPr>
                <w:rFonts w:ascii="Aptos" w:eastAsia="Times New Roman" w:hAnsi="Aptos" w:cs="Calibri"/>
                <w:b/>
                <w:bCs/>
                <w:color w:val="FFFFFF" w:themeColor="background1"/>
                <w:kern w:val="0"/>
                <w:sz w:val="18"/>
                <w:szCs w:val="18"/>
                <w14:ligatures w14:val="none"/>
              </w:rPr>
            </w:pPr>
            <w:r w:rsidRPr="00F44DAE">
              <w:rPr>
                <w:rFonts w:ascii="Aptos" w:eastAsia="Times New Roman" w:hAnsi="Aptos" w:cs="Calibri"/>
                <w:b/>
                <w:bCs/>
                <w:color w:val="FFFFFF" w:themeColor="background1"/>
                <w:kern w:val="0"/>
                <w:sz w:val="18"/>
                <w:szCs w:val="18"/>
                <w14:ligatures w14:val="none"/>
              </w:rPr>
              <w:t>p-value</w:t>
            </w:r>
          </w:p>
        </w:tc>
      </w:tr>
      <w:tr w:rsidR="00F44DAE" w:rsidRPr="00F44DAE" w14:paraId="5C0123DE" w14:textId="77777777" w:rsidTr="00F44DAE">
        <w:tc>
          <w:tcPr>
            <w:tcW w:w="2598" w:type="pct"/>
            <w:tcBorders>
              <w:left w:val="nil"/>
            </w:tcBorders>
            <w:noWrap/>
            <w:hideMark/>
          </w:tcPr>
          <w:p w14:paraId="529428C5" w14:textId="77777777" w:rsidR="00F44DAE" w:rsidRPr="00F44DAE" w:rsidRDefault="00F44DAE" w:rsidP="00F44DAE">
            <w:pPr>
              <w:rPr>
                <w:rFonts w:ascii="Aptos" w:eastAsia="Times New Roman" w:hAnsi="Aptos" w:cs="Times New Roman"/>
                <w:kern w:val="0"/>
                <w:sz w:val="18"/>
                <w:szCs w:val="18"/>
                <w14:ligatures w14:val="none"/>
              </w:rPr>
            </w:pPr>
          </w:p>
        </w:tc>
        <w:tc>
          <w:tcPr>
            <w:tcW w:w="658" w:type="pct"/>
            <w:noWrap/>
            <w:vAlign w:val="bottom"/>
            <w:hideMark/>
          </w:tcPr>
          <w:p w14:paraId="18ECF951"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N=754</w:t>
            </w:r>
          </w:p>
        </w:tc>
        <w:tc>
          <w:tcPr>
            <w:tcW w:w="674" w:type="pct"/>
            <w:noWrap/>
            <w:vAlign w:val="bottom"/>
            <w:hideMark/>
          </w:tcPr>
          <w:p w14:paraId="5625538B"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N=489</w:t>
            </w:r>
          </w:p>
        </w:tc>
        <w:tc>
          <w:tcPr>
            <w:tcW w:w="648" w:type="pct"/>
            <w:noWrap/>
            <w:vAlign w:val="bottom"/>
            <w:hideMark/>
          </w:tcPr>
          <w:p w14:paraId="7102E165"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N=806</w:t>
            </w:r>
          </w:p>
        </w:tc>
        <w:tc>
          <w:tcPr>
            <w:tcW w:w="422" w:type="pct"/>
            <w:tcBorders>
              <w:right w:val="nil"/>
            </w:tcBorders>
            <w:noWrap/>
            <w:hideMark/>
          </w:tcPr>
          <w:p w14:paraId="168DE118"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 </w:t>
            </w:r>
          </w:p>
        </w:tc>
      </w:tr>
      <w:tr w:rsidR="00F44DAE" w:rsidRPr="00F44DAE" w14:paraId="473DA4FC" w14:textId="77777777" w:rsidTr="00F44DAE">
        <w:tc>
          <w:tcPr>
            <w:tcW w:w="2598" w:type="pct"/>
            <w:tcBorders>
              <w:left w:val="nil"/>
              <w:bottom w:val="single" w:sz="4" w:space="0" w:color="auto"/>
            </w:tcBorders>
            <w:noWrap/>
            <w:vAlign w:val="center"/>
          </w:tcPr>
          <w:p w14:paraId="32C9E6CC"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HH country of origin, n (%)</w:t>
            </w:r>
          </w:p>
        </w:tc>
        <w:tc>
          <w:tcPr>
            <w:tcW w:w="658" w:type="pct"/>
            <w:tcBorders>
              <w:bottom w:val="single" w:sz="4" w:space="0" w:color="auto"/>
            </w:tcBorders>
            <w:noWrap/>
            <w:vAlign w:val="center"/>
          </w:tcPr>
          <w:p w14:paraId="06A7F036" w14:textId="77777777" w:rsidR="00F44DAE" w:rsidRPr="00F44DAE" w:rsidRDefault="00F44DAE" w:rsidP="00F44DAE">
            <w:pPr>
              <w:jc w:val="center"/>
              <w:rPr>
                <w:rFonts w:ascii="Aptos" w:eastAsia="Times New Roman" w:hAnsi="Aptos" w:cs="Calibri"/>
                <w:kern w:val="0"/>
                <w:sz w:val="18"/>
                <w:szCs w:val="18"/>
                <w14:ligatures w14:val="none"/>
              </w:rPr>
            </w:pPr>
          </w:p>
        </w:tc>
        <w:tc>
          <w:tcPr>
            <w:tcW w:w="674" w:type="pct"/>
            <w:tcBorders>
              <w:bottom w:val="single" w:sz="4" w:space="0" w:color="auto"/>
            </w:tcBorders>
            <w:noWrap/>
            <w:vAlign w:val="center"/>
          </w:tcPr>
          <w:p w14:paraId="73B701C2" w14:textId="77777777" w:rsidR="00F44DAE" w:rsidRPr="00F44DAE" w:rsidRDefault="00F44DAE" w:rsidP="00F44DAE">
            <w:pPr>
              <w:jc w:val="center"/>
              <w:rPr>
                <w:rFonts w:ascii="Aptos" w:eastAsia="Times New Roman" w:hAnsi="Aptos" w:cs="Calibri"/>
                <w:kern w:val="0"/>
                <w:sz w:val="18"/>
                <w:szCs w:val="18"/>
                <w14:ligatures w14:val="none"/>
              </w:rPr>
            </w:pPr>
          </w:p>
        </w:tc>
        <w:tc>
          <w:tcPr>
            <w:tcW w:w="648" w:type="pct"/>
            <w:tcBorders>
              <w:bottom w:val="single" w:sz="4" w:space="0" w:color="auto"/>
            </w:tcBorders>
            <w:noWrap/>
            <w:vAlign w:val="center"/>
          </w:tcPr>
          <w:p w14:paraId="4ECB6DE1" w14:textId="77777777" w:rsidR="00F44DAE" w:rsidRPr="00F44DAE" w:rsidRDefault="00F44DAE" w:rsidP="00F44DAE">
            <w:pPr>
              <w:jc w:val="center"/>
              <w:rPr>
                <w:rFonts w:ascii="Aptos" w:eastAsia="Times New Roman" w:hAnsi="Aptos" w:cs="Calibri"/>
                <w:kern w:val="0"/>
                <w:sz w:val="18"/>
                <w:szCs w:val="18"/>
                <w14:ligatures w14:val="none"/>
              </w:rPr>
            </w:pPr>
          </w:p>
        </w:tc>
        <w:tc>
          <w:tcPr>
            <w:tcW w:w="422" w:type="pct"/>
            <w:tcBorders>
              <w:bottom w:val="single" w:sz="4" w:space="0" w:color="auto"/>
              <w:right w:val="nil"/>
            </w:tcBorders>
            <w:noWrap/>
            <w:vAlign w:val="center"/>
          </w:tcPr>
          <w:p w14:paraId="6D433B0F"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0A0EF2A2" w14:textId="77777777" w:rsidTr="00F44DAE">
        <w:tc>
          <w:tcPr>
            <w:tcW w:w="2598" w:type="pct"/>
            <w:tcBorders>
              <w:left w:val="nil"/>
              <w:bottom w:val="nil"/>
            </w:tcBorders>
            <w:noWrap/>
            <w:vAlign w:val="bottom"/>
            <w:hideMark/>
          </w:tcPr>
          <w:p w14:paraId="22EF3F06"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Syria</w:t>
            </w:r>
          </w:p>
        </w:tc>
        <w:tc>
          <w:tcPr>
            <w:tcW w:w="658" w:type="pct"/>
            <w:tcBorders>
              <w:bottom w:val="nil"/>
            </w:tcBorders>
            <w:noWrap/>
            <w:vAlign w:val="bottom"/>
            <w:hideMark/>
          </w:tcPr>
          <w:p w14:paraId="4F519D19"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754 (100%)</w:t>
            </w:r>
          </w:p>
        </w:tc>
        <w:tc>
          <w:tcPr>
            <w:tcW w:w="674" w:type="pct"/>
            <w:tcBorders>
              <w:bottom w:val="nil"/>
            </w:tcBorders>
            <w:noWrap/>
            <w:vAlign w:val="bottom"/>
            <w:hideMark/>
          </w:tcPr>
          <w:p w14:paraId="0904B2B5"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648" w:type="pct"/>
            <w:tcBorders>
              <w:bottom w:val="nil"/>
            </w:tcBorders>
            <w:noWrap/>
            <w:vAlign w:val="bottom"/>
            <w:hideMark/>
          </w:tcPr>
          <w:p w14:paraId="14488F71"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806 (100%)</w:t>
            </w:r>
          </w:p>
        </w:tc>
        <w:tc>
          <w:tcPr>
            <w:tcW w:w="422" w:type="pct"/>
            <w:tcBorders>
              <w:bottom w:val="nil"/>
              <w:right w:val="nil"/>
            </w:tcBorders>
            <w:noWrap/>
            <w:vAlign w:val="center"/>
            <w:hideMark/>
          </w:tcPr>
          <w:p w14:paraId="3EB392AE"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1642D94C" w14:textId="77777777" w:rsidTr="00F44DAE">
        <w:tc>
          <w:tcPr>
            <w:tcW w:w="2598" w:type="pct"/>
            <w:tcBorders>
              <w:top w:val="nil"/>
              <w:left w:val="nil"/>
              <w:bottom w:val="nil"/>
            </w:tcBorders>
            <w:noWrap/>
            <w:vAlign w:val="bottom"/>
            <w:hideMark/>
          </w:tcPr>
          <w:p w14:paraId="7A7EE705"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Iraq</w:t>
            </w:r>
          </w:p>
        </w:tc>
        <w:tc>
          <w:tcPr>
            <w:tcW w:w="658" w:type="pct"/>
            <w:tcBorders>
              <w:top w:val="nil"/>
              <w:bottom w:val="nil"/>
            </w:tcBorders>
            <w:noWrap/>
            <w:vAlign w:val="bottom"/>
            <w:hideMark/>
          </w:tcPr>
          <w:p w14:paraId="7171B787"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674" w:type="pct"/>
            <w:tcBorders>
              <w:top w:val="nil"/>
              <w:bottom w:val="nil"/>
            </w:tcBorders>
            <w:noWrap/>
            <w:vAlign w:val="bottom"/>
            <w:hideMark/>
          </w:tcPr>
          <w:p w14:paraId="329ABAE4"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316 (64.62%)</w:t>
            </w:r>
          </w:p>
        </w:tc>
        <w:tc>
          <w:tcPr>
            <w:tcW w:w="648" w:type="pct"/>
            <w:tcBorders>
              <w:top w:val="nil"/>
              <w:bottom w:val="nil"/>
            </w:tcBorders>
            <w:noWrap/>
            <w:vAlign w:val="bottom"/>
            <w:hideMark/>
          </w:tcPr>
          <w:p w14:paraId="7500989D"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422" w:type="pct"/>
            <w:tcBorders>
              <w:top w:val="nil"/>
              <w:bottom w:val="nil"/>
              <w:right w:val="nil"/>
            </w:tcBorders>
            <w:noWrap/>
            <w:vAlign w:val="center"/>
            <w:hideMark/>
          </w:tcPr>
          <w:p w14:paraId="32EBAC6E"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126C24B7" w14:textId="77777777" w:rsidTr="00F44DAE">
        <w:tc>
          <w:tcPr>
            <w:tcW w:w="2598" w:type="pct"/>
            <w:tcBorders>
              <w:top w:val="nil"/>
              <w:left w:val="nil"/>
              <w:bottom w:val="nil"/>
            </w:tcBorders>
            <w:noWrap/>
            <w:vAlign w:val="bottom"/>
            <w:hideMark/>
          </w:tcPr>
          <w:p w14:paraId="1D96EA37"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Somalia</w:t>
            </w:r>
          </w:p>
        </w:tc>
        <w:tc>
          <w:tcPr>
            <w:tcW w:w="658" w:type="pct"/>
            <w:tcBorders>
              <w:top w:val="nil"/>
              <w:bottom w:val="nil"/>
            </w:tcBorders>
            <w:noWrap/>
            <w:vAlign w:val="bottom"/>
            <w:hideMark/>
          </w:tcPr>
          <w:p w14:paraId="41A3FCE6"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674" w:type="pct"/>
            <w:tcBorders>
              <w:top w:val="nil"/>
              <w:bottom w:val="nil"/>
            </w:tcBorders>
            <w:noWrap/>
            <w:vAlign w:val="bottom"/>
            <w:hideMark/>
          </w:tcPr>
          <w:p w14:paraId="4B29D0E1"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6 (1.23%)</w:t>
            </w:r>
          </w:p>
        </w:tc>
        <w:tc>
          <w:tcPr>
            <w:tcW w:w="648" w:type="pct"/>
            <w:tcBorders>
              <w:top w:val="nil"/>
              <w:bottom w:val="nil"/>
            </w:tcBorders>
            <w:noWrap/>
            <w:vAlign w:val="bottom"/>
            <w:hideMark/>
          </w:tcPr>
          <w:p w14:paraId="1E3F32F7"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422" w:type="pct"/>
            <w:tcBorders>
              <w:top w:val="nil"/>
              <w:bottom w:val="nil"/>
              <w:right w:val="nil"/>
            </w:tcBorders>
            <w:noWrap/>
            <w:vAlign w:val="center"/>
            <w:hideMark/>
          </w:tcPr>
          <w:p w14:paraId="7992DE6E"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2D1E4682" w14:textId="77777777" w:rsidTr="00F44DAE">
        <w:tc>
          <w:tcPr>
            <w:tcW w:w="2598" w:type="pct"/>
            <w:tcBorders>
              <w:top w:val="nil"/>
              <w:left w:val="nil"/>
              <w:bottom w:val="nil"/>
            </w:tcBorders>
            <w:noWrap/>
            <w:vAlign w:val="bottom"/>
            <w:hideMark/>
          </w:tcPr>
          <w:p w14:paraId="59C9329B"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Sudan</w:t>
            </w:r>
          </w:p>
        </w:tc>
        <w:tc>
          <w:tcPr>
            <w:tcW w:w="658" w:type="pct"/>
            <w:tcBorders>
              <w:top w:val="nil"/>
              <w:bottom w:val="nil"/>
            </w:tcBorders>
            <w:noWrap/>
            <w:vAlign w:val="bottom"/>
            <w:hideMark/>
          </w:tcPr>
          <w:p w14:paraId="16A75202"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674" w:type="pct"/>
            <w:tcBorders>
              <w:top w:val="nil"/>
              <w:bottom w:val="nil"/>
            </w:tcBorders>
            <w:noWrap/>
            <w:vAlign w:val="bottom"/>
            <w:hideMark/>
          </w:tcPr>
          <w:p w14:paraId="2C01C735"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59 (12.07%)</w:t>
            </w:r>
          </w:p>
        </w:tc>
        <w:tc>
          <w:tcPr>
            <w:tcW w:w="648" w:type="pct"/>
            <w:tcBorders>
              <w:top w:val="nil"/>
              <w:bottom w:val="nil"/>
            </w:tcBorders>
            <w:noWrap/>
            <w:vAlign w:val="bottom"/>
            <w:hideMark/>
          </w:tcPr>
          <w:p w14:paraId="5B4403BC"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422" w:type="pct"/>
            <w:tcBorders>
              <w:top w:val="nil"/>
              <w:bottom w:val="nil"/>
              <w:right w:val="nil"/>
            </w:tcBorders>
            <w:noWrap/>
            <w:vAlign w:val="center"/>
            <w:hideMark/>
          </w:tcPr>
          <w:p w14:paraId="5B502813"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0BF0FD0E" w14:textId="77777777" w:rsidTr="00F44DAE">
        <w:tc>
          <w:tcPr>
            <w:tcW w:w="2598" w:type="pct"/>
            <w:tcBorders>
              <w:top w:val="nil"/>
              <w:left w:val="nil"/>
              <w:bottom w:val="nil"/>
            </w:tcBorders>
            <w:noWrap/>
            <w:vAlign w:val="bottom"/>
            <w:hideMark/>
          </w:tcPr>
          <w:p w14:paraId="7D83A863"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Yemen</w:t>
            </w:r>
          </w:p>
        </w:tc>
        <w:tc>
          <w:tcPr>
            <w:tcW w:w="658" w:type="pct"/>
            <w:tcBorders>
              <w:top w:val="nil"/>
              <w:bottom w:val="nil"/>
            </w:tcBorders>
            <w:noWrap/>
            <w:vAlign w:val="bottom"/>
            <w:hideMark/>
          </w:tcPr>
          <w:p w14:paraId="3EDFE2E3"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674" w:type="pct"/>
            <w:tcBorders>
              <w:top w:val="nil"/>
              <w:bottom w:val="nil"/>
            </w:tcBorders>
            <w:noWrap/>
            <w:vAlign w:val="bottom"/>
            <w:hideMark/>
          </w:tcPr>
          <w:p w14:paraId="2E100126"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99 (20.25%)</w:t>
            </w:r>
          </w:p>
        </w:tc>
        <w:tc>
          <w:tcPr>
            <w:tcW w:w="648" w:type="pct"/>
            <w:tcBorders>
              <w:top w:val="nil"/>
              <w:bottom w:val="nil"/>
            </w:tcBorders>
            <w:noWrap/>
            <w:vAlign w:val="bottom"/>
            <w:hideMark/>
          </w:tcPr>
          <w:p w14:paraId="3708CAC0"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422" w:type="pct"/>
            <w:tcBorders>
              <w:top w:val="nil"/>
              <w:bottom w:val="nil"/>
              <w:right w:val="nil"/>
            </w:tcBorders>
            <w:noWrap/>
            <w:vAlign w:val="center"/>
            <w:hideMark/>
          </w:tcPr>
          <w:p w14:paraId="6756E736"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728322DB" w14:textId="77777777" w:rsidTr="00F44DAE">
        <w:tc>
          <w:tcPr>
            <w:tcW w:w="2598" w:type="pct"/>
            <w:tcBorders>
              <w:top w:val="nil"/>
              <w:left w:val="nil"/>
            </w:tcBorders>
            <w:noWrap/>
            <w:vAlign w:val="center"/>
            <w:hideMark/>
          </w:tcPr>
          <w:p w14:paraId="3728ADEB"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eastAsia="Times New Roman" w:hAnsi="Aptos" w:cs="Calibri"/>
                <w:i/>
                <w:iCs/>
                <w:kern w:val="0"/>
                <w:sz w:val="18"/>
                <w:szCs w:val="18"/>
                <w14:ligatures w14:val="none"/>
              </w:rPr>
              <w:t>other</w:t>
            </w:r>
          </w:p>
        </w:tc>
        <w:tc>
          <w:tcPr>
            <w:tcW w:w="658" w:type="pct"/>
            <w:tcBorders>
              <w:top w:val="nil"/>
            </w:tcBorders>
            <w:noWrap/>
            <w:vAlign w:val="bottom"/>
            <w:hideMark/>
          </w:tcPr>
          <w:p w14:paraId="2EA4F42D"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674" w:type="pct"/>
            <w:tcBorders>
              <w:top w:val="nil"/>
            </w:tcBorders>
            <w:noWrap/>
            <w:vAlign w:val="bottom"/>
            <w:hideMark/>
          </w:tcPr>
          <w:p w14:paraId="09383A18"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9 (1.84%)</w:t>
            </w:r>
          </w:p>
        </w:tc>
        <w:tc>
          <w:tcPr>
            <w:tcW w:w="648" w:type="pct"/>
            <w:tcBorders>
              <w:top w:val="nil"/>
            </w:tcBorders>
            <w:noWrap/>
            <w:vAlign w:val="bottom"/>
            <w:hideMark/>
          </w:tcPr>
          <w:p w14:paraId="4D1952BB"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 xml:space="preserve"> (0%)</w:t>
            </w:r>
          </w:p>
        </w:tc>
        <w:tc>
          <w:tcPr>
            <w:tcW w:w="422" w:type="pct"/>
            <w:tcBorders>
              <w:top w:val="nil"/>
              <w:right w:val="nil"/>
            </w:tcBorders>
            <w:noWrap/>
            <w:vAlign w:val="center"/>
            <w:hideMark/>
          </w:tcPr>
          <w:p w14:paraId="5F87A99F"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16F6B22C" w14:textId="77777777" w:rsidTr="00F44DAE">
        <w:tc>
          <w:tcPr>
            <w:tcW w:w="2598" w:type="pct"/>
            <w:tcBorders>
              <w:left w:val="nil"/>
            </w:tcBorders>
            <w:noWrap/>
            <w:vAlign w:val="center"/>
            <w:hideMark/>
          </w:tcPr>
          <w:p w14:paraId="2BDD338E"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Respondent age</w:t>
            </w:r>
          </w:p>
        </w:tc>
        <w:tc>
          <w:tcPr>
            <w:tcW w:w="658" w:type="pct"/>
            <w:noWrap/>
            <w:vAlign w:val="bottom"/>
            <w:hideMark/>
          </w:tcPr>
          <w:p w14:paraId="600F9C23"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38.3 (10.5)</w:t>
            </w:r>
          </w:p>
        </w:tc>
        <w:tc>
          <w:tcPr>
            <w:tcW w:w="674" w:type="pct"/>
            <w:noWrap/>
            <w:vAlign w:val="bottom"/>
            <w:hideMark/>
          </w:tcPr>
          <w:p w14:paraId="51E5C47A"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44.1 (11.5)</w:t>
            </w:r>
          </w:p>
        </w:tc>
        <w:tc>
          <w:tcPr>
            <w:tcW w:w="648" w:type="pct"/>
            <w:noWrap/>
            <w:vAlign w:val="bottom"/>
            <w:hideMark/>
          </w:tcPr>
          <w:p w14:paraId="76AF6D62"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39.5 (9.3)</w:t>
            </w:r>
          </w:p>
        </w:tc>
        <w:tc>
          <w:tcPr>
            <w:tcW w:w="422" w:type="pct"/>
            <w:tcBorders>
              <w:right w:val="nil"/>
            </w:tcBorders>
            <w:noWrap/>
            <w:vAlign w:val="center"/>
            <w:hideMark/>
          </w:tcPr>
          <w:p w14:paraId="43044C7A"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6EC1D189" w14:textId="77777777" w:rsidTr="00F44DAE">
        <w:tc>
          <w:tcPr>
            <w:tcW w:w="2598" w:type="pct"/>
            <w:tcBorders>
              <w:left w:val="nil"/>
              <w:bottom w:val="single" w:sz="4" w:space="0" w:color="auto"/>
            </w:tcBorders>
            <w:noWrap/>
            <w:vAlign w:val="center"/>
          </w:tcPr>
          <w:p w14:paraId="111E1143"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Education, n (%)</w:t>
            </w:r>
          </w:p>
        </w:tc>
        <w:tc>
          <w:tcPr>
            <w:tcW w:w="658" w:type="pct"/>
            <w:tcBorders>
              <w:bottom w:val="single" w:sz="4" w:space="0" w:color="auto"/>
            </w:tcBorders>
            <w:noWrap/>
            <w:vAlign w:val="center"/>
          </w:tcPr>
          <w:p w14:paraId="4988F18F" w14:textId="77777777" w:rsidR="00F44DAE" w:rsidRPr="00F44DAE" w:rsidRDefault="00F44DAE" w:rsidP="00F44DAE">
            <w:pPr>
              <w:jc w:val="center"/>
              <w:rPr>
                <w:rFonts w:ascii="Aptos" w:eastAsia="Times New Roman" w:hAnsi="Aptos" w:cs="Calibri"/>
                <w:kern w:val="0"/>
                <w:sz w:val="18"/>
                <w:szCs w:val="18"/>
                <w14:ligatures w14:val="none"/>
              </w:rPr>
            </w:pPr>
          </w:p>
        </w:tc>
        <w:tc>
          <w:tcPr>
            <w:tcW w:w="674" w:type="pct"/>
            <w:tcBorders>
              <w:bottom w:val="single" w:sz="4" w:space="0" w:color="auto"/>
            </w:tcBorders>
            <w:noWrap/>
            <w:vAlign w:val="center"/>
          </w:tcPr>
          <w:p w14:paraId="25A7D9F6" w14:textId="77777777" w:rsidR="00F44DAE" w:rsidRPr="00F44DAE" w:rsidRDefault="00F44DAE" w:rsidP="00F44DAE">
            <w:pPr>
              <w:jc w:val="center"/>
              <w:rPr>
                <w:rFonts w:ascii="Aptos" w:eastAsia="Times New Roman" w:hAnsi="Aptos" w:cs="Calibri"/>
                <w:kern w:val="0"/>
                <w:sz w:val="18"/>
                <w:szCs w:val="18"/>
                <w14:ligatures w14:val="none"/>
              </w:rPr>
            </w:pPr>
          </w:p>
        </w:tc>
        <w:tc>
          <w:tcPr>
            <w:tcW w:w="648" w:type="pct"/>
            <w:tcBorders>
              <w:bottom w:val="single" w:sz="4" w:space="0" w:color="auto"/>
            </w:tcBorders>
            <w:noWrap/>
            <w:vAlign w:val="center"/>
          </w:tcPr>
          <w:p w14:paraId="33617222" w14:textId="77777777" w:rsidR="00F44DAE" w:rsidRPr="00F44DAE" w:rsidRDefault="00F44DAE" w:rsidP="00F44DAE">
            <w:pPr>
              <w:jc w:val="center"/>
              <w:rPr>
                <w:rFonts w:ascii="Aptos" w:eastAsia="Times New Roman" w:hAnsi="Aptos" w:cs="Calibri"/>
                <w:kern w:val="0"/>
                <w:sz w:val="18"/>
                <w:szCs w:val="18"/>
                <w14:ligatures w14:val="none"/>
              </w:rPr>
            </w:pPr>
          </w:p>
        </w:tc>
        <w:tc>
          <w:tcPr>
            <w:tcW w:w="422" w:type="pct"/>
            <w:tcBorders>
              <w:bottom w:val="single" w:sz="4" w:space="0" w:color="auto"/>
              <w:right w:val="nil"/>
            </w:tcBorders>
            <w:noWrap/>
            <w:vAlign w:val="center"/>
          </w:tcPr>
          <w:p w14:paraId="3C644BEF"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17D5481D" w14:textId="77777777" w:rsidTr="00F44DAE">
        <w:tc>
          <w:tcPr>
            <w:tcW w:w="2598" w:type="pct"/>
            <w:tcBorders>
              <w:left w:val="nil"/>
              <w:bottom w:val="nil"/>
            </w:tcBorders>
            <w:noWrap/>
            <w:vAlign w:val="bottom"/>
            <w:hideMark/>
          </w:tcPr>
          <w:p w14:paraId="1C905A13"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Illiterate</w:t>
            </w:r>
          </w:p>
        </w:tc>
        <w:tc>
          <w:tcPr>
            <w:tcW w:w="658" w:type="pct"/>
            <w:tcBorders>
              <w:bottom w:val="nil"/>
            </w:tcBorders>
            <w:noWrap/>
            <w:vAlign w:val="bottom"/>
            <w:hideMark/>
          </w:tcPr>
          <w:p w14:paraId="68DC548E"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13 (1.7%)</w:t>
            </w:r>
          </w:p>
        </w:tc>
        <w:tc>
          <w:tcPr>
            <w:tcW w:w="674" w:type="pct"/>
            <w:tcBorders>
              <w:bottom w:val="nil"/>
            </w:tcBorders>
            <w:noWrap/>
            <w:vAlign w:val="bottom"/>
            <w:hideMark/>
          </w:tcPr>
          <w:p w14:paraId="67A4BAA1"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 (0.8%)</w:t>
            </w:r>
          </w:p>
        </w:tc>
        <w:tc>
          <w:tcPr>
            <w:tcW w:w="648" w:type="pct"/>
            <w:tcBorders>
              <w:bottom w:val="nil"/>
            </w:tcBorders>
            <w:noWrap/>
            <w:vAlign w:val="bottom"/>
            <w:hideMark/>
          </w:tcPr>
          <w:p w14:paraId="359893AC"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6 (0.7%)</w:t>
            </w:r>
          </w:p>
        </w:tc>
        <w:tc>
          <w:tcPr>
            <w:tcW w:w="422" w:type="pct"/>
            <w:tcBorders>
              <w:bottom w:val="nil"/>
              <w:right w:val="nil"/>
            </w:tcBorders>
            <w:noWrap/>
            <w:vAlign w:val="center"/>
            <w:hideMark/>
          </w:tcPr>
          <w:p w14:paraId="3965F784"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25722DA5" w14:textId="77777777" w:rsidTr="00F44DAE">
        <w:tc>
          <w:tcPr>
            <w:tcW w:w="2598" w:type="pct"/>
            <w:tcBorders>
              <w:top w:val="nil"/>
              <w:left w:val="nil"/>
              <w:bottom w:val="nil"/>
            </w:tcBorders>
            <w:noWrap/>
            <w:vAlign w:val="bottom"/>
            <w:hideMark/>
          </w:tcPr>
          <w:p w14:paraId="6C3C4D1C"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Basic Education/Literate</w:t>
            </w:r>
          </w:p>
        </w:tc>
        <w:tc>
          <w:tcPr>
            <w:tcW w:w="658" w:type="pct"/>
            <w:tcBorders>
              <w:top w:val="nil"/>
              <w:bottom w:val="nil"/>
            </w:tcBorders>
            <w:noWrap/>
            <w:vAlign w:val="bottom"/>
            <w:hideMark/>
          </w:tcPr>
          <w:p w14:paraId="60671D70"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294 (39.0%)</w:t>
            </w:r>
          </w:p>
        </w:tc>
        <w:tc>
          <w:tcPr>
            <w:tcW w:w="674" w:type="pct"/>
            <w:tcBorders>
              <w:top w:val="nil"/>
              <w:bottom w:val="nil"/>
            </w:tcBorders>
            <w:noWrap/>
            <w:vAlign w:val="bottom"/>
            <w:hideMark/>
          </w:tcPr>
          <w:p w14:paraId="6EE12BAD"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89 (18.2%)</w:t>
            </w:r>
          </w:p>
        </w:tc>
        <w:tc>
          <w:tcPr>
            <w:tcW w:w="648" w:type="pct"/>
            <w:tcBorders>
              <w:top w:val="nil"/>
              <w:bottom w:val="nil"/>
            </w:tcBorders>
            <w:noWrap/>
            <w:vAlign w:val="bottom"/>
            <w:hideMark/>
          </w:tcPr>
          <w:p w14:paraId="4F556B75"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354 (43.9%)</w:t>
            </w:r>
          </w:p>
        </w:tc>
        <w:tc>
          <w:tcPr>
            <w:tcW w:w="422" w:type="pct"/>
            <w:tcBorders>
              <w:top w:val="nil"/>
              <w:bottom w:val="nil"/>
              <w:right w:val="nil"/>
            </w:tcBorders>
            <w:noWrap/>
            <w:vAlign w:val="center"/>
            <w:hideMark/>
          </w:tcPr>
          <w:p w14:paraId="1B0838A7"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5EAD568B" w14:textId="77777777" w:rsidTr="00F44DAE">
        <w:tc>
          <w:tcPr>
            <w:tcW w:w="2598" w:type="pct"/>
            <w:tcBorders>
              <w:top w:val="nil"/>
              <w:left w:val="nil"/>
              <w:bottom w:val="nil"/>
            </w:tcBorders>
            <w:noWrap/>
            <w:vAlign w:val="bottom"/>
            <w:hideMark/>
          </w:tcPr>
          <w:p w14:paraId="284DD7A7"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Elementary</w:t>
            </w:r>
          </w:p>
        </w:tc>
        <w:tc>
          <w:tcPr>
            <w:tcW w:w="658" w:type="pct"/>
            <w:tcBorders>
              <w:top w:val="nil"/>
              <w:bottom w:val="nil"/>
            </w:tcBorders>
            <w:noWrap/>
            <w:vAlign w:val="bottom"/>
            <w:hideMark/>
          </w:tcPr>
          <w:p w14:paraId="4D56EACC"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109 (14.5%)</w:t>
            </w:r>
          </w:p>
        </w:tc>
        <w:tc>
          <w:tcPr>
            <w:tcW w:w="674" w:type="pct"/>
            <w:tcBorders>
              <w:top w:val="nil"/>
              <w:bottom w:val="nil"/>
            </w:tcBorders>
            <w:noWrap/>
            <w:vAlign w:val="bottom"/>
            <w:hideMark/>
          </w:tcPr>
          <w:p w14:paraId="1A7A78BE"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34 (7.0%)</w:t>
            </w:r>
          </w:p>
        </w:tc>
        <w:tc>
          <w:tcPr>
            <w:tcW w:w="648" w:type="pct"/>
            <w:tcBorders>
              <w:top w:val="nil"/>
              <w:bottom w:val="nil"/>
            </w:tcBorders>
            <w:noWrap/>
            <w:vAlign w:val="bottom"/>
            <w:hideMark/>
          </w:tcPr>
          <w:p w14:paraId="6776C253"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104 (12.9%)</w:t>
            </w:r>
          </w:p>
        </w:tc>
        <w:tc>
          <w:tcPr>
            <w:tcW w:w="422" w:type="pct"/>
            <w:tcBorders>
              <w:top w:val="nil"/>
              <w:bottom w:val="nil"/>
              <w:right w:val="nil"/>
            </w:tcBorders>
            <w:noWrap/>
            <w:vAlign w:val="center"/>
            <w:hideMark/>
          </w:tcPr>
          <w:p w14:paraId="5209D7EC"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31C8BAAE" w14:textId="77777777" w:rsidTr="00F44DAE">
        <w:tc>
          <w:tcPr>
            <w:tcW w:w="2598" w:type="pct"/>
            <w:tcBorders>
              <w:top w:val="nil"/>
              <w:left w:val="nil"/>
              <w:bottom w:val="nil"/>
            </w:tcBorders>
            <w:noWrap/>
            <w:vAlign w:val="bottom"/>
            <w:hideMark/>
          </w:tcPr>
          <w:p w14:paraId="3ADDFC38"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Secondary Education / Vocational Education</w:t>
            </w:r>
          </w:p>
        </w:tc>
        <w:tc>
          <w:tcPr>
            <w:tcW w:w="658" w:type="pct"/>
            <w:tcBorders>
              <w:top w:val="nil"/>
              <w:bottom w:val="nil"/>
            </w:tcBorders>
            <w:noWrap/>
            <w:vAlign w:val="bottom"/>
            <w:hideMark/>
          </w:tcPr>
          <w:p w14:paraId="7121D57F"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250 (33.2%)</w:t>
            </w:r>
          </w:p>
        </w:tc>
        <w:tc>
          <w:tcPr>
            <w:tcW w:w="674" w:type="pct"/>
            <w:tcBorders>
              <w:top w:val="nil"/>
              <w:bottom w:val="nil"/>
            </w:tcBorders>
            <w:noWrap/>
            <w:vAlign w:val="bottom"/>
            <w:hideMark/>
          </w:tcPr>
          <w:p w14:paraId="3A084B38"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182 (37.2%)</w:t>
            </w:r>
          </w:p>
        </w:tc>
        <w:tc>
          <w:tcPr>
            <w:tcW w:w="648" w:type="pct"/>
            <w:tcBorders>
              <w:top w:val="nil"/>
              <w:bottom w:val="nil"/>
            </w:tcBorders>
            <w:noWrap/>
            <w:vAlign w:val="bottom"/>
            <w:hideMark/>
          </w:tcPr>
          <w:p w14:paraId="6B3A7457"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220 (27.3%)</w:t>
            </w:r>
          </w:p>
        </w:tc>
        <w:tc>
          <w:tcPr>
            <w:tcW w:w="422" w:type="pct"/>
            <w:tcBorders>
              <w:top w:val="nil"/>
              <w:bottom w:val="nil"/>
              <w:right w:val="nil"/>
            </w:tcBorders>
            <w:noWrap/>
            <w:vAlign w:val="center"/>
            <w:hideMark/>
          </w:tcPr>
          <w:p w14:paraId="3C8E1502"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36448B1E" w14:textId="77777777" w:rsidTr="00F44DAE">
        <w:tc>
          <w:tcPr>
            <w:tcW w:w="2598" w:type="pct"/>
            <w:tcBorders>
              <w:top w:val="nil"/>
              <w:left w:val="nil"/>
              <w:bottom w:val="nil"/>
            </w:tcBorders>
            <w:noWrap/>
            <w:vAlign w:val="bottom"/>
            <w:hideMark/>
          </w:tcPr>
          <w:p w14:paraId="7CAE6D97"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Diploma</w:t>
            </w:r>
          </w:p>
        </w:tc>
        <w:tc>
          <w:tcPr>
            <w:tcW w:w="658" w:type="pct"/>
            <w:tcBorders>
              <w:top w:val="nil"/>
              <w:bottom w:val="nil"/>
            </w:tcBorders>
            <w:noWrap/>
            <w:vAlign w:val="bottom"/>
            <w:hideMark/>
          </w:tcPr>
          <w:p w14:paraId="4AAF2587"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26 (3.4%)</w:t>
            </w:r>
          </w:p>
        </w:tc>
        <w:tc>
          <w:tcPr>
            <w:tcW w:w="674" w:type="pct"/>
            <w:tcBorders>
              <w:top w:val="nil"/>
              <w:bottom w:val="nil"/>
            </w:tcBorders>
            <w:noWrap/>
            <w:vAlign w:val="bottom"/>
            <w:hideMark/>
          </w:tcPr>
          <w:p w14:paraId="3C3F86A2"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41 (8.4%)</w:t>
            </w:r>
          </w:p>
        </w:tc>
        <w:tc>
          <w:tcPr>
            <w:tcW w:w="648" w:type="pct"/>
            <w:tcBorders>
              <w:top w:val="nil"/>
              <w:bottom w:val="nil"/>
            </w:tcBorders>
            <w:noWrap/>
            <w:vAlign w:val="bottom"/>
            <w:hideMark/>
          </w:tcPr>
          <w:p w14:paraId="6C1CBF7A"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41 (5.1%)</w:t>
            </w:r>
          </w:p>
        </w:tc>
        <w:tc>
          <w:tcPr>
            <w:tcW w:w="422" w:type="pct"/>
            <w:tcBorders>
              <w:top w:val="nil"/>
              <w:bottom w:val="nil"/>
              <w:right w:val="nil"/>
            </w:tcBorders>
            <w:noWrap/>
            <w:vAlign w:val="center"/>
            <w:hideMark/>
          </w:tcPr>
          <w:p w14:paraId="25EAA83A"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20145B08" w14:textId="77777777" w:rsidTr="00F44DAE">
        <w:tc>
          <w:tcPr>
            <w:tcW w:w="2598" w:type="pct"/>
            <w:tcBorders>
              <w:top w:val="nil"/>
              <w:left w:val="nil"/>
              <w:bottom w:val="nil"/>
            </w:tcBorders>
            <w:noWrap/>
            <w:vAlign w:val="bottom"/>
            <w:hideMark/>
          </w:tcPr>
          <w:p w14:paraId="7E99D3C3"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BA &amp; Higher</w:t>
            </w:r>
          </w:p>
        </w:tc>
        <w:tc>
          <w:tcPr>
            <w:tcW w:w="658" w:type="pct"/>
            <w:tcBorders>
              <w:top w:val="nil"/>
              <w:bottom w:val="nil"/>
            </w:tcBorders>
            <w:noWrap/>
            <w:vAlign w:val="bottom"/>
            <w:hideMark/>
          </w:tcPr>
          <w:p w14:paraId="6E5DE62F"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62 (8.2%)</w:t>
            </w:r>
          </w:p>
        </w:tc>
        <w:tc>
          <w:tcPr>
            <w:tcW w:w="674" w:type="pct"/>
            <w:tcBorders>
              <w:top w:val="nil"/>
              <w:bottom w:val="nil"/>
            </w:tcBorders>
            <w:noWrap/>
            <w:vAlign w:val="bottom"/>
            <w:hideMark/>
          </w:tcPr>
          <w:p w14:paraId="23548D24"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139 (28.4%)</w:t>
            </w:r>
          </w:p>
        </w:tc>
        <w:tc>
          <w:tcPr>
            <w:tcW w:w="648" w:type="pct"/>
            <w:tcBorders>
              <w:top w:val="nil"/>
              <w:bottom w:val="nil"/>
            </w:tcBorders>
            <w:noWrap/>
            <w:vAlign w:val="bottom"/>
            <w:hideMark/>
          </w:tcPr>
          <w:p w14:paraId="7DB75F7D"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81 (10.0%)</w:t>
            </w:r>
          </w:p>
        </w:tc>
        <w:tc>
          <w:tcPr>
            <w:tcW w:w="422" w:type="pct"/>
            <w:tcBorders>
              <w:top w:val="nil"/>
              <w:bottom w:val="nil"/>
              <w:right w:val="nil"/>
            </w:tcBorders>
            <w:noWrap/>
            <w:vAlign w:val="center"/>
            <w:hideMark/>
          </w:tcPr>
          <w:p w14:paraId="7ED72E33" w14:textId="77777777" w:rsidR="00F44DAE" w:rsidRPr="00F44DAE" w:rsidRDefault="00F44DAE" w:rsidP="00F44DAE">
            <w:pPr>
              <w:jc w:val="center"/>
              <w:rPr>
                <w:rFonts w:ascii="Aptos" w:eastAsia="Times New Roman" w:hAnsi="Aptos" w:cs="Calibri"/>
                <w:kern w:val="0"/>
                <w:sz w:val="18"/>
                <w:szCs w:val="18"/>
                <w14:ligatures w14:val="none"/>
              </w:rPr>
            </w:pPr>
          </w:p>
        </w:tc>
      </w:tr>
      <w:tr w:rsidR="00F44DAE" w:rsidRPr="00F44DAE" w14:paraId="33681808" w14:textId="77777777" w:rsidTr="00F44DAE">
        <w:tc>
          <w:tcPr>
            <w:tcW w:w="2598" w:type="pct"/>
            <w:tcBorders>
              <w:left w:val="nil"/>
            </w:tcBorders>
            <w:noWrap/>
            <w:vAlign w:val="center"/>
            <w:hideMark/>
          </w:tcPr>
          <w:p w14:paraId="47F5092A"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HH members generating income, mean (SD)</w:t>
            </w:r>
          </w:p>
        </w:tc>
        <w:tc>
          <w:tcPr>
            <w:tcW w:w="658" w:type="pct"/>
            <w:noWrap/>
            <w:vAlign w:val="bottom"/>
            <w:hideMark/>
          </w:tcPr>
          <w:p w14:paraId="1E6D6022"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0.8 (0.6)</w:t>
            </w:r>
          </w:p>
        </w:tc>
        <w:tc>
          <w:tcPr>
            <w:tcW w:w="674" w:type="pct"/>
            <w:noWrap/>
            <w:vAlign w:val="bottom"/>
            <w:hideMark/>
          </w:tcPr>
          <w:p w14:paraId="650DC3F4"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0.6 (0.6)</w:t>
            </w:r>
          </w:p>
        </w:tc>
        <w:tc>
          <w:tcPr>
            <w:tcW w:w="648" w:type="pct"/>
            <w:noWrap/>
            <w:vAlign w:val="bottom"/>
            <w:hideMark/>
          </w:tcPr>
          <w:p w14:paraId="5C234C0B"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0.7 (0.6)</w:t>
            </w:r>
          </w:p>
        </w:tc>
        <w:tc>
          <w:tcPr>
            <w:tcW w:w="422" w:type="pct"/>
            <w:tcBorders>
              <w:right w:val="nil"/>
            </w:tcBorders>
            <w:noWrap/>
            <w:vAlign w:val="center"/>
            <w:hideMark/>
          </w:tcPr>
          <w:p w14:paraId="51292B1F"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33644C46" w14:textId="77777777" w:rsidTr="00F44DAE">
        <w:tc>
          <w:tcPr>
            <w:tcW w:w="2598" w:type="pct"/>
            <w:tcBorders>
              <w:left w:val="nil"/>
            </w:tcBorders>
            <w:noWrap/>
            <w:vAlign w:val="center"/>
            <w:hideMark/>
          </w:tcPr>
          <w:p w14:paraId="3B6EC798"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HH size, median (IQR)</w:t>
            </w:r>
          </w:p>
        </w:tc>
        <w:tc>
          <w:tcPr>
            <w:tcW w:w="658" w:type="pct"/>
            <w:noWrap/>
            <w:vAlign w:val="bottom"/>
            <w:hideMark/>
          </w:tcPr>
          <w:p w14:paraId="23EBE025"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6 (5-7)</w:t>
            </w:r>
          </w:p>
        </w:tc>
        <w:tc>
          <w:tcPr>
            <w:tcW w:w="674" w:type="pct"/>
            <w:noWrap/>
            <w:vAlign w:val="bottom"/>
            <w:hideMark/>
          </w:tcPr>
          <w:p w14:paraId="2B02C1AF"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 (4-7)</w:t>
            </w:r>
          </w:p>
        </w:tc>
        <w:tc>
          <w:tcPr>
            <w:tcW w:w="648" w:type="pct"/>
            <w:noWrap/>
            <w:vAlign w:val="bottom"/>
            <w:hideMark/>
          </w:tcPr>
          <w:p w14:paraId="23CD330A"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7 (6-8)</w:t>
            </w:r>
          </w:p>
        </w:tc>
        <w:tc>
          <w:tcPr>
            <w:tcW w:w="422" w:type="pct"/>
            <w:tcBorders>
              <w:right w:val="nil"/>
            </w:tcBorders>
            <w:noWrap/>
            <w:vAlign w:val="center"/>
            <w:hideMark/>
          </w:tcPr>
          <w:p w14:paraId="122BBFA8"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127D1204" w14:textId="77777777" w:rsidTr="00F44DAE">
        <w:tc>
          <w:tcPr>
            <w:tcW w:w="2598" w:type="pct"/>
            <w:tcBorders>
              <w:left w:val="nil"/>
            </w:tcBorders>
            <w:noWrap/>
            <w:vAlign w:val="center"/>
            <w:hideMark/>
          </w:tcPr>
          <w:p w14:paraId="29CEF4C5"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Average HH age*, mean (SD)</w:t>
            </w:r>
          </w:p>
        </w:tc>
        <w:tc>
          <w:tcPr>
            <w:tcW w:w="658" w:type="pct"/>
            <w:noWrap/>
            <w:vAlign w:val="bottom"/>
            <w:hideMark/>
          </w:tcPr>
          <w:p w14:paraId="0390ED28"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20.1 (16.1)</w:t>
            </w:r>
          </w:p>
        </w:tc>
        <w:tc>
          <w:tcPr>
            <w:tcW w:w="674" w:type="pct"/>
            <w:noWrap/>
            <w:vAlign w:val="bottom"/>
            <w:hideMark/>
          </w:tcPr>
          <w:p w14:paraId="69E6C4DC"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23.7 (17.4)</w:t>
            </w:r>
          </w:p>
        </w:tc>
        <w:tc>
          <w:tcPr>
            <w:tcW w:w="648" w:type="pct"/>
            <w:noWrap/>
            <w:vAlign w:val="bottom"/>
            <w:hideMark/>
          </w:tcPr>
          <w:p w14:paraId="551B2801"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18.4 (15.0)</w:t>
            </w:r>
          </w:p>
        </w:tc>
        <w:tc>
          <w:tcPr>
            <w:tcW w:w="422" w:type="pct"/>
            <w:tcBorders>
              <w:right w:val="nil"/>
            </w:tcBorders>
            <w:noWrap/>
            <w:vAlign w:val="center"/>
            <w:hideMark/>
          </w:tcPr>
          <w:p w14:paraId="0DDA806A"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5C8725AB" w14:textId="77777777" w:rsidTr="00F44DAE">
        <w:tc>
          <w:tcPr>
            <w:tcW w:w="2598" w:type="pct"/>
            <w:tcBorders>
              <w:left w:val="nil"/>
            </w:tcBorders>
            <w:noWrap/>
            <w:vAlign w:val="center"/>
            <w:hideMark/>
          </w:tcPr>
          <w:p w14:paraId="6328DD12"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Proportion of female*, n (%)</w:t>
            </w:r>
          </w:p>
        </w:tc>
        <w:tc>
          <w:tcPr>
            <w:tcW w:w="658" w:type="pct"/>
            <w:noWrap/>
            <w:vAlign w:val="bottom"/>
          </w:tcPr>
          <w:p w14:paraId="31B5EF87"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2,305 (50.1%)</w:t>
            </w:r>
          </w:p>
        </w:tc>
        <w:tc>
          <w:tcPr>
            <w:tcW w:w="674" w:type="pct"/>
            <w:noWrap/>
            <w:vAlign w:val="bottom"/>
          </w:tcPr>
          <w:p w14:paraId="2BB2EEC7"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1,366 (49.9%)</w:t>
            </w:r>
          </w:p>
        </w:tc>
        <w:tc>
          <w:tcPr>
            <w:tcW w:w="648" w:type="pct"/>
            <w:noWrap/>
            <w:vAlign w:val="bottom"/>
          </w:tcPr>
          <w:p w14:paraId="0A7F0EE1"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2,913 (51.0%)</w:t>
            </w:r>
          </w:p>
        </w:tc>
        <w:tc>
          <w:tcPr>
            <w:tcW w:w="422" w:type="pct"/>
            <w:tcBorders>
              <w:right w:val="nil"/>
            </w:tcBorders>
            <w:noWrap/>
            <w:vAlign w:val="center"/>
            <w:hideMark/>
          </w:tcPr>
          <w:p w14:paraId="476A8543"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0.52</w:t>
            </w:r>
          </w:p>
        </w:tc>
      </w:tr>
      <w:tr w:rsidR="00F44DAE" w:rsidRPr="00F44DAE" w14:paraId="535B39C4" w14:textId="77777777" w:rsidTr="00F44DAE">
        <w:tc>
          <w:tcPr>
            <w:tcW w:w="2598" w:type="pct"/>
            <w:tcBorders>
              <w:left w:val="nil"/>
              <w:bottom w:val="single" w:sz="4" w:space="0" w:color="auto"/>
            </w:tcBorders>
            <w:noWrap/>
            <w:vAlign w:val="center"/>
            <w:hideMark/>
          </w:tcPr>
          <w:p w14:paraId="47BCF227"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Marital Status, proportion of**</w:t>
            </w:r>
          </w:p>
        </w:tc>
        <w:tc>
          <w:tcPr>
            <w:tcW w:w="658" w:type="pct"/>
            <w:tcBorders>
              <w:bottom w:val="single" w:sz="4" w:space="0" w:color="auto"/>
            </w:tcBorders>
            <w:noWrap/>
            <w:vAlign w:val="bottom"/>
          </w:tcPr>
          <w:p w14:paraId="36A2A4A0" w14:textId="77777777" w:rsidR="00F44DAE" w:rsidRPr="00F44DAE" w:rsidRDefault="00F44DAE" w:rsidP="00F44DAE">
            <w:pPr>
              <w:jc w:val="center"/>
              <w:rPr>
                <w:rFonts w:ascii="Aptos" w:eastAsia="Times New Roman" w:hAnsi="Aptos" w:cs="Times New Roman"/>
                <w:kern w:val="0"/>
                <w:sz w:val="18"/>
                <w:szCs w:val="18"/>
                <w14:ligatures w14:val="none"/>
              </w:rPr>
            </w:pPr>
          </w:p>
        </w:tc>
        <w:tc>
          <w:tcPr>
            <w:tcW w:w="674" w:type="pct"/>
            <w:tcBorders>
              <w:bottom w:val="single" w:sz="4" w:space="0" w:color="auto"/>
            </w:tcBorders>
            <w:noWrap/>
            <w:vAlign w:val="bottom"/>
          </w:tcPr>
          <w:p w14:paraId="18925B87" w14:textId="77777777" w:rsidR="00F44DAE" w:rsidRPr="00F44DAE" w:rsidRDefault="00F44DAE" w:rsidP="00F44DAE">
            <w:pPr>
              <w:jc w:val="center"/>
              <w:rPr>
                <w:rFonts w:ascii="Aptos" w:eastAsia="Times New Roman" w:hAnsi="Aptos" w:cs="Times New Roman"/>
                <w:kern w:val="0"/>
                <w:sz w:val="18"/>
                <w:szCs w:val="18"/>
                <w14:ligatures w14:val="none"/>
              </w:rPr>
            </w:pPr>
          </w:p>
        </w:tc>
        <w:tc>
          <w:tcPr>
            <w:tcW w:w="648" w:type="pct"/>
            <w:tcBorders>
              <w:bottom w:val="single" w:sz="4" w:space="0" w:color="auto"/>
            </w:tcBorders>
            <w:noWrap/>
            <w:vAlign w:val="bottom"/>
          </w:tcPr>
          <w:p w14:paraId="41CE15DF" w14:textId="77777777" w:rsidR="00F44DAE" w:rsidRPr="00F44DAE" w:rsidRDefault="00F44DAE" w:rsidP="00F44DAE">
            <w:pPr>
              <w:jc w:val="center"/>
              <w:rPr>
                <w:rFonts w:ascii="Aptos" w:eastAsia="Times New Roman" w:hAnsi="Aptos" w:cs="Times New Roman"/>
                <w:kern w:val="0"/>
                <w:sz w:val="18"/>
                <w:szCs w:val="18"/>
                <w14:ligatures w14:val="none"/>
              </w:rPr>
            </w:pPr>
          </w:p>
        </w:tc>
        <w:tc>
          <w:tcPr>
            <w:tcW w:w="422" w:type="pct"/>
            <w:tcBorders>
              <w:bottom w:val="single" w:sz="4" w:space="0" w:color="auto"/>
              <w:right w:val="nil"/>
            </w:tcBorders>
            <w:noWrap/>
            <w:vAlign w:val="center"/>
            <w:hideMark/>
          </w:tcPr>
          <w:p w14:paraId="1A29DEF6" w14:textId="77777777" w:rsidR="00F44DAE" w:rsidRPr="00F44DAE" w:rsidRDefault="00F44DAE" w:rsidP="00F44DAE">
            <w:pPr>
              <w:jc w:val="center"/>
              <w:rPr>
                <w:rFonts w:ascii="Aptos" w:eastAsia="Times New Roman" w:hAnsi="Aptos" w:cs="Times New Roman"/>
                <w:kern w:val="0"/>
                <w:sz w:val="18"/>
                <w:szCs w:val="18"/>
                <w14:ligatures w14:val="none"/>
              </w:rPr>
            </w:pPr>
          </w:p>
        </w:tc>
      </w:tr>
      <w:tr w:rsidR="00F44DAE" w:rsidRPr="00F44DAE" w14:paraId="4AAC295D" w14:textId="77777777" w:rsidTr="00F44DAE">
        <w:tc>
          <w:tcPr>
            <w:tcW w:w="2598" w:type="pct"/>
            <w:tcBorders>
              <w:left w:val="nil"/>
              <w:bottom w:val="nil"/>
            </w:tcBorders>
            <w:noWrap/>
            <w:vAlign w:val="bottom"/>
            <w:hideMark/>
          </w:tcPr>
          <w:p w14:paraId="6DC3E918"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Single</w:t>
            </w:r>
          </w:p>
        </w:tc>
        <w:tc>
          <w:tcPr>
            <w:tcW w:w="658" w:type="pct"/>
            <w:tcBorders>
              <w:bottom w:val="nil"/>
            </w:tcBorders>
            <w:noWrap/>
            <w:vAlign w:val="bottom"/>
            <w:hideMark/>
          </w:tcPr>
          <w:p w14:paraId="0FD23635"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506 (24.2%)</w:t>
            </w:r>
          </w:p>
        </w:tc>
        <w:tc>
          <w:tcPr>
            <w:tcW w:w="674" w:type="pct"/>
            <w:tcBorders>
              <w:bottom w:val="nil"/>
            </w:tcBorders>
            <w:noWrap/>
            <w:vAlign w:val="bottom"/>
            <w:hideMark/>
          </w:tcPr>
          <w:p w14:paraId="0E7645BB"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488 (33.2%)</w:t>
            </w:r>
          </w:p>
        </w:tc>
        <w:tc>
          <w:tcPr>
            <w:tcW w:w="648" w:type="pct"/>
            <w:tcBorders>
              <w:bottom w:val="nil"/>
            </w:tcBorders>
            <w:noWrap/>
            <w:vAlign w:val="bottom"/>
            <w:hideMark/>
          </w:tcPr>
          <w:p w14:paraId="6A5DCC6E"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477 (22.4%)</w:t>
            </w:r>
          </w:p>
        </w:tc>
        <w:tc>
          <w:tcPr>
            <w:tcW w:w="422" w:type="pct"/>
            <w:tcBorders>
              <w:bottom w:val="nil"/>
              <w:right w:val="nil"/>
            </w:tcBorders>
            <w:noWrap/>
            <w:vAlign w:val="center"/>
            <w:hideMark/>
          </w:tcPr>
          <w:p w14:paraId="2B788C53"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1D1CE501" w14:textId="77777777" w:rsidTr="00F44DAE">
        <w:tc>
          <w:tcPr>
            <w:tcW w:w="2598" w:type="pct"/>
            <w:tcBorders>
              <w:top w:val="nil"/>
              <w:left w:val="nil"/>
              <w:bottom w:val="nil"/>
            </w:tcBorders>
            <w:noWrap/>
            <w:vAlign w:val="bottom"/>
            <w:hideMark/>
          </w:tcPr>
          <w:p w14:paraId="49BBAD20"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Married</w:t>
            </w:r>
          </w:p>
        </w:tc>
        <w:tc>
          <w:tcPr>
            <w:tcW w:w="658" w:type="pct"/>
            <w:tcBorders>
              <w:top w:val="nil"/>
              <w:bottom w:val="nil"/>
            </w:tcBorders>
            <w:noWrap/>
            <w:vAlign w:val="bottom"/>
            <w:hideMark/>
          </w:tcPr>
          <w:p w14:paraId="3FED8462"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1,466 (70.2%)</w:t>
            </w:r>
          </w:p>
        </w:tc>
        <w:tc>
          <w:tcPr>
            <w:tcW w:w="674" w:type="pct"/>
            <w:tcBorders>
              <w:top w:val="nil"/>
              <w:bottom w:val="nil"/>
            </w:tcBorders>
            <w:noWrap/>
            <w:vAlign w:val="bottom"/>
            <w:hideMark/>
          </w:tcPr>
          <w:p w14:paraId="15FC82B0"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904 (61.5%)</w:t>
            </w:r>
          </w:p>
        </w:tc>
        <w:tc>
          <w:tcPr>
            <w:tcW w:w="648" w:type="pct"/>
            <w:tcBorders>
              <w:top w:val="nil"/>
              <w:bottom w:val="nil"/>
            </w:tcBorders>
            <w:noWrap/>
            <w:vAlign w:val="bottom"/>
            <w:hideMark/>
          </w:tcPr>
          <w:p w14:paraId="132E60AC"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1,537 (72.3%)</w:t>
            </w:r>
          </w:p>
        </w:tc>
        <w:tc>
          <w:tcPr>
            <w:tcW w:w="422" w:type="pct"/>
            <w:tcBorders>
              <w:top w:val="nil"/>
              <w:bottom w:val="nil"/>
              <w:right w:val="nil"/>
            </w:tcBorders>
            <w:noWrap/>
            <w:vAlign w:val="center"/>
          </w:tcPr>
          <w:p w14:paraId="753F6BF1" w14:textId="77777777" w:rsidR="00F44DAE" w:rsidRPr="00F44DAE" w:rsidRDefault="00F44DAE" w:rsidP="00F44DAE">
            <w:pPr>
              <w:jc w:val="center"/>
              <w:rPr>
                <w:rFonts w:ascii="Aptos" w:eastAsia="Times New Roman" w:hAnsi="Aptos" w:cs="Calibri"/>
                <w:b/>
                <w:bCs/>
                <w:kern w:val="0"/>
                <w:sz w:val="18"/>
                <w:szCs w:val="18"/>
                <w14:ligatures w14:val="none"/>
              </w:rPr>
            </w:pPr>
          </w:p>
        </w:tc>
      </w:tr>
      <w:tr w:rsidR="00F44DAE" w:rsidRPr="00F44DAE" w14:paraId="44979621" w14:textId="77777777" w:rsidTr="00F44DAE">
        <w:tc>
          <w:tcPr>
            <w:tcW w:w="2598" w:type="pct"/>
            <w:tcBorders>
              <w:top w:val="nil"/>
              <w:left w:val="nil"/>
              <w:bottom w:val="nil"/>
            </w:tcBorders>
            <w:noWrap/>
            <w:vAlign w:val="bottom"/>
            <w:hideMark/>
          </w:tcPr>
          <w:p w14:paraId="788A12C7"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Divorced / Separated</w:t>
            </w:r>
          </w:p>
        </w:tc>
        <w:tc>
          <w:tcPr>
            <w:tcW w:w="658" w:type="pct"/>
            <w:tcBorders>
              <w:top w:val="nil"/>
              <w:bottom w:val="nil"/>
            </w:tcBorders>
            <w:noWrap/>
            <w:vAlign w:val="bottom"/>
            <w:hideMark/>
          </w:tcPr>
          <w:p w14:paraId="63FF5E11"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50 (2.4%)</w:t>
            </w:r>
          </w:p>
        </w:tc>
        <w:tc>
          <w:tcPr>
            <w:tcW w:w="674" w:type="pct"/>
            <w:tcBorders>
              <w:top w:val="nil"/>
              <w:bottom w:val="nil"/>
            </w:tcBorders>
            <w:noWrap/>
            <w:vAlign w:val="bottom"/>
            <w:hideMark/>
          </w:tcPr>
          <w:p w14:paraId="56C8A317"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43 (2.9%)</w:t>
            </w:r>
          </w:p>
        </w:tc>
        <w:tc>
          <w:tcPr>
            <w:tcW w:w="648" w:type="pct"/>
            <w:tcBorders>
              <w:top w:val="nil"/>
              <w:bottom w:val="nil"/>
            </w:tcBorders>
            <w:noWrap/>
            <w:vAlign w:val="bottom"/>
            <w:hideMark/>
          </w:tcPr>
          <w:p w14:paraId="6A259F4A"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51 (2.4%)</w:t>
            </w:r>
          </w:p>
        </w:tc>
        <w:tc>
          <w:tcPr>
            <w:tcW w:w="422" w:type="pct"/>
            <w:tcBorders>
              <w:top w:val="nil"/>
              <w:bottom w:val="nil"/>
              <w:right w:val="nil"/>
            </w:tcBorders>
            <w:noWrap/>
            <w:vAlign w:val="center"/>
          </w:tcPr>
          <w:p w14:paraId="405CD657" w14:textId="77777777" w:rsidR="00F44DAE" w:rsidRPr="00F44DAE" w:rsidRDefault="00F44DAE" w:rsidP="00F44DAE">
            <w:pPr>
              <w:jc w:val="center"/>
              <w:rPr>
                <w:rFonts w:ascii="Aptos" w:eastAsia="Times New Roman" w:hAnsi="Aptos" w:cs="Calibri"/>
                <w:b/>
                <w:bCs/>
                <w:kern w:val="0"/>
                <w:sz w:val="18"/>
                <w:szCs w:val="18"/>
                <w14:ligatures w14:val="none"/>
              </w:rPr>
            </w:pPr>
          </w:p>
        </w:tc>
      </w:tr>
      <w:tr w:rsidR="00F44DAE" w:rsidRPr="00F44DAE" w14:paraId="30CB150E" w14:textId="77777777" w:rsidTr="00F44DAE">
        <w:tc>
          <w:tcPr>
            <w:tcW w:w="2598" w:type="pct"/>
            <w:tcBorders>
              <w:top w:val="nil"/>
              <w:left w:val="nil"/>
              <w:bottom w:val="nil"/>
            </w:tcBorders>
            <w:noWrap/>
            <w:vAlign w:val="bottom"/>
            <w:hideMark/>
          </w:tcPr>
          <w:p w14:paraId="0667579E"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Widowed</w:t>
            </w:r>
          </w:p>
        </w:tc>
        <w:tc>
          <w:tcPr>
            <w:tcW w:w="658" w:type="pct"/>
            <w:tcBorders>
              <w:top w:val="nil"/>
              <w:bottom w:val="nil"/>
            </w:tcBorders>
            <w:noWrap/>
            <w:vAlign w:val="bottom"/>
            <w:hideMark/>
          </w:tcPr>
          <w:p w14:paraId="459903E4"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66 (3.2%)</w:t>
            </w:r>
          </w:p>
        </w:tc>
        <w:tc>
          <w:tcPr>
            <w:tcW w:w="674" w:type="pct"/>
            <w:tcBorders>
              <w:top w:val="nil"/>
              <w:bottom w:val="nil"/>
            </w:tcBorders>
            <w:noWrap/>
            <w:vAlign w:val="bottom"/>
            <w:hideMark/>
          </w:tcPr>
          <w:p w14:paraId="1A372436"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34 (2.3%)</w:t>
            </w:r>
          </w:p>
        </w:tc>
        <w:tc>
          <w:tcPr>
            <w:tcW w:w="648" w:type="pct"/>
            <w:tcBorders>
              <w:top w:val="nil"/>
              <w:bottom w:val="nil"/>
            </w:tcBorders>
            <w:noWrap/>
            <w:vAlign w:val="bottom"/>
            <w:hideMark/>
          </w:tcPr>
          <w:p w14:paraId="5074F20D"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57 (2.7%)</w:t>
            </w:r>
          </w:p>
        </w:tc>
        <w:tc>
          <w:tcPr>
            <w:tcW w:w="422" w:type="pct"/>
            <w:tcBorders>
              <w:top w:val="nil"/>
              <w:bottom w:val="nil"/>
              <w:right w:val="nil"/>
            </w:tcBorders>
            <w:noWrap/>
            <w:vAlign w:val="center"/>
          </w:tcPr>
          <w:p w14:paraId="3176ACAC" w14:textId="77777777" w:rsidR="00F44DAE" w:rsidRPr="00F44DAE" w:rsidRDefault="00F44DAE" w:rsidP="00F44DAE">
            <w:pPr>
              <w:jc w:val="center"/>
              <w:rPr>
                <w:rFonts w:ascii="Aptos" w:eastAsia="Times New Roman" w:hAnsi="Aptos" w:cs="Calibri"/>
                <w:b/>
                <w:bCs/>
                <w:kern w:val="0"/>
                <w:sz w:val="18"/>
                <w:szCs w:val="18"/>
                <w14:ligatures w14:val="none"/>
              </w:rPr>
            </w:pPr>
          </w:p>
        </w:tc>
      </w:tr>
      <w:tr w:rsidR="00F44DAE" w:rsidRPr="00F44DAE" w14:paraId="2EEE6D5F" w14:textId="77777777" w:rsidTr="00F44DAE">
        <w:tc>
          <w:tcPr>
            <w:tcW w:w="2598" w:type="pct"/>
            <w:tcBorders>
              <w:top w:val="nil"/>
              <w:left w:val="nil"/>
            </w:tcBorders>
            <w:noWrap/>
            <w:vAlign w:val="bottom"/>
          </w:tcPr>
          <w:p w14:paraId="79F39A5E" w14:textId="77777777" w:rsidR="00F44DAE" w:rsidRPr="00F44DAE" w:rsidRDefault="00F44DAE" w:rsidP="00F44DAE">
            <w:pPr>
              <w:jc w:val="right"/>
              <w:rPr>
                <w:rFonts w:ascii="Aptos" w:eastAsia="Times New Roman" w:hAnsi="Aptos" w:cs="Calibri"/>
                <w:i/>
                <w:iCs/>
                <w:kern w:val="0"/>
                <w:sz w:val="18"/>
                <w:szCs w:val="18"/>
                <w14:ligatures w14:val="none"/>
              </w:rPr>
            </w:pPr>
            <w:r w:rsidRPr="00F44DAE">
              <w:rPr>
                <w:rFonts w:ascii="Aptos" w:hAnsi="Aptos" w:cs="Calibri"/>
                <w:i/>
                <w:iCs/>
                <w:sz w:val="18"/>
                <w:szCs w:val="18"/>
              </w:rPr>
              <w:t>Other</w:t>
            </w:r>
          </w:p>
        </w:tc>
        <w:tc>
          <w:tcPr>
            <w:tcW w:w="658" w:type="pct"/>
            <w:tcBorders>
              <w:top w:val="nil"/>
            </w:tcBorders>
            <w:noWrap/>
            <w:vAlign w:val="bottom"/>
          </w:tcPr>
          <w:p w14:paraId="1175F1A7" w14:textId="77777777" w:rsidR="00F44DAE" w:rsidRPr="00F44DAE" w:rsidRDefault="00F44DAE" w:rsidP="00F44DAE">
            <w:pPr>
              <w:jc w:val="center"/>
              <w:rPr>
                <w:rFonts w:ascii="Aptos" w:hAnsi="Aptos" w:cs="Calibri"/>
                <w:sz w:val="18"/>
                <w:szCs w:val="18"/>
              </w:rPr>
            </w:pPr>
            <w:r w:rsidRPr="00F44DAE">
              <w:rPr>
                <w:rFonts w:ascii="Aptos" w:hAnsi="Aptos" w:cs="Calibri"/>
                <w:sz w:val="18"/>
                <w:szCs w:val="18"/>
              </w:rPr>
              <w:t>0 (0.0%)</w:t>
            </w:r>
          </w:p>
        </w:tc>
        <w:tc>
          <w:tcPr>
            <w:tcW w:w="674" w:type="pct"/>
            <w:tcBorders>
              <w:top w:val="nil"/>
            </w:tcBorders>
            <w:noWrap/>
            <w:vAlign w:val="bottom"/>
          </w:tcPr>
          <w:p w14:paraId="74C43D8D" w14:textId="77777777" w:rsidR="00F44DAE" w:rsidRPr="00F44DAE" w:rsidRDefault="00F44DAE" w:rsidP="00F44DAE">
            <w:pPr>
              <w:jc w:val="center"/>
              <w:rPr>
                <w:rFonts w:ascii="Aptos" w:hAnsi="Aptos" w:cs="Calibri"/>
                <w:sz w:val="18"/>
                <w:szCs w:val="18"/>
              </w:rPr>
            </w:pPr>
            <w:r w:rsidRPr="00F44DAE">
              <w:rPr>
                <w:rFonts w:ascii="Aptos" w:hAnsi="Aptos" w:cs="Calibri"/>
                <w:sz w:val="18"/>
                <w:szCs w:val="18"/>
              </w:rPr>
              <w:t>2 (0.1%)</w:t>
            </w:r>
          </w:p>
        </w:tc>
        <w:tc>
          <w:tcPr>
            <w:tcW w:w="648" w:type="pct"/>
            <w:tcBorders>
              <w:top w:val="nil"/>
            </w:tcBorders>
            <w:noWrap/>
            <w:vAlign w:val="bottom"/>
          </w:tcPr>
          <w:p w14:paraId="277A38AB" w14:textId="77777777" w:rsidR="00F44DAE" w:rsidRPr="00F44DAE" w:rsidRDefault="00F44DAE" w:rsidP="00F44DAE">
            <w:pPr>
              <w:jc w:val="center"/>
              <w:rPr>
                <w:rFonts w:ascii="Aptos" w:hAnsi="Aptos" w:cs="Calibri"/>
                <w:sz w:val="18"/>
                <w:szCs w:val="18"/>
              </w:rPr>
            </w:pPr>
            <w:r w:rsidRPr="00F44DAE">
              <w:rPr>
                <w:rFonts w:ascii="Aptos" w:hAnsi="Aptos" w:cs="Calibri"/>
                <w:sz w:val="18"/>
                <w:szCs w:val="18"/>
              </w:rPr>
              <w:t>4 (0.2%)</w:t>
            </w:r>
          </w:p>
        </w:tc>
        <w:tc>
          <w:tcPr>
            <w:tcW w:w="422" w:type="pct"/>
            <w:tcBorders>
              <w:top w:val="nil"/>
              <w:right w:val="nil"/>
            </w:tcBorders>
            <w:noWrap/>
            <w:vAlign w:val="center"/>
          </w:tcPr>
          <w:p w14:paraId="16DCC7EC" w14:textId="77777777" w:rsidR="00F44DAE" w:rsidRPr="00F44DAE" w:rsidRDefault="00F44DAE" w:rsidP="00F44DAE">
            <w:pPr>
              <w:jc w:val="center"/>
              <w:rPr>
                <w:rFonts w:ascii="Aptos" w:eastAsia="Times New Roman" w:hAnsi="Aptos" w:cs="Calibri"/>
                <w:b/>
                <w:bCs/>
                <w:kern w:val="0"/>
                <w:sz w:val="18"/>
                <w:szCs w:val="18"/>
                <w14:ligatures w14:val="none"/>
              </w:rPr>
            </w:pPr>
          </w:p>
        </w:tc>
      </w:tr>
      <w:tr w:rsidR="00F44DAE" w:rsidRPr="00F44DAE" w14:paraId="75A3CCF6" w14:textId="77777777" w:rsidTr="00F44DAE">
        <w:tc>
          <w:tcPr>
            <w:tcW w:w="2598" w:type="pct"/>
            <w:tcBorders>
              <w:left w:val="nil"/>
            </w:tcBorders>
            <w:noWrap/>
            <w:vAlign w:val="center"/>
            <w:hideMark/>
          </w:tcPr>
          <w:p w14:paraId="0BE697AD"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Proportion of the study population with disability*, n (%)</w:t>
            </w:r>
          </w:p>
        </w:tc>
        <w:tc>
          <w:tcPr>
            <w:tcW w:w="658" w:type="pct"/>
            <w:noWrap/>
            <w:vAlign w:val="bottom"/>
            <w:hideMark/>
          </w:tcPr>
          <w:p w14:paraId="28558A3C"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339 (7.4%)</w:t>
            </w:r>
          </w:p>
        </w:tc>
        <w:tc>
          <w:tcPr>
            <w:tcW w:w="674" w:type="pct"/>
            <w:noWrap/>
            <w:vAlign w:val="bottom"/>
            <w:hideMark/>
          </w:tcPr>
          <w:p w14:paraId="74A4F716"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279 (10.2%)</w:t>
            </w:r>
          </w:p>
        </w:tc>
        <w:tc>
          <w:tcPr>
            <w:tcW w:w="648" w:type="pct"/>
            <w:noWrap/>
            <w:vAlign w:val="bottom"/>
            <w:hideMark/>
          </w:tcPr>
          <w:p w14:paraId="77A7F848"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460 (8.1%)</w:t>
            </w:r>
          </w:p>
        </w:tc>
        <w:tc>
          <w:tcPr>
            <w:tcW w:w="422" w:type="pct"/>
            <w:tcBorders>
              <w:right w:val="nil"/>
            </w:tcBorders>
            <w:noWrap/>
            <w:vAlign w:val="center"/>
            <w:hideMark/>
          </w:tcPr>
          <w:p w14:paraId="01ECD493"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7A4B082A" w14:textId="77777777" w:rsidTr="00F44DAE">
        <w:tc>
          <w:tcPr>
            <w:tcW w:w="2598" w:type="pct"/>
            <w:tcBorders>
              <w:left w:val="nil"/>
            </w:tcBorders>
            <w:noWrap/>
            <w:vAlign w:val="center"/>
            <w:hideMark/>
          </w:tcPr>
          <w:p w14:paraId="27FAF71A"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Proportion of the study population with chronic condition*, n (%)</w:t>
            </w:r>
          </w:p>
        </w:tc>
        <w:tc>
          <w:tcPr>
            <w:tcW w:w="658" w:type="pct"/>
            <w:noWrap/>
            <w:vAlign w:val="bottom"/>
            <w:hideMark/>
          </w:tcPr>
          <w:p w14:paraId="61E662E8"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665 (14.5%)</w:t>
            </w:r>
          </w:p>
        </w:tc>
        <w:tc>
          <w:tcPr>
            <w:tcW w:w="674" w:type="pct"/>
            <w:noWrap/>
            <w:vAlign w:val="bottom"/>
            <w:hideMark/>
          </w:tcPr>
          <w:p w14:paraId="5E6D3C8A"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511 (18.7%)</w:t>
            </w:r>
          </w:p>
        </w:tc>
        <w:tc>
          <w:tcPr>
            <w:tcW w:w="648" w:type="pct"/>
            <w:noWrap/>
            <w:vAlign w:val="bottom"/>
            <w:hideMark/>
          </w:tcPr>
          <w:p w14:paraId="1FB8674E"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609 (10.7%)</w:t>
            </w:r>
          </w:p>
        </w:tc>
        <w:tc>
          <w:tcPr>
            <w:tcW w:w="422" w:type="pct"/>
            <w:tcBorders>
              <w:right w:val="nil"/>
            </w:tcBorders>
            <w:noWrap/>
            <w:vAlign w:val="center"/>
            <w:hideMark/>
          </w:tcPr>
          <w:p w14:paraId="005FE7C4"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46A3CAB5" w14:textId="77777777" w:rsidTr="00F44DAE">
        <w:tc>
          <w:tcPr>
            <w:tcW w:w="2598" w:type="pct"/>
            <w:tcBorders>
              <w:left w:val="nil"/>
            </w:tcBorders>
            <w:noWrap/>
            <w:vAlign w:val="center"/>
          </w:tcPr>
          <w:p w14:paraId="2B853BC8"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Proportion of women who are pregnant**, n (%)</w:t>
            </w:r>
          </w:p>
        </w:tc>
        <w:tc>
          <w:tcPr>
            <w:tcW w:w="658" w:type="pct"/>
            <w:noWrap/>
            <w:vAlign w:val="bottom"/>
          </w:tcPr>
          <w:p w14:paraId="31532792"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488 (64.0%)</w:t>
            </w:r>
          </w:p>
        </w:tc>
        <w:tc>
          <w:tcPr>
            <w:tcW w:w="674" w:type="pct"/>
            <w:noWrap/>
            <w:vAlign w:val="bottom"/>
          </w:tcPr>
          <w:p w14:paraId="5E21E38E"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226 (53.6%)</w:t>
            </w:r>
          </w:p>
        </w:tc>
        <w:tc>
          <w:tcPr>
            <w:tcW w:w="648" w:type="pct"/>
            <w:noWrap/>
            <w:vAlign w:val="bottom"/>
          </w:tcPr>
          <w:p w14:paraId="55239E6B"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563 (69.1%)</w:t>
            </w:r>
          </w:p>
        </w:tc>
        <w:tc>
          <w:tcPr>
            <w:tcW w:w="422" w:type="pct"/>
            <w:tcBorders>
              <w:right w:val="nil"/>
            </w:tcBorders>
            <w:noWrap/>
            <w:vAlign w:val="center"/>
          </w:tcPr>
          <w:p w14:paraId="528154EC"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5368E12C" w14:textId="77777777" w:rsidTr="00F44DAE">
        <w:tc>
          <w:tcPr>
            <w:tcW w:w="2598" w:type="pct"/>
            <w:tcBorders>
              <w:left w:val="nil"/>
            </w:tcBorders>
            <w:noWrap/>
            <w:vAlign w:val="center"/>
          </w:tcPr>
          <w:p w14:paraId="14A46DF4"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Proportion of HHs with at least one child under 5</w:t>
            </w:r>
          </w:p>
        </w:tc>
        <w:tc>
          <w:tcPr>
            <w:tcW w:w="658" w:type="pct"/>
            <w:noWrap/>
            <w:vAlign w:val="bottom"/>
          </w:tcPr>
          <w:p w14:paraId="031AE836"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480 (63.7%)</w:t>
            </w:r>
          </w:p>
        </w:tc>
        <w:tc>
          <w:tcPr>
            <w:tcW w:w="674" w:type="pct"/>
            <w:noWrap/>
            <w:vAlign w:val="bottom"/>
          </w:tcPr>
          <w:p w14:paraId="3A4B066E"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229 (46.8%)</w:t>
            </w:r>
          </w:p>
        </w:tc>
        <w:tc>
          <w:tcPr>
            <w:tcW w:w="648" w:type="pct"/>
            <w:noWrap/>
            <w:vAlign w:val="bottom"/>
          </w:tcPr>
          <w:p w14:paraId="6B42873F"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564 (70.0%)</w:t>
            </w:r>
          </w:p>
        </w:tc>
        <w:tc>
          <w:tcPr>
            <w:tcW w:w="422" w:type="pct"/>
            <w:tcBorders>
              <w:right w:val="nil"/>
            </w:tcBorders>
            <w:noWrap/>
            <w:vAlign w:val="center"/>
          </w:tcPr>
          <w:p w14:paraId="724B7232"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4F524D81" w14:textId="77777777" w:rsidTr="00F44DAE">
        <w:tc>
          <w:tcPr>
            <w:tcW w:w="2598" w:type="pct"/>
            <w:tcBorders>
              <w:left w:val="nil"/>
            </w:tcBorders>
            <w:noWrap/>
            <w:vAlign w:val="center"/>
          </w:tcPr>
          <w:p w14:paraId="79933C4F"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Proportion of HHs with at least one pregnant woman</w:t>
            </w:r>
          </w:p>
        </w:tc>
        <w:tc>
          <w:tcPr>
            <w:tcW w:w="658" w:type="pct"/>
            <w:noWrap/>
            <w:vAlign w:val="bottom"/>
          </w:tcPr>
          <w:p w14:paraId="207D8F0C"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467 (61.9%)</w:t>
            </w:r>
          </w:p>
        </w:tc>
        <w:tc>
          <w:tcPr>
            <w:tcW w:w="674" w:type="pct"/>
            <w:noWrap/>
            <w:vAlign w:val="bottom"/>
          </w:tcPr>
          <w:p w14:paraId="0BE58BDD"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546 (67.7%)</w:t>
            </w:r>
          </w:p>
        </w:tc>
        <w:tc>
          <w:tcPr>
            <w:tcW w:w="648" w:type="pct"/>
            <w:noWrap/>
            <w:vAlign w:val="bottom"/>
          </w:tcPr>
          <w:p w14:paraId="00336239"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218 (44.6%)</w:t>
            </w:r>
          </w:p>
        </w:tc>
        <w:tc>
          <w:tcPr>
            <w:tcW w:w="422" w:type="pct"/>
            <w:tcBorders>
              <w:right w:val="nil"/>
            </w:tcBorders>
            <w:noWrap/>
            <w:vAlign w:val="center"/>
          </w:tcPr>
          <w:p w14:paraId="4E4BDC61" w14:textId="77777777" w:rsidR="00F44DAE" w:rsidRPr="00F44DAE" w:rsidRDefault="00F44DAE" w:rsidP="00F44DAE">
            <w:pPr>
              <w:jc w:val="center"/>
              <w:rPr>
                <w:rFonts w:ascii="Aptos" w:eastAsia="Times New Roman" w:hAnsi="Aptos" w:cs="Calibri"/>
                <w:b/>
                <w:bCs/>
                <w:kern w:val="0"/>
                <w:sz w:val="18"/>
                <w:szCs w:val="18"/>
                <w14:ligatures w14:val="none"/>
              </w:rPr>
            </w:pPr>
            <w:r w:rsidRPr="00F44DAE">
              <w:rPr>
                <w:rFonts w:ascii="Aptos" w:eastAsia="Times New Roman" w:hAnsi="Aptos" w:cs="Calibri"/>
                <w:b/>
                <w:bCs/>
                <w:kern w:val="0"/>
                <w:sz w:val="18"/>
                <w:szCs w:val="18"/>
                <w14:ligatures w14:val="none"/>
              </w:rPr>
              <w:t>&lt;0.001</w:t>
            </w:r>
          </w:p>
        </w:tc>
      </w:tr>
      <w:tr w:rsidR="00F44DAE" w:rsidRPr="00F44DAE" w14:paraId="047F6BFF" w14:textId="77777777" w:rsidTr="00F44DAE">
        <w:tc>
          <w:tcPr>
            <w:tcW w:w="2598" w:type="pct"/>
            <w:tcBorders>
              <w:left w:val="nil"/>
            </w:tcBorders>
            <w:noWrap/>
            <w:vAlign w:val="center"/>
          </w:tcPr>
          <w:p w14:paraId="2374350B" w14:textId="77777777" w:rsidR="00F44DAE" w:rsidRPr="00F44DAE" w:rsidRDefault="00F44DAE" w:rsidP="00F44DAE">
            <w:pPr>
              <w:rPr>
                <w:rFonts w:ascii="Aptos" w:eastAsia="Times New Roman" w:hAnsi="Aptos" w:cs="Calibri"/>
                <w:kern w:val="0"/>
                <w:sz w:val="18"/>
                <w:szCs w:val="18"/>
                <w14:ligatures w14:val="none"/>
              </w:rPr>
            </w:pPr>
            <w:r w:rsidRPr="00F44DAE">
              <w:rPr>
                <w:rFonts w:ascii="Aptos" w:eastAsia="Times New Roman" w:hAnsi="Aptos" w:cs="Calibri"/>
                <w:kern w:val="0"/>
                <w:sz w:val="18"/>
                <w:szCs w:val="18"/>
                <w14:ligatures w14:val="none"/>
              </w:rPr>
              <w:t>Proportion of HHs with at least one chronic disease</w:t>
            </w:r>
          </w:p>
        </w:tc>
        <w:tc>
          <w:tcPr>
            <w:tcW w:w="658" w:type="pct"/>
            <w:noWrap/>
            <w:vAlign w:val="bottom"/>
          </w:tcPr>
          <w:p w14:paraId="3C239F0B"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498 (66.0%)</w:t>
            </w:r>
          </w:p>
        </w:tc>
        <w:tc>
          <w:tcPr>
            <w:tcW w:w="674" w:type="pct"/>
            <w:noWrap/>
            <w:vAlign w:val="bottom"/>
          </w:tcPr>
          <w:p w14:paraId="3D993DBE"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523 (64.9%)</w:t>
            </w:r>
          </w:p>
        </w:tc>
        <w:tc>
          <w:tcPr>
            <w:tcW w:w="648" w:type="pct"/>
            <w:noWrap/>
            <w:vAlign w:val="bottom"/>
          </w:tcPr>
          <w:p w14:paraId="3AE26635"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hAnsi="Aptos" w:cs="Calibri"/>
                <w:sz w:val="18"/>
                <w:szCs w:val="18"/>
              </w:rPr>
              <w:t>366 (74.8%)</w:t>
            </w:r>
          </w:p>
        </w:tc>
        <w:tc>
          <w:tcPr>
            <w:tcW w:w="422" w:type="pct"/>
            <w:tcBorders>
              <w:right w:val="nil"/>
            </w:tcBorders>
            <w:noWrap/>
            <w:vAlign w:val="center"/>
          </w:tcPr>
          <w:p w14:paraId="1A77E456" w14:textId="77777777" w:rsidR="00F44DAE" w:rsidRPr="00F44DAE" w:rsidRDefault="00F44DAE" w:rsidP="00F44DAE">
            <w:pPr>
              <w:jc w:val="center"/>
              <w:rPr>
                <w:rFonts w:ascii="Aptos" w:eastAsia="Times New Roman" w:hAnsi="Aptos" w:cs="Calibri"/>
                <w:kern w:val="0"/>
                <w:sz w:val="18"/>
                <w:szCs w:val="18"/>
                <w14:ligatures w14:val="none"/>
              </w:rPr>
            </w:pPr>
            <w:r w:rsidRPr="00F44DAE">
              <w:rPr>
                <w:rFonts w:ascii="Aptos" w:eastAsia="Times New Roman" w:hAnsi="Aptos" w:cs="Calibri"/>
                <w:b/>
                <w:bCs/>
                <w:kern w:val="0"/>
                <w:sz w:val="18"/>
                <w:szCs w:val="18"/>
                <w14:ligatures w14:val="none"/>
              </w:rPr>
              <w:t>&lt;0.001</w:t>
            </w:r>
          </w:p>
        </w:tc>
      </w:tr>
    </w:tbl>
    <w:p w14:paraId="5BC29BB4" w14:textId="77777777" w:rsidR="00F44DAE" w:rsidRPr="002451E1" w:rsidRDefault="00F44DAE" w:rsidP="00F44DAE">
      <w:pPr>
        <w:rPr>
          <w:rFonts w:ascii="Aptos" w:eastAsia="Times New Roman" w:hAnsi="Aptos" w:cs="Calibri"/>
          <w:i/>
          <w:iCs/>
          <w:kern w:val="0"/>
          <w:sz w:val="18"/>
          <w:szCs w:val="18"/>
          <w14:ligatures w14:val="none"/>
        </w:rPr>
      </w:pPr>
      <w:r w:rsidRPr="002451E1">
        <w:rPr>
          <w:rFonts w:ascii="Aptos" w:eastAsia="Times New Roman" w:hAnsi="Aptos" w:cs="Calibri"/>
          <w:i/>
          <w:iCs/>
          <w:kern w:val="0"/>
          <w:sz w:val="18"/>
          <w:szCs w:val="18"/>
          <w14:ligatures w14:val="none"/>
        </w:rPr>
        <w:t>Data are presented as mean (SD) or median (IQR) for continuous measures, and n (%) for categorical measures.</w:t>
      </w:r>
    </w:p>
    <w:p w14:paraId="53DC2D8B" w14:textId="77777777" w:rsidR="00F44DAE" w:rsidRPr="002451E1" w:rsidRDefault="00F44DAE" w:rsidP="00F44DAE">
      <w:pPr>
        <w:rPr>
          <w:i/>
          <w:iCs/>
          <w:sz w:val="18"/>
          <w:szCs w:val="18"/>
        </w:rPr>
      </w:pPr>
      <w:r w:rsidRPr="002451E1">
        <w:rPr>
          <w:rFonts w:ascii="Aptos" w:eastAsia="Times New Roman" w:hAnsi="Aptos" w:cs="Calibri"/>
          <w:i/>
          <w:iCs/>
          <w:kern w:val="0"/>
          <w:sz w:val="18"/>
          <w:szCs w:val="18"/>
          <w14:ligatures w14:val="none"/>
        </w:rPr>
        <w:t>* - among all the members of the HH</w:t>
      </w:r>
    </w:p>
    <w:p w14:paraId="7A3A8667" w14:textId="502046E0" w:rsidR="00F44DAE" w:rsidRPr="00A109C7" w:rsidRDefault="00F44DAE">
      <w:pPr>
        <w:rPr>
          <w:i/>
          <w:iCs/>
          <w:sz w:val="18"/>
          <w:szCs w:val="18"/>
        </w:rPr>
      </w:pPr>
      <w:r w:rsidRPr="002451E1">
        <w:rPr>
          <w:rFonts w:ascii="Aptos" w:eastAsia="Times New Roman" w:hAnsi="Aptos" w:cs="Calibri"/>
          <w:i/>
          <w:iCs/>
          <w:kern w:val="0"/>
          <w:sz w:val="18"/>
          <w:szCs w:val="18"/>
          <w14:ligatures w14:val="none"/>
        </w:rPr>
        <w:t>** - among adult members of the HH</w:t>
      </w:r>
    </w:p>
    <w:p w14:paraId="12D168EF" w14:textId="02EDEF0D" w:rsidR="004660E2" w:rsidRDefault="004660E2" w:rsidP="003C0F3E">
      <w:pPr>
        <w:pStyle w:val="Heading2"/>
      </w:pPr>
      <w:r>
        <w:lastRenderedPageBreak/>
        <w:t xml:space="preserve">Focus Group Discussion Participants </w:t>
      </w:r>
    </w:p>
    <w:p w14:paraId="646AFE65" w14:textId="77777777" w:rsidR="004660E2" w:rsidRDefault="004660E2" w:rsidP="004660E2"/>
    <w:p w14:paraId="49E1DC45" w14:textId="68FE1765" w:rsidR="007A26A7" w:rsidRDefault="007A26A7" w:rsidP="007A26A7">
      <w:pPr>
        <w:pStyle w:val="Caption"/>
        <w:keepNext/>
      </w:pPr>
      <w:r>
        <w:t xml:space="preserve">Table </w:t>
      </w:r>
      <w:r w:rsidR="00C23482">
        <w:t>S</w:t>
      </w:r>
      <w:fldSimple w:instr=" SEQ Table \* ARABIC ">
        <w:r>
          <w:rPr>
            <w:noProof/>
          </w:rPr>
          <w:t>2</w:t>
        </w:r>
      </w:fldSimple>
      <w:r>
        <w:t xml:space="preserve">: </w:t>
      </w:r>
      <w:r w:rsidRPr="007A26A7">
        <w:t>Overview of conducted FGD by refugee group, age and governorate/ location.</w:t>
      </w:r>
    </w:p>
    <w:tbl>
      <w:tblPr>
        <w:tblStyle w:val="TableGrid"/>
        <w:tblW w:w="0" w:type="auto"/>
        <w:tblLook w:val="04A0" w:firstRow="1" w:lastRow="0" w:firstColumn="1" w:lastColumn="0" w:noHBand="0" w:noVBand="1"/>
      </w:tblPr>
      <w:tblGrid>
        <w:gridCol w:w="1795"/>
        <w:gridCol w:w="1710"/>
        <w:gridCol w:w="1350"/>
        <w:gridCol w:w="1440"/>
        <w:gridCol w:w="1620"/>
        <w:gridCol w:w="1435"/>
      </w:tblGrid>
      <w:tr w:rsidR="007A26A7" w:rsidRPr="007A26A7" w14:paraId="0C0998D3" w14:textId="256BF36E" w:rsidTr="007A26A7">
        <w:tc>
          <w:tcPr>
            <w:tcW w:w="1795" w:type="dxa"/>
          </w:tcPr>
          <w:p w14:paraId="3E165EA8" w14:textId="77777777" w:rsidR="007A26A7" w:rsidRPr="007A26A7" w:rsidRDefault="007A26A7" w:rsidP="007A26A7">
            <w:pPr>
              <w:rPr>
                <w:sz w:val="20"/>
                <w:szCs w:val="20"/>
              </w:rPr>
            </w:pPr>
          </w:p>
        </w:tc>
        <w:tc>
          <w:tcPr>
            <w:tcW w:w="1710" w:type="dxa"/>
          </w:tcPr>
          <w:p w14:paraId="7B3A35A2" w14:textId="2CDA5B76" w:rsidR="007A26A7" w:rsidRPr="007A26A7" w:rsidRDefault="007A26A7" w:rsidP="007A26A7">
            <w:pPr>
              <w:rPr>
                <w:sz w:val="20"/>
                <w:szCs w:val="20"/>
              </w:rPr>
            </w:pPr>
            <w:r w:rsidRPr="007A26A7">
              <w:rPr>
                <w:sz w:val="20"/>
                <w:szCs w:val="20"/>
              </w:rPr>
              <w:t>Governorate/ location</w:t>
            </w:r>
          </w:p>
        </w:tc>
        <w:tc>
          <w:tcPr>
            <w:tcW w:w="1350" w:type="dxa"/>
          </w:tcPr>
          <w:p w14:paraId="65B872A3" w14:textId="77777777" w:rsidR="007A26A7" w:rsidRPr="007A26A7" w:rsidRDefault="007A26A7" w:rsidP="007A26A7">
            <w:pPr>
              <w:jc w:val="center"/>
              <w:rPr>
                <w:sz w:val="20"/>
                <w:szCs w:val="20"/>
              </w:rPr>
            </w:pPr>
            <w:r w:rsidRPr="007A26A7">
              <w:rPr>
                <w:sz w:val="20"/>
                <w:szCs w:val="20"/>
              </w:rPr>
              <w:t>Women</w:t>
            </w:r>
          </w:p>
          <w:p w14:paraId="0328898E" w14:textId="3D83422B" w:rsidR="007A26A7" w:rsidRPr="007A26A7" w:rsidRDefault="007A26A7" w:rsidP="007A26A7">
            <w:pPr>
              <w:jc w:val="center"/>
              <w:rPr>
                <w:sz w:val="20"/>
                <w:szCs w:val="20"/>
              </w:rPr>
            </w:pPr>
            <w:r w:rsidRPr="007A26A7">
              <w:rPr>
                <w:sz w:val="20"/>
                <w:szCs w:val="20"/>
              </w:rPr>
              <w:t>(18-29 yrs)</w:t>
            </w:r>
          </w:p>
        </w:tc>
        <w:tc>
          <w:tcPr>
            <w:tcW w:w="1440" w:type="dxa"/>
          </w:tcPr>
          <w:p w14:paraId="4A281343" w14:textId="21490A9B" w:rsidR="007A26A7" w:rsidRPr="007A26A7" w:rsidRDefault="007A26A7" w:rsidP="007A26A7">
            <w:pPr>
              <w:jc w:val="center"/>
              <w:rPr>
                <w:sz w:val="20"/>
                <w:szCs w:val="20"/>
              </w:rPr>
            </w:pPr>
            <w:r w:rsidRPr="007A26A7">
              <w:rPr>
                <w:sz w:val="20"/>
                <w:szCs w:val="20"/>
              </w:rPr>
              <w:t>Women</w:t>
            </w:r>
          </w:p>
          <w:p w14:paraId="4531D03F" w14:textId="7E77C3E8" w:rsidR="007A26A7" w:rsidRPr="007A26A7" w:rsidRDefault="007A26A7" w:rsidP="007A26A7">
            <w:pPr>
              <w:jc w:val="center"/>
              <w:rPr>
                <w:sz w:val="20"/>
                <w:szCs w:val="20"/>
              </w:rPr>
            </w:pPr>
            <w:r w:rsidRPr="007A26A7">
              <w:rPr>
                <w:sz w:val="20"/>
                <w:szCs w:val="20"/>
              </w:rPr>
              <w:t>(30-45 yrs)</w:t>
            </w:r>
          </w:p>
        </w:tc>
        <w:tc>
          <w:tcPr>
            <w:tcW w:w="1620" w:type="dxa"/>
          </w:tcPr>
          <w:p w14:paraId="53A3A1ED" w14:textId="0A28A00C" w:rsidR="007A26A7" w:rsidRPr="007A26A7" w:rsidRDefault="007A26A7" w:rsidP="007A26A7">
            <w:pPr>
              <w:jc w:val="center"/>
              <w:rPr>
                <w:sz w:val="20"/>
                <w:szCs w:val="20"/>
              </w:rPr>
            </w:pPr>
            <w:r w:rsidRPr="007A26A7">
              <w:rPr>
                <w:sz w:val="20"/>
                <w:szCs w:val="20"/>
              </w:rPr>
              <w:t>Men &amp; Women</w:t>
            </w:r>
          </w:p>
          <w:p w14:paraId="230EDB8E" w14:textId="4787EAAC" w:rsidR="007A26A7" w:rsidRPr="007A26A7" w:rsidRDefault="007A26A7" w:rsidP="007A26A7">
            <w:pPr>
              <w:jc w:val="center"/>
              <w:rPr>
                <w:sz w:val="20"/>
                <w:szCs w:val="20"/>
              </w:rPr>
            </w:pPr>
            <w:r w:rsidRPr="007A26A7">
              <w:rPr>
                <w:sz w:val="20"/>
                <w:szCs w:val="20"/>
              </w:rPr>
              <w:t>50 yrs. +</w:t>
            </w:r>
          </w:p>
        </w:tc>
        <w:tc>
          <w:tcPr>
            <w:tcW w:w="1435" w:type="dxa"/>
          </w:tcPr>
          <w:p w14:paraId="44429FB3" w14:textId="5390A7A0" w:rsidR="007A26A7" w:rsidRPr="007A26A7" w:rsidRDefault="007A26A7" w:rsidP="007A26A7">
            <w:pPr>
              <w:jc w:val="center"/>
              <w:rPr>
                <w:sz w:val="20"/>
                <w:szCs w:val="20"/>
              </w:rPr>
            </w:pPr>
            <w:r w:rsidRPr="007A26A7">
              <w:rPr>
                <w:sz w:val="20"/>
                <w:szCs w:val="20"/>
              </w:rPr>
              <w:t>Men</w:t>
            </w:r>
          </w:p>
          <w:p w14:paraId="39667A42" w14:textId="3DF7C977" w:rsidR="007A26A7" w:rsidRPr="007A26A7" w:rsidRDefault="007A26A7" w:rsidP="007A26A7">
            <w:pPr>
              <w:jc w:val="center"/>
              <w:rPr>
                <w:sz w:val="20"/>
                <w:szCs w:val="20"/>
              </w:rPr>
            </w:pPr>
            <w:r w:rsidRPr="007A26A7">
              <w:rPr>
                <w:sz w:val="20"/>
                <w:szCs w:val="20"/>
              </w:rPr>
              <w:t>(25 - 45 yrs)</w:t>
            </w:r>
          </w:p>
        </w:tc>
      </w:tr>
      <w:tr w:rsidR="007A26A7" w:rsidRPr="007A26A7" w14:paraId="4DA8DA88" w14:textId="2B6D11C4" w:rsidTr="007A26A7">
        <w:tc>
          <w:tcPr>
            <w:tcW w:w="1795" w:type="dxa"/>
            <w:vMerge w:val="restart"/>
            <w:vAlign w:val="center"/>
          </w:tcPr>
          <w:p w14:paraId="7352EDEF" w14:textId="77777777" w:rsidR="007A26A7" w:rsidRPr="007A26A7" w:rsidRDefault="007A26A7" w:rsidP="007A26A7">
            <w:pPr>
              <w:jc w:val="left"/>
              <w:rPr>
                <w:sz w:val="20"/>
                <w:szCs w:val="20"/>
              </w:rPr>
            </w:pPr>
            <w:r w:rsidRPr="007A26A7">
              <w:rPr>
                <w:sz w:val="20"/>
                <w:szCs w:val="20"/>
              </w:rPr>
              <w:t xml:space="preserve">Syrian Refugees </w:t>
            </w:r>
          </w:p>
          <w:p w14:paraId="6738A001" w14:textId="152CD0CC" w:rsidR="007A26A7" w:rsidRPr="007A26A7" w:rsidRDefault="007A26A7" w:rsidP="007A26A7">
            <w:pPr>
              <w:jc w:val="left"/>
              <w:rPr>
                <w:sz w:val="20"/>
                <w:szCs w:val="20"/>
              </w:rPr>
            </w:pPr>
            <w:r w:rsidRPr="007A26A7">
              <w:rPr>
                <w:sz w:val="20"/>
                <w:szCs w:val="20"/>
              </w:rPr>
              <w:t>out of camp</w:t>
            </w:r>
          </w:p>
        </w:tc>
        <w:tc>
          <w:tcPr>
            <w:tcW w:w="1710" w:type="dxa"/>
          </w:tcPr>
          <w:p w14:paraId="025F3FE7" w14:textId="389F2D18" w:rsidR="007A26A7" w:rsidRPr="007A26A7" w:rsidRDefault="007A26A7" w:rsidP="004660E2">
            <w:pPr>
              <w:rPr>
                <w:sz w:val="20"/>
                <w:szCs w:val="20"/>
              </w:rPr>
            </w:pPr>
            <w:r w:rsidRPr="007A26A7">
              <w:rPr>
                <w:sz w:val="20"/>
                <w:szCs w:val="20"/>
              </w:rPr>
              <w:t>Amman</w:t>
            </w:r>
          </w:p>
        </w:tc>
        <w:tc>
          <w:tcPr>
            <w:tcW w:w="1350" w:type="dxa"/>
          </w:tcPr>
          <w:p w14:paraId="1B2325DC" w14:textId="77777777" w:rsidR="007A26A7" w:rsidRPr="007A26A7" w:rsidRDefault="007A26A7" w:rsidP="007A26A7">
            <w:pPr>
              <w:jc w:val="center"/>
              <w:rPr>
                <w:sz w:val="20"/>
                <w:szCs w:val="20"/>
              </w:rPr>
            </w:pPr>
          </w:p>
        </w:tc>
        <w:tc>
          <w:tcPr>
            <w:tcW w:w="1440" w:type="dxa"/>
          </w:tcPr>
          <w:p w14:paraId="2E703175" w14:textId="4EEF1E9E" w:rsidR="007A26A7" w:rsidRPr="007A26A7" w:rsidRDefault="007A26A7" w:rsidP="007A26A7">
            <w:pPr>
              <w:jc w:val="center"/>
              <w:rPr>
                <w:sz w:val="20"/>
                <w:szCs w:val="20"/>
              </w:rPr>
            </w:pPr>
            <w:r w:rsidRPr="007A26A7">
              <w:rPr>
                <w:sz w:val="20"/>
                <w:szCs w:val="20"/>
              </w:rPr>
              <w:t>1 FGD</w:t>
            </w:r>
          </w:p>
        </w:tc>
        <w:tc>
          <w:tcPr>
            <w:tcW w:w="1620" w:type="dxa"/>
          </w:tcPr>
          <w:p w14:paraId="21261964" w14:textId="77777777" w:rsidR="007A26A7" w:rsidRPr="007A26A7" w:rsidRDefault="007A26A7" w:rsidP="007A26A7">
            <w:pPr>
              <w:jc w:val="center"/>
              <w:rPr>
                <w:sz w:val="20"/>
                <w:szCs w:val="20"/>
              </w:rPr>
            </w:pPr>
          </w:p>
        </w:tc>
        <w:tc>
          <w:tcPr>
            <w:tcW w:w="1435" w:type="dxa"/>
          </w:tcPr>
          <w:p w14:paraId="124F533D" w14:textId="35247E67" w:rsidR="007A26A7" w:rsidRPr="007A26A7" w:rsidRDefault="007A26A7" w:rsidP="007A26A7">
            <w:pPr>
              <w:jc w:val="center"/>
              <w:rPr>
                <w:sz w:val="20"/>
                <w:szCs w:val="20"/>
              </w:rPr>
            </w:pPr>
            <w:r w:rsidRPr="007A26A7">
              <w:rPr>
                <w:sz w:val="20"/>
                <w:szCs w:val="20"/>
              </w:rPr>
              <w:t>1 FGD</w:t>
            </w:r>
          </w:p>
        </w:tc>
      </w:tr>
      <w:tr w:rsidR="007A26A7" w:rsidRPr="007A26A7" w14:paraId="35BD4D28" w14:textId="08390622" w:rsidTr="007A26A7">
        <w:tc>
          <w:tcPr>
            <w:tcW w:w="1795" w:type="dxa"/>
            <w:vMerge/>
            <w:vAlign w:val="center"/>
          </w:tcPr>
          <w:p w14:paraId="61D47F00" w14:textId="77777777" w:rsidR="007A26A7" w:rsidRPr="007A26A7" w:rsidRDefault="007A26A7" w:rsidP="007A26A7">
            <w:pPr>
              <w:jc w:val="left"/>
              <w:rPr>
                <w:sz w:val="20"/>
                <w:szCs w:val="20"/>
              </w:rPr>
            </w:pPr>
          </w:p>
        </w:tc>
        <w:tc>
          <w:tcPr>
            <w:tcW w:w="1710" w:type="dxa"/>
          </w:tcPr>
          <w:p w14:paraId="30191CE9" w14:textId="75850712" w:rsidR="007A26A7" w:rsidRPr="007A26A7" w:rsidRDefault="007A26A7" w:rsidP="004660E2">
            <w:pPr>
              <w:rPr>
                <w:sz w:val="20"/>
                <w:szCs w:val="20"/>
              </w:rPr>
            </w:pPr>
            <w:r w:rsidRPr="007A26A7">
              <w:rPr>
                <w:sz w:val="20"/>
                <w:szCs w:val="20"/>
              </w:rPr>
              <w:t>Mafraq</w:t>
            </w:r>
          </w:p>
        </w:tc>
        <w:tc>
          <w:tcPr>
            <w:tcW w:w="1350" w:type="dxa"/>
          </w:tcPr>
          <w:p w14:paraId="4E76DE6D" w14:textId="77777777" w:rsidR="007A26A7" w:rsidRPr="007A26A7" w:rsidRDefault="007A26A7" w:rsidP="007A26A7">
            <w:pPr>
              <w:jc w:val="center"/>
              <w:rPr>
                <w:sz w:val="20"/>
                <w:szCs w:val="20"/>
              </w:rPr>
            </w:pPr>
          </w:p>
        </w:tc>
        <w:tc>
          <w:tcPr>
            <w:tcW w:w="1440" w:type="dxa"/>
          </w:tcPr>
          <w:p w14:paraId="413FD5E3" w14:textId="77777777" w:rsidR="007A26A7" w:rsidRPr="007A26A7" w:rsidRDefault="007A26A7" w:rsidP="007A26A7">
            <w:pPr>
              <w:jc w:val="center"/>
              <w:rPr>
                <w:sz w:val="20"/>
                <w:szCs w:val="20"/>
              </w:rPr>
            </w:pPr>
          </w:p>
        </w:tc>
        <w:tc>
          <w:tcPr>
            <w:tcW w:w="1620" w:type="dxa"/>
          </w:tcPr>
          <w:p w14:paraId="48FD3A95" w14:textId="538CE821" w:rsidR="007A26A7" w:rsidRPr="007A26A7" w:rsidRDefault="007A26A7" w:rsidP="007A26A7">
            <w:pPr>
              <w:jc w:val="center"/>
              <w:rPr>
                <w:sz w:val="20"/>
                <w:szCs w:val="20"/>
              </w:rPr>
            </w:pPr>
            <w:r w:rsidRPr="007A26A7">
              <w:rPr>
                <w:sz w:val="20"/>
                <w:szCs w:val="20"/>
              </w:rPr>
              <w:t>1 FGD</w:t>
            </w:r>
          </w:p>
        </w:tc>
        <w:tc>
          <w:tcPr>
            <w:tcW w:w="1435" w:type="dxa"/>
          </w:tcPr>
          <w:p w14:paraId="0EACF7F5" w14:textId="77777777" w:rsidR="007A26A7" w:rsidRPr="007A26A7" w:rsidRDefault="007A26A7" w:rsidP="007A26A7">
            <w:pPr>
              <w:jc w:val="center"/>
              <w:rPr>
                <w:sz w:val="20"/>
                <w:szCs w:val="20"/>
              </w:rPr>
            </w:pPr>
          </w:p>
        </w:tc>
      </w:tr>
      <w:tr w:rsidR="007A26A7" w:rsidRPr="007A26A7" w14:paraId="2963E2A7" w14:textId="1CB12EEC" w:rsidTr="007A26A7">
        <w:tc>
          <w:tcPr>
            <w:tcW w:w="1795" w:type="dxa"/>
            <w:vMerge/>
            <w:vAlign w:val="center"/>
          </w:tcPr>
          <w:p w14:paraId="3A45C801" w14:textId="77777777" w:rsidR="007A26A7" w:rsidRPr="007A26A7" w:rsidRDefault="007A26A7" w:rsidP="007A26A7">
            <w:pPr>
              <w:jc w:val="left"/>
              <w:rPr>
                <w:sz w:val="20"/>
                <w:szCs w:val="20"/>
              </w:rPr>
            </w:pPr>
          </w:p>
        </w:tc>
        <w:tc>
          <w:tcPr>
            <w:tcW w:w="1710" w:type="dxa"/>
            <w:tcBorders>
              <w:bottom w:val="single" w:sz="4" w:space="0" w:color="auto"/>
            </w:tcBorders>
          </w:tcPr>
          <w:p w14:paraId="2216AB5A" w14:textId="74069516" w:rsidR="007A26A7" w:rsidRPr="007A26A7" w:rsidRDefault="007A26A7" w:rsidP="004660E2">
            <w:pPr>
              <w:rPr>
                <w:sz w:val="20"/>
                <w:szCs w:val="20"/>
              </w:rPr>
            </w:pPr>
            <w:r w:rsidRPr="007A26A7">
              <w:rPr>
                <w:sz w:val="20"/>
                <w:szCs w:val="20"/>
              </w:rPr>
              <w:t>Irbid</w:t>
            </w:r>
          </w:p>
        </w:tc>
        <w:tc>
          <w:tcPr>
            <w:tcW w:w="1350" w:type="dxa"/>
            <w:tcBorders>
              <w:bottom w:val="single" w:sz="4" w:space="0" w:color="auto"/>
            </w:tcBorders>
          </w:tcPr>
          <w:p w14:paraId="5AB85F21" w14:textId="571EA7AA" w:rsidR="007A26A7" w:rsidRPr="007A26A7" w:rsidRDefault="007A26A7" w:rsidP="007A26A7">
            <w:pPr>
              <w:jc w:val="center"/>
              <w:rPr>
                <w:sz w:val="20"/>
                <w:szCs w:val="20"/>
              </w:rPr>
            </w:pPr>
            <w:r w:rsidRPr="007A26A7">
              <w:rPr>
                <w:sz w:val="20"/>
                <w:szCs w:val="20"/>
              </w:rPr>
              <w:t>1 FGD</w:t>
            </w:r>
          </w:p>
        </w:tc>
        <w:tc>
          <w:tcPr>
            <w:tcW w:w="1440" w:type="dxa"/>
            <w:tcBorders>
              <w:bottom w:val="single" w:sz="4" w:space="0" w:color="auto"/>
            </w:tcBorders>
          </w:tcPr>
          <w:p w14:paraId="6E26611B" w14:textId="77777777" w:rsidR="007A26A7" w:rsidRPr="007A26A7" w:rsidRDefault="007A26A7" w:rsidP="007A26A7">
            <w:pPr>
              <w:jc w:val="center"/>
              <w:rPr>
                <w:sz w:val="20"/>
                <w:szCs w:val="20"/>
              </w:rPr>
            </w:pPr>
          </w:p>
        </w:tc>
        <w:tc>
          <w:tcPr>
            <w:tcW w:w="1620" w:type="dxa"/>
            <w:tcBorders>
              <w:bottom w:val="single" w:sz="4" w:space="0" w:color="auto"/>
            </w:tcBorders>
          </w:tcPr>
          <w:p w14:paraId="51684D22" w14:textId="77777777" w:rsidR="007A26A7" w:rsidRPr="007A26A7" w:rsidRDefault="007A26A7" w:rsidP="007A26A7">
            <w:pPr>
              <w:jc w:val="center"/>
              <w:rPr>
                <w:sz w:val="20"/>
                <w:szCs w:val="20"/>
              </w:rPr>
            </w:pPr>
          </w:p>
        </w:tc>
        <w:tc>
          <w:tcPr>
            <w:tcW w:w="1435" w:type="dxa"/>
            <w:tcBorders>
              <w:bottom w:val="single" w:sz="4" w:space="0" w:color="auto"/>
            </w:tcBorders>
          </w:tcPr>
          <w:p w14:paraId="5461E10F" w14:textId="77777777" w:rsidR="007A26A7" w:rsidRPr="007A26A7" w:rsidRDefault="007A26A7" w:rsidP="007A26A7">
            <w:pPr>
              <w:jc w:val="center"/>
              <w:rPr>
                <w:sz w:val="20"/>
                <w:szCs w:val="20"/>
              </w:rPr>
            </w:pPr>
          </w:p>
        </w:tc>
      </w:tr>
      <w:tr w:rsidR="007A26A7" w:rsidRPr="007A26A7" w14:paraId="38D57CB5" w14:textId="77777777" w:rsidTr="007A26A7">
        <w:tc>
          <w:tcPr>
            <w:tcW w:w="1795" w:type="dxa"/>
            <w:vMerge w:val="restart"/>
            <w:tcBorders>
              <w:top w:val="single" w:sz="8" w:space="0" w:color="auto"/>
            </w:tcBorders>
            <w:vAlign w:val="center"/>
          </w:tcPr>
          <w:p w14:paraId="3E5670A9" w14:textId="77777777" w:rsidR="007A26A7" w:rsidRPr="007A26A7" w:rsidRDefault="007A26A7" w:rsidP="007A26A7">
            <w:pPr>
              <w:jc w:val="left"/>
              <w:rPr>
                <w:sz w:val="20"/>
                <w:szCs w:val="20"/>
              </w:rPr>
            </w:pPr>
            <w:r w:rsidRPr="007A26A7">
              <w:rPr>
                <w:sz w:val="20"/>
                <w:szCs w:val="20"/>
              </w:rPr>
              <w:t xml:space="preserve">Non Syrian refugees </w:t>
            </w:r>
          </w:p>
          <w:p w14:paraId="39404866" w14:textId="79B20AD4" w:rsidR="007A26A7" w:rsidRPr="007A26A7" w:rsidRDefault="007A26A7" w:rsidP="007A26A7">
            <w:pPr>
              <w:jc w:val="left"/>
              <w:rPr>
                <w:sz w:val="20"/>
                <w:szCs w:val="20"/>
              </w:rPr>
            </w:pPr>
            <w:r w:rsidRPr="007A26A7">
              <w:rPr>
                <w:sz w:val="20"/>
                <w:szCs w:val="20"/>
              </w:rPr>
              <w:t>out of camp</w:t>
            </w:r>
          </w:p>
        </w:tc>
        <w:tc>
          <w:tcPr>
            <w:tcW w:w="1710" w:type="dxa"/>
            <w:tcBorders>
              <w:top w:val="single" w:sz="8" w:space="0" w:color="auto"/>
            </w:tcBorders>
          </w:tcPr>
          <w:p w14:paraId="72264E56" w14:textId="765F6771" w:rsidR="007A26A7" w:rsidRPr="007A26A7" w:rsidRDefault="007A26A7" w:rsidP="007A26A7">
            <w:pPr>
              <w:rPr>
                <w:sz w:val="20"/>
                <w:szCs w:val="20"/>
              </w:rPr>
            </w:pPr>
            <w:r w:rsidRPr="007A26A7">
              <w:rPr>
                <w:sz w:val="20"/>
                <w:szCs w:val="20"/>
              </w:rPr>
              <w:t>Amman</w:t>
            </w:r>
          </w:p>
        </w:tc>
        <w:tc>
          <w:tcPr>
            <w:tcW w:w="1350" w:type="dxa"/>
            <w:tcBorders>
              <w:top w:val="single" w:sz="8" w:space="0" w:color="auto"/>
            </w:tcBorders>
          </w:tcPr>
          <w:p w14:paraId="42983EEA" w14:textId="75FD9D17" w:rsidR="007A26A7" w:rsidRPr="007A26A7" w:rsidRDefault="007A26A7" w:rsidP="007A26A7">
            <w:pPr>
              <w:jc w:val="center"/>
              <w:rPr>
                <w:sz w:val="20"/>
                <w:szCs w:val="20"/>
              </w:rPr>
            </w:pPr>
            <w:r w:rsidRPr="007A26A7">
              <w:rPr>
                <w:sz w:val="20"/>
                <w:szCs w:val="20"/>
              </w:rPr>
              <w:t>1 FGD</w:t>
            </w:r>
          </w:p>
        </w:tc>
        <w:tc>
          <w:tcPr>
            <w:tcW w:w="1440" w:type="dxa"/>
            <w:tcBorders>
              <w:top w:val="single" w:sz="8" w:space="0" w:color="auto"/>
            </w:tcBorders>
          </w:tcPr>
          <w:p w14:paraId="65B272A5" w14:textId="77777777" w:rsidR="007A26A7" w:rsidRPr="007A26A7" w:rsidRDefault="007A26A7" w:rsidP="007A26A7">
            <w:pPr>
              <w:jc w:val="center"/>
              <w:rPr>
                <w:sz w:val="20"/>
                <w:szCs w:val="20"/>
              </w:rPr>
            </w:pPr>
          </w:p>
        </w:tc>
        <w:tc>
          <w:tcPr>
            <w:tcW w:w="1620" w:type="dxa"/>
            <w:tcBorders>
              <w:top w:val="single" w:sz="8" w:space="0" w:color="auto"/>
            </w:tcBorders>
          </w:tcPr>
          <w:p w14:paraId="09E50367" w14:textId="77777777" w:rsidR="007A26A7" w:rsidRPr="007A26A7" w:rsidRDefault="007A26A7" w:rsidP="007A26A7">
            <w:pPr>
              <w:jc w:val="center"/>
              <w:rPr>
                <w:sz w:val="20"/>
                <w:szCs w:val="20"/>
              </w:rPr>
            </w:pPr>
          </w:p>
        </w:tc>
        <w:tc>
          <w:tcPr>
            <w:tcW w:w="1435" w:type="dxa"/>
            <w:tcBorders>
              <w:top w:val="single" w:sz="8" w:space="0" w:color="auto"/>
            </w:tcBorders>
          </w:tcPr>
          <w:p w14:paraId="31C049A1" w14:textId="77777777" w:rsidR="007A26A7" w:rsidRPr="007A26A7" w:rsidRDefault="007A26A7" w:rsidP="007A26A7">
            <w:pPr>
              <w:jc w:val="center"/>
              <w:rPr>
                <w:sz w:val="20"/>
                <w:szCs w:val="20"/>
              </w:rPr>
            </w:pPr>
          </w:p>
        </w:tc>
      </w:tr>
      <w:tr w:rsidR="007A26A7" w:rsidRPr="007A26A7" w14:paraId="01484F18" w14:textId="77777777" w:rsidTr="007A26A7">
        <w:tc>
          <w:tcPr>
            <w:tcW w:w="1795" w:type="dxa"/>
            <w:vMerge/>
            <w:vAlign w:val="center"/>
          </w:tcPr>
          <w:p w14:paraId="409CC6DC" w14:textId="77777777" w:rsidR="007A26A7" w:rsidRPr="007A26A7" w:rsidRDefault="007A26A7" w:rsidP="007A26A7">
            <w:pPr>
              <w:jc w:val="left"/>
              <w:rPr>
                <w:sz w:val="20"/>
                <w:szCs w:val="20"/>
              </w:rPr>
            </w:pPr>
          </w:p>
        </w:tc>
        <w:tc>
          <w:tcPr>
            <w:tcW w:w="1710" w:type="dxa"/>
          </w:tcPr>
          <w:p w14:paraId="5985B738" w14:textId="45105BC0" w:rsidR="007A26A7" w:rsidRPr="007A26A7" w:rsidRDefault="007A26A7" w:rsidP="007A26A7">
            <w:pPr>
              <w:rPr>
                <w:sz w:val="20"/>
                <w:szCs w:val="20"/>
              </w:rPr>
            </w:pPr>
            <w:r w:rsidRPr="007A26A7">
              <w:rPr>
                <w:sz w:val="20"/>
                <w:szCs w:val="20"/>
              </w:rPr>
              <w:t>Mafraq</w:t>
            </w:r>
          </w:p>
        </w:tc>
        <w:tc>
          <w:tcPr>
            <w:tcW w:w="1350" w:type="dxa"/>
          </w:tcPr>
          <w:p w14:paraId="79D2BC40" w14:textId="77777777" w:rsidR="007A26A7" w:rsidRPr="007A26A7" w:rsidRDefault="007A26A7" w:rsidP="007A26A7">
            <w:pPr>
              <w:jc w:val="center"/>
              <w:rPr>
                <w:sz w:val="20"/>
                <w:szCs w:val="20"/>
              </w:rPr>
            </w:pPr>
          </w:p>
        </w:tc>
        <w:tc>
          <w:tcPr>
            <w:tcW w:w="1440" w:type="dxa"/>
          </w:tcPr>
          <w:p w14:paraId="248CEC72" w14:textId="77777777" w:rsidR="007A26A7" w:rsidRPr="007A26A7" w:rsidRDefault="007A26A7" w:rsidP="007A26A7">
            <w:pPr>
              <w:jc w:val="center"/>
              <w:rPr>
                <w:sz w:val="20"/>
                <w:szCs w:val="20"/>
              </w:rPr>
            </w:pPr>
          </w:p>
        </w:tc>
        <w:tc>
          <w:tcPr>
            <w:tcW w:w="1620" w:type="dxa"/>
          </w:tcPr>
          <w:p w14:paraId="4D579B5E" w14:textId="77777777" w:rsidR="007A26A7" w:rsidRPr="007A26A7" w:rsidRDefault="007A26A7" w:rsidP="007A26A7">
            <w:pPr>
              <w:jc w:val="center"/>
              <w:rPr>
                <w:sz w:val="20"/>
                <w:szCs w:val="20"/>
              </w:rPr>
            </w:pPr>
          </w:p>
        </w:tc>
        <w:tc>
          <w:tcPr>
            <w:tcW w:w="1435" w:type="dxa"/>
          </w:tcPr>
          <w:p w14:paraId="34F049B4" w14:textId="744E9A22" w:rsidR="007A26A7" w:rsidRPr="007A26A7" w:rsidRDefault="007A26A7" w:rsidP="007A26A7">
            <w:pPr>
              <w:jc w:val="center"/>
              <w:rPr>
                <w:sz w:val="20"/>
                <w:szCs w:val="20"/>
              </w:rPr>
            </w:pPr>
            <w:r w:rsidRPr="007A26A7">
              <w:rPr>
                <w:sz w:val="20"/>
                <w:szCs w:val="20"/>
              </w:rPr>
              <w:t>1 FGD</w:t>
            </w:r>
          </w:p>
        </w:tc>
      </w:tr>
      <w:tr w:rsidR="007A26A7" w:rsidRPr="007A26A7" w14:paraId="04A89D5B" w14:textId="77777777" w:rsidTr="007A26A7">
        <w:tc>
          <w:tcPr>
            <w:tcW w:w="1795" w:type="dxa"/>
            <w:vMerge/>
            <w:vAlign w:val="center"/>
          </w:tcPr>
          <w:p w14:paraId="0941EE16" w14:textId="77777777" w:rsidR="007A26A7" w:rsidRPr="007A26A7" w:rsidRDefault="007A26A7" w:rsidP="007A26A7">
            <w:pPr>
              <w:jc w:val="left"/>
              <w:rPr>
                <w:sz w:val="20"/>
                <w:szCs w:val="20"/>
              </w:rPr>
            </w:pPr>
          </w:p>
        </w:tc>
        <w:tc>
          <w:tcPr>
            <w:tcW w:w="1710" w:type="dxa"/>
            <w:tcBorders>
              <w:bottom w:val="single" w:sz="4" w:space="0" w:color="auto"/>
            </w:tcBorders>
          </w:tcPr>
          <w:p w14:paraId="415782E1" w14:textId="1F9CBEC7" w:rsidR="007A26A7" w:rsidRPr="007A26A7" w:rsidRDefault="007A26A7" w:rsidP="007A26A7">
            <w:pPr>
              <w:rPr>
                <w:sz w:val="20"/>
                <w:szCs w:val="20"/>
              </w:rPr>
            </w:pPr>
            <w:r w:rsidRPr="007A26A7">
              <w:rPr>
                <w:sz w:val="20"/>
                <w:szCs w:val="20"/>
              </w:rPr>
              <w:t>Irbid</w:t>
            </w:r>
          </w:p>
        </w:tc>
        <w:tc>
          <w:tcPr>
            <w:tcW w:w="1350" w:type="dxa"/>
            <w:tcBorders>
              <w:bottom w:val="single" w:sz="4" w:space="0" w:color="auto"/>
            </w:tcBorders>
          </w:tcPr>
          <w:p w14:paraId="5544D71E" w14:textId="77777777" w:rsidR="007A26A7" w:rsidRPr="007A26A7" w:rsidRDefault="007A26A7" w:rsidP="007A26A7">
            <w:pPr>
              <w:jc w:val="center"/>
              <w:rPr>
                <w:sz w:val="20"/>
                <w:szCs w:val="20"/>
              </w:rPr>
            </w:pPr>
          </w:p>
        </w:tc>
        <w:tc>
          <w:tcPr>
            <w:tcW w:w="1440" w:type="dxa"/>
            <w:tcBorders>
              <w:bottom w:val="single" w:sz="4" w:space="0" w:color="auto"/>
            </w:tcBorders>
          </w:tcPr>
          <w:p w14:paraId="4CFD6A85" w14:textId="77777777" w:rsidR="007A26A7" w:rsidRPr="007A26A7" w:rsidRDefault="007A26A7" w:rsidP="007A26A7">
            <w:pPr>
              <w:jc w:val="center"/>
              <w:rPr>
                <w:sz w:val="20"/>
                <w:szCs w:val="20"/>
              </w:rPr>
            </w:pPr>
          </w:p>
        </w:tc>
        <w:tc>
          <w:tcPr>
            <w:tcW w:w="1620" w:type="dxa"/>
            <w:tcBorders>
              <w:bottom w:val="single" w:sz="4" w:space="0" w:color="auto"/>
            </w:tcBorders>
          </w:tcPr>
          <w:p w14:paraId="30EC5B3E" w14:textId="77777777" w:rsidR="007A26A7" w:rsidRPr="007A26A7" w:rsidRDefault="007A26A7" w:rsidP="007A26A7">
            <w:pPr>
              <w:jc w:val="center"/>
              <w:rPr>
                <w:sz w:val="20"/>
                <w:szCs w:val="20"/>
              </w:rPr>
            </w:pPr>
          </w:p>
        </w:tc>
        <w:tc>
          <w:tcPr>
            <w:tcW w:w="1435" w:type="dxa"/>
            <w:tcBorders>
              <w:bottom w:val="single" w:sz="4" w:space="0" w:color="auto"/>
            </w:tcBorders>
          </w:tcPr>
          <w:p w14:paraId="767514B7" w14:textId="77777777" w:rsidR="007A26A7" w:rsidRPr="007A26A7" w:rsidRDefault="007A26A7" w:rsidP="007A26A7">
            <w:pPr>
              <w:jc w:val="center"/>
              <w:rPr>
                <w:sz w:val="20"/>
                <w:szCs w:val="20"/>
              </w:rPr>
            </w:pPr>
          </w:p>
        </w:tc>
      </w:tr>
      <w:tr w:rsidR="007A26A7" w:rsidRPr="007A26A7" w14:paraId="431618D4" w14:textId="77777777" w:rsidTr="007A26A7">
        <w:tc>
          <w:tcPr>
            <w:tcW w:w="1795" w:type="dxa"/>
            <w:vMerge w:val="restart"/>
            <w:tcBorders>
              <w:top w:val="single" w:sz="8" w:space="0" w:color="auto"/>
            </w:tcBorders>
            <w:vAlign w:val="center"/>
          </w:tcPr>
          <w:p w14:paraId="46FCE21E" w14:textId="5D0E3A06" w:rsidR="007A26A7" w:rsidRPr="007A26A7" w:rsidRDefault="007A26A7" w:rsidP="007A26A7">
            <w:pPr>
              <w:jc w:val="left"/>
              <w:rPr>
                <w:sz w:val="20"/>
                <w:szCs w:val="20"/>
              </w:rPr>
            </w:pPr>
            <w:r w:rsidRPr="007A26A7">
              <w:rPr>
                <w:sz w:val="20"/>
                <w:szCs w:val="20"/>
              </w:rPr>
              <w:t>Syrian refugees in camp</w:t>
            </w:r>
          </w:p>
        </w:tc>
        <w:tc>
          <w:tcPr>
            <w:tcW w:w="1710" w:type="dxa"/>
            <w:tcBorders>
              <w:top w:val="single" w:sz="8" w:space="0" w:color="auto"/>
            </w:tcBorders>
          </w:tcPr>
          <w:p w14:paraId="6E7B6FD0" w14:textId="12B3E5E3" w:rsidR="007A26A7" w:rsidRPr="007A26A7" w:rsidRDefault="007A26A7" w:rsidP="004660E2">
            <w:pPr>
              <w:rPr>
                <w:sz w:val="20"/>
                <w:szCs w:val="20"/>
              </w:rPr>
            </w:pPr>
            <w:r w:rsidRPr="007A26A7">
              <w:rPr>
                <w:sz w:val="20"/>
                <w:szCs w:val="20"/>
              </w:rPr>
              <w:t>Zaatari</w:t>
            </w:r>
          </w:p>
        </w:tc>
        <w:tc>
          <w:tcPr>
            <w:tcW w:w="1350" w:type="dxa"/>
            <w:tcBorders>
              <w:top w:val="single" w:sz="8" w:space="0" w:color="auto"/>
            </w:tcBorders>
          </w:tcPr>
          <w:p w14:paraId="107D7361" w14:textId="77777777" w:rsidR="007A26A7" w:rsidRPr="007A26A7" w:rsidRDefault="007A26A7" w:rsidP="007A26A7">
            <w:pPr>
              <w:jc w:val="center"/>
              <w:rPr>
                <w:sz w:val="20"/>
                <w:szCs w:val="20"/>
              </w:rPr>
            </w:pPr>
          </w:p>
        </w:tc>
        <w:tc>
          <w:tcPr>
            <w:tcW w:w="1440" w:type="dxa"/>
            <w:tcBorders>
              <w:top w:val="single" w:sz="8" w:space="0" w:color="auto"/>
            </w:tcBorders>
          </w:tcPr>
          <w:p w14:paraId="37C00A9C" w14:textId="32B022E3" w:rsidR="007A26A7" w:rsidRPr="007A26A7" w:rsidRDefault="007A26A7" w:rsidP="007A26A7">
            <w:pPr>
              <w:jc w:val="center"/>
              <w:rPr>
                <w:sz w:val="20"/>
                <w:szCs w:val="20"/>
              </w:rPr>
            </w:pPr>
            <w:r w:rsidRPr="007A26A7">
              <w:rPr>
                <w:sz w:val="20"/>
                <w:szCs w:val="20"/>
              </w:rPr>
              <w:t>1 FGD</w:t>
            </w:r>
          </w:p>
        </w:tc>
        <w:tc>
          <w:tcPr>
            <w:tcW w:w="1620" w:type="dxa"/>
            <w:tcBorders>
              <w:top w:val="single" w:sz="8" w:space="0" w:color="auto"/>
            </w:tcBorders>
          </w:tcPr>
          <w:p w14:paraId="5D63C941" w14:textId="77777777" w:rsidR="007A26A7" w:rsidRPr="007A26A7" w:rsidRDefault="007A26A7" w:rsidP="007A26A7">
            <w:pPr>
              <w:jc w:val="center"/>
              <w:rPr>
                <w:sz w:val="20"/>
                <w:szCs w:val="20"/>
              </w:rPr>
            </w:pPr>
          </w:p>
        </w:tc>
        <w:tc>
          <w:tcPr>
            <w:tcW w:w="1435" w:type="dxa"/>
            <w:tcBorders>
              <w:top w:val="single" w:sz="8" w:space="0" w:color="auto"/>
            </w:tcBorders>
          </w:tcPr>
          <w:p w14:paraId="582CA07F" w14:textId="77777777" w:rsidR="007A26A7" w:rsidRPr="007A26A7" w:rsidRDefault="007A26A7" w:rsidP="007A26A7">
            <w:pPr>
              <w:jc w:val="center"/>
              <w:rPr>
                <w:sz w:val="20"/>
                <w:szCs w:val="20"/>
              </w:rPr>
            </w:pPr>
          </w:p>
        </w:tc>
      </w:tr>
      <w:tr w:rsidR="007A26A7" w:rsidRPr="007A26A7" w14:paraId="2621C479" w14:textId="77777777" w:rsidTr="007A26A7">
        <w:tc>
          <w:tcPr>
            <w:tcW w:w="1795" w:type="dxa"/>
            <w:vMerge/>
          </w:tcPr>
          <w:p w14:paraId="0CC4DDB9" w14:textId="77777777" w:rsidR="007A26A7" w:rsidRPr="007A26A7" w:rsidRDefault="007A26A7" w:rsidP="004660E2">
            <w:pPr>
              <w:rPr>
                <w:sz w:val="20"/>
                <w:szCs w:val="20"/>
              </w:rPr>
            </w:pPr>
          </w:p>
        </w:tc>
        <w:tc>
          <w:tcPr>
            <w:tcW w:w="1710" w:type="dxa"/>
          </w:tcPr>
          <w:p w14:paraId="777AC318" w14:textId="2C414EA0" w:rsidR="007A26A7" w:rsidRPr="007A26A7" w:rsidRDefault="007A26A7" w:rsidP="004660E2">
            <w:pPr>
              <w:rPr>
                <w:sz w:val="20"/>
                <w:szCs w:val="20"/>
              </w:rPr>
            </w:pPr>
            <w:r w:rsidRPr="007A26A7">
              <w:rPr>
                <w:sz w:val="20"/>
                <w:szCs w:val="20"/>
              </w:rPr>
              <w:t>Azraq</w:t>
            </w:r>
          </w:p>
        </w:tc>
        <w:tc>
          <w:tcPr>
            <w:tcW w:w="1350" w:type="dxa"/>
          </w:tcPr>
          <w:p w14:paraId="3B9B5519" w14:textId="77777777" w:rsidR="007A26A7" w:rsidRPr="007A26A7" w:rsidRDefault="007A26A7" w:rsidP="007A26A7">
            <w:pPr>
              <w:jc w:val="center"/>
              <w:rPr>
                <w:sz w:val="20"/>
                <w:szCs w:val="20"/>
              </w:rPr>
            </w:pPr>
          </w:p>
        </w:tc>
        <w:tc>
          <w:tcPr>
            <w:tcW w:w="1440" w:type="dxa"/>
          </w:tcPr>
          <w:p w14:paraId="511C70C7" w14:textId="77777777" w:rsidR="007A26A7" w:rsidRPr="007A26A7" w:rsidRDefault="007A26A7" w:rsidP="007A26A7">
            <w:pPr>
              <w:jc w:val="center"/>
              <w:rPr>
                <w:sz w:val="20"/>
                <w:szCs w:val="20"/>
              </w:rPr>
            </w:pPr>
          </w:p>
        </w:tc>
        <w:tc>
          <w:tcPr>
            <w:tcW w:w="1620" w:type="dxa"/>
          </w:tcPr>
          <w:p w14:paraId="4B1F742F" w14:textId="1D806CE0" w:rsidR="007A26A7" w:rsidRPr="007A26A7" w:rsidRDefault="007A26A7" w:rsidP="007A26A7">
            <w:pPr>
              <w:jc w:val="center"/>
              <w:rPr>
                <w:sz w:val="20"/>
                <w:szCs w:val="20"/>
              </w:rPr>
            </w:pPr>
            <w:r w:rsidRPr="007A26A7">
              <w:rPr>
                <w:sz w:val="20"/>
                <w:szCs w:val="20"/>
              </w:rPr>
              <w:t>1 FGD</w:t>
            </w:r>
          </w:p>
        </w:tc>
        <w:tc>
          <w:tcPr>
            <w:tcW w:w="1435" w:type="dxa"/>
          </w:tcPr>
          <w:p w14:paraId="10B90C83" w14:textId="77777777" w:rsidR="007A26A7" w:rsidRPr="007A26A7" w:rsidRDefault="007A26A7" w:rsidP="007A26A7">
            <w:pPr>
              <w:jc w:val="center"/>
              <w:rPr>
                <w:sz w:val="20"/>
                <w:szCs w:val="20"/>
              </w:rPr>
            </w:pPr>
          </w:p>
        </w:tc>
      </w:tr>
    </w:tbl>
    <w:p w14:paraId="5512E907" w14:textId="77777777" w:rsidR="004660E2" w:rsidRDefault="004660E2" w:rsidP="004660E2"/>
    <w:p w14:paraId="1C01140C" w14:textId="77777777" w:rsidR="004660E2" w:rsidRDefault="004660E2" w:rsidP="004660E2"/>
    <w:p w14:paraId="5C4E21EF" w14:textId="76D4646A" w:rsidR="007A26A7" w:rsidRDefault="007A26A7" w:rsidP="007A26A7">
      <w:pPr>
        <w:pStyle w:val="Caption"/>
        <w:keepNext/>
      </w:pPr>
      <w:r>
        <w:t xml:space="preserve">Table </w:t>
      </w:r>
      <w:r w:rsidR="00C23482">
        <w:t>S</w:t>
      </w:r>
      <w:fldSimple w:instr=" SEQ Table \* ARABIC ">
        <w:r>
          <w:rPr>
            <w:noProof/>
          </w:rPr>
          <w:t>3</w:t>
        </w:r>
      </w:fldSimple>
      <w:r>
        <w:t>: Individual FGD participants characteristics</w:t>
      </w:r>
    </w:p>
    <w:tbl>
      <w:tblPr>
        <w:tblW w:w="5680" w:type="dxa"/>
        <w:tblLook w:val="04A0" w:firstRow="1" w:lastRow="0" w:firstColumn="1" w:lastColumn="0" w:noHBand="0" w:noVBand="1"/>
      </w:tblPr>
      <w:tblGrid>
        <w:gridCol w:w="3040"/>
        <w:gridCol w:w="1320"/>
        <w:gridCol w:w="1320"/>
      </w:tblGrid>
      <w:tr w:rsidR="007A26A7" w:rsidRPr="007A26A7" w14:paraId="5A81BF4E" w14:textId="77777777" w:rsidTr="007A26A7">
        <w:trPr>
          <w:trHeight w:val="340"/>
        </w:trPr>
        <w:tc>
          <w:tcPr>
            <w:tcW w:w="3040"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84171FE" w14:textId="77777777" w:rsidR="007A26A7" w:rsidRPr="007A26A7" w:rsidRDefault="007A26A7" w:rsidP="007A26A7">
            <w:pP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Number of participants</w:t>
            </w:r>
          </w:p>
        </w:tc>
        <w:tc>
          <w:tcPr>
            <w:tcW w:w="1320" w:type="dxa"/>
            <w:tcBorders>
              <w:top w:val="single" w:sz="8" w:space="0" w:color="000000"/>
              <w:left w:val="nil"/>
              <w:bottom w:val="single" w:sz="8" w:space="0" w:color="000000"/>
              <w:right w:val="single" w:sz="8" w:space="0" w:color="000000"/>
            </w:tcBorders>
            <w:shd w:val="clear" w:color="000000" w:fill="FFFFFF"/>
            <w:vAlign w:val="center"/>
            <w:hideMark/>
          </w:tcPr>
          <w:p w14:paraId="51BEC343"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77</w:t>
            </w:r>
          </w:p>
        </w:tc>
        <w:tc>
          <w:tcPr>
            <w:tcW w:w="1320" w:type="dxa"/>
            <w:tcBorders>
              <w:top w:val="single" w:sz="8" w:space="0" w:color="000000"/>
              <w:left w:val="nil"/>
              <w:bottom w:val="single" w:sz="8" w:space="0" w:color="000000"/>
              <w:right w:val="single" w:sz="8" w:space="0" w:color="000000"/>
            </w:tcBorders>
            <w:shd w:val="clear" w:color="000000" w:fill="FFFFFF"/>
            <w:vAlign w:val="center"/>
            <w:hideMark/>
          </w:tcPr>
          <w:p w14:paraId="1E55BEB4"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w:t>
            </w:r>
          </w:p>
        </w:tc>
      </w:tr>
      <w:tr w:rsidR="007A26A7" w:rsidRPr="007A26A7" w14:paraId="1A3A4F32"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3E94EADA" w14:textId="77777777" w:rsidR="007A26A7" w:rsidRPr="007A26A7" w:rsidRDefault="007A26A7" w:rsidP="007A26A7">
            <w:pP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Gender</w:t>
            </w:r>
          </w:p>
        </w:tc>
        <w:tc>
          <w:tcPr>
            <w:tcW w:w="1320" w:type="dxa"/>
            <w:tcBorders>
              <w:top w:val="nil"/>
              <w:left w:val="nil"/>
              <w:bottom w:val="single" w:sz="8" w:space="0" w:color="000000"/>
              <w:right w:val="single" w:sz="8" w:space="0" w:color="000000"/>
            </w:tcBorders>
            <w:shd w:val="clear" w:color="000000" w:fill="FFFFFF"/>
            <w:vAlign w:val="center"/>
            <w:hideMark/>
          </w:tcPr>
          <w:p w14:paraId="72028D07"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w:t>
            </w:r>
          </w:p>
        </w:tc>
        <w:tc>
          <w:tcPr>
            <w:tcW w:w="1320" w:type="dxa"/>
            <w:tcBorders>
              <w:top w:val="nil"/>
              <w:left w:val="nil"/>
              <w:bottom w:val="single" w:sz="8" w:space="0" w:color="000000"/>
              <w:right w:val="single" w:sz="8" w:space="0" w:color="000000"/>
            </w:tcBorders>
            <w:shd w:val="clear" w:color="000000" w:fill="FFFFFF"/>
            <w:vAlign w:val="center"/>
            <w:hideMark/>
          </w:tcPr>
          <w:p w14:paraId="66E92B98"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w:t>
            </w:r>
          </w:p>
        </w:tc>
      </w:tr>
      <w:tr w:rsidR="007A26A7" w:rsidRPr="007A26A7" w14:paraId="25F2947C"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49FCF6FF" w14:textId="77777777" w:rsidR="007A26A7" w:rsidRPr="007A26A7" w:rsidRDefault="007A26A7" w:rsidP="007A26A7">
            <w:pPr>
              <w:jc w:val="right"/>
              <w:rPr>
                <w:rFonts w:ascii="Aptos" w:eastAsia="Times New Roman" w:hAnsi="Aptos" w:cs="Calibri"/>
                <w:i/>
                <w:iCs/>
                <w:color w:val="000000"/>
                <w:kern w:val="0"/>
                <w:sz w:val="20"/>
                <w:szCs w:val="20"/>
                <w14:ligatures w14:val="none"/>
              </w:rPr>
            </w:pPr>
            <w:r w:rsidRPr="007A26A7">
              <w:rPr>
                <w:rFonts w:ascii="Aptos" w:eastAsia="Times New Roman" w:hAnsi="Aptos" w:cs="Calibri"/>
                <w:i/>
                <w:iCs/>
                <w:color w:val="000000"/>
                <w:kern w:val="0"/>
                <w:sz w:val="20"/>
                <w:szCs w:val="20"/>
                <w14:ligatures w14:val="none"/>
              </w:rPr>
              <w:t>Male</w:t>
            </w:r>
          </w:p>
        </w:tc>
        <w:tc>
          <w:tcPr>
            <w:tcW w:w="1320" w:type="dxa"/>
            <w:tcBorders>
              <w:top w:val="nil"/>
              <w:left w:val="nil"/>
              <w:bottom w:val="single" w:sz="8" w:space="0" w:color="000000"/>
              <w:right w:val="single" w:sz="8" w:space="0" w:color="000000"/>
            </w:tcBorders>
            <w:shd w:val="clear" w:color="000000" w:fill="FFFFFF"/>
            <w:vAlign w:val="center"/>
            <w:hideMark/>
          </w:tcPr>
          <w:p w14:paraId="089C7992"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28</w:t>
            </w:r>
          </w:p>
        </w:tc>
        <w:tc>
          <w:tcPr>
            <w:tcW w:w="1320" w:type="dxa"/>
            <w:tcBorders>
              <w:top w:val="nil"/>
              <w:left w:val="nil"/>
              <w:bottom w:val="single" w:sz="8" w:space="0" w:color="000000"/>
              <w:right w:val="single" w:sz="8" w:space="0" w:color="000000"/>
            </w:tcBorders>
            <w:shd w:val="clear" w:color="000000" w:fill="FFFFFF"/>
            <w:vAlign w:val="center"/>
            <w:hideMark/>
          </w:tcPr>
          <w:p w14:paraId="75F07CD9"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36%</w:t>
            </w:r>
          </w:p>
        </w:tc>
      </w:tr>
      <w:tr w:rsidR="007A26A7" w:rsidRPr="007A26A7" w14:paraId="658A5938"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66371211" w14:textId="77777777" w:rsidR="007A26A7" w:rsidRPr="007A26A7" w:rsidRDefault="007A26A7" w:rsidP="007A26A7">
            <w:pPr>
              <w:jc w:val="right"/>
              <w:rPr>
                <w:rFonts w:ascii="Aptos" w:eastAsia="Times New Roman" w:hAnsi="Aptos" w:cs="Calibri"/>
                <w:i/>
                <w:iCs/>
                <w:color w:val="000000"/>
                <w:kern w:val="0"/>
                <w:sz w:val="20"/>
                <w:szCs w:val="20"/>
                <w14:ligatures w14:val="none"/>
              </w:rPr>
            </w:pPr>
            <w:r w:rsidRPr="007A26A7">
              <w:rPr>
                <w:rFonts w:ascii="Aptos" w:eastAsia="Times New Roman" w:hAnsi="Aptos" w:cs="Calibri"/>
                <w:i/>
                <w:iCs/>
                <w:color w:val="000000"/>
                <w:kern w:val="0"/>
                <w:sz w:val="20"/>
                <w:szCs w:val="20"/>
                <w14:ligatures w14:val="none"/>
              </w:rPr>
              <w:t>Female</w:t>
            </w:r>
          </w:p>
        </w:tc>
        <w:tc>
          <w:tcPr>
            <w:tcW w:w="1320" w:type="dxa"/>
            <w:tcBorders>
              <w:top w:val="nil"/>
              <w:left w:val="nil"/>
              <w:bottom w:val="single" w:sz="8" w:space="0" w:color="000000"/>
              <w:right w:val="single" w:sz="8" w:space="0" w:color="000000"/>
            </w:tcBorders>
            <w:shd w:val="clear" w:color="000000" w:fill="FFFFFF"/>
            <w:vAlign w:val="center"/>
            <w:hideMark/>
          </w:tcPr>
          <w:p w14:paraId="69BCF8C7"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49</w:t>
            </w:r>
          </w:p>
        </w:tc>
        <w:tc>
          <w:tcPr>
            <w:tcW w:w="1320" w:type="dxa"/>
            <w:tcBorders>
              <w:top w:val="nil"/>
              <w:left w:val="nil"/>
              <w:bottom w:val="single" w:sz="8" w:space="0" w:color="000000"/>
              <w:right w:val="single" w:sz="8" w:space="0" w:color="000000"/>
            </w:tcBorders>
            <w:shd w:val="clear" w:color="000000" w:fill="FFFFFF"/>
            <w:vAlign w:val="center"/>
            <w:hideMark/>
          </w:tcPr>
          <w:p w14:paraId="11A0EBFF"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64%</w:t>
            </w:r>
          </w:p>
        </w:tc>
      </w:tr>
      <w:tr w:rsidR="007A26A7" w:rsidRPr="007A26A7" w14:paraId="24D98AB6"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078DB368" w14:textId="77777777" w:rsidR="007A26A7" w:rsidRPr="007A26A7" w:rsidRDefault="007A26A7" w:rsidP="007A26A7">
            <w:pP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xml:space="preserve">Age range </w:t>
            </w:r>
          </w:p>
        </w:tc>
        <w:tc>
          <w:tcPr>
            <w:tcW w:w="1320" w:type="dxa"/>
            <w:tcBorders>
              <w:top w:val="nil"/>
              <w:left w:val="nil"/>
              <w:bottom w:val="single" w:sz="8" w:space="0" w:color="000000"/>
              <w:right w:val="single" w:sz="8" w:space="0" w:color="000000"/>
            </w:tcBorders>
            <w:shd w:val="clear" w:color="000000" w:fill="FFFFFF"/>
            <w:vAlign w:val="center"/>
            <w:hideMark/>
          </w:tcPr>
          <w:p w14:paraId="62284C22"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w:t>
            </w:r>
          </w:p>
        </w:tc>
        <w:tc>
          <w:tcPr>
            <w:tcW w:w="1320" w:type="dxa"/>
            <w:tcBorders>
              <w:top w:val="nil"/>
              <w:left w:val="nil"/>
              <w:bottom w:val="single" w:sz="8" w:space="0" w:color="000000"/>
              <w:right w:val="single" w:sz="8" w:space="0" w:color="000000"/>
            </w:tcBorders>
            <w:shd w:val="clear" w:color="000000" w:fill="FFFFFF"/>
            <w:vAlign w:val="center"/>
            <w:hideMark/>
          </w:tcPr>
          <w:p w14:paraId="3EFDACC3"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w:t>
            </w:r>
          </w:p>
        </w:tc>
      </w:tr>
      <w:tr w:rsidR="007A26A7" w:rsidRPr="007A26A7" w14:paraId="5BCD3632"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48AB21BD" w14:textId="77777777" w:rsidR="007A26A7" w:rsidRPr="007A26A7" w:rsidRDefault="007A26A7" w:rsidP="007A26A7">
            <w:pPr>
              <w:jc w:val="right"/>
              <w:rPr>
                <w:rFonts w:ascii="Aptos" w:eastAsia="Times New Roman" w:hAnsi="Aptos" w:cs="Calibri"/>
                <w:i/>
                <w:iCs/>
                <w:color w:val="000000"/>
                <w:kern w:val="0"/>
                <w:sz w:val="20"/>
                <w:szCs w:val="20"/>
                <w14:ligatures w14:val="none"/>
              </w:rPr>
            </w:pPr>
            <w:r w:rsidRPr="007A26A7">
              <w:rPr>
                <w:rFonts w:ascii="Aptos" w:eastAsia="Times New Roman" w:hAnsi="Aptos" w:cs="Calibri"/>
                <w:i/>
                <w:iCs/>
                <w:color w:val="000000"/>
                <w:kern w:val="0"/>
                <w:sz w:val="20"/>
                <w:szCs w:val="20"/>
                <w14:ligatures w14:val="none"/>
              </w:rPr>
              <w:t>18-24</w:t>
            </w:r>
          </w:p>
        </w:tc>
        <w:tc>
          <w:tcPr>
            <w:tcW w:w="1320" w:type="dxa"/>
            <w:tcBorders>
              <w:top w:val="nil"/>
              <w:left w:val="nil"/>
              <w:bottom w:val="single" w:sz="8" w:space="0" w:color="000000"/>
              <w:right w:val="single" w:sz="8" w:space="0" w:color="000000"/>
            </w:tcBorders>
            <w:shd w:val="clear" w:color="000000" w:fill="FFFFFF"/>
            <w:vAlign w:val="center"/>
            <w:hideMark/>
          </w:tcPr>
          <w:p w14:paraId="683A1D49"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5</w:t>
            </w:r>
          </w:p>
        </w:tc>
        <w:tc>
          <w:tcPr>
            <w:tcW w:w="1320" w:type="dxa"/>
            <w:tcBorders>
              <w:top w:val="nil"/>
              <w:left w:val="nil"/>
              <w:bottom w:val="single" w:sz="8" w:space="0" w:color="000000"/>
              <w:right w:val="single" w:sz="8" w:space="0" w:color="000000"/>
            </w:tcBorders>
            <w:shd w:val="clear" w:color="000000" w:fill="FFFFFF"/>
            <w:vAlign w:val="center"/>
            <w:hideMark/>
          </w:tcPr>
          <w:p w14:paraId="18825A41"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6%</w:t>
            </w:r>
          </w:p>
        </w:tc>
      </w:tr>
      <w:tr w:rsidR="007A26A7" w:rsidRPr="007A26A7" w14:paraId="4C82BC92"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6AA4FA0C" w14:textId="77777777" w:rsidR="007A26A7" w:rsidRPr="007A26A7" w:rsidRDefault="007A26A7" w:rsidP="007A26A7">
            <w:pPr>
              <w:jc w:val="right"/>
              <w:rPr>
                <w:rFonts w:ascii="Aptos" w:eastAsia="Times New Roman" w:hAnsi="Aptos" w:cs="Calibri"/>
                <w:i/>
                <w:iCs/>
                <w:color w:val="000000"/>
                <w:kern w:val="0"/>
                <w:sz w:val="20"/>
                <w:szCs w:val="20"/>
                <w14:ligatures w14:val="none"/>
              </w:rPr>
            </w:pPr>
            <w:r w:rsidRPr="007A26A7">
              <w:rPr>
                <w:rFonts w:ascii="Aptos" w:eastAsia="Times New Roman" w:hAnsi="Aptos" w:cs="Calibri"/>
                <w:i/>
                <w:iCs/>
                <w:color w:val="000000"/>
                <w:kern w:val="0"/>
                <w:sz w:val="20"/>
                <w:szCs w:val="20"/>
                <w14:ligatures w14:val="none"/>
              </w:rPr>
              <w:t>25-34</w:t>
            </w:r>
          </w:p>
        </w:tc>
        <w:tc>
          <w:tcPr>
            <w:tcW w:w="1320" w:type="dxa"/>
            <w:tcBorders>
              <w:top w:val="nil"/>
              <w:left w:val="nil"/>
              <w:bottom w:val="single" w:sz="8" w:space="0" w:color="000000"/>
              <w:right w:val="single" w:sz="8" w:space="0" w:color="000000"/>
            </w:tcBorders>
            <w:shd w:val="clear" w:color="000000" w:fill="FFFFFF"/>
            <w:vAlign w:val="center"/>
            <w:hideMark/>
          </w:tcPr>
          <w:p w14:paraId="56198F0D"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28</w:t>
            </w:r>
          </w:p>
        </w:tc>
        <w:tc>
          <w:tcPr>
            <w:tcW w:w="1320" w:type="dxa"/>
            <w:tcBorders>
              <w:top w:val="nil"/>
              <w:left w:val="nil"/>
              <w:bottom w:val="single" w:sz="8" w:space="0" w:color="000000"/>
              <w:right w:val="single" w:sz="8" w:space="0" w:color="000000"/>
            </w:tcBorders>
            <w:shd w:val="clear" w:color="000000" w:fill="FFFFFF"/>
            <w:vAlign w:val="center"/>
            <w:hideMark/>
          </w:tcPr>
          <w:p w14:paraId="2D91C6C2"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36%</w:t>
            </w:r>
          </w:p>
        </w:tc>
      </w:tr>
      <w:tr w:rsidR="007A26A7" w:rsidRPr="007A26A7" w14:paraId="0031246A"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4E88FA70" w14:textId="77777777" w:rsidR="007A26A7" w:rsidRPr="007A26A7" w:rsidRDefault="007A26A7" w:rsidP="007A26A7">
            <w:pPr>
              <w:jc w:val="right"/>
              <w:rPr>
                <w:rFonts w:ascii="Aptos" w:eastAsia="Times New Roman" w:hAnsi="Aptos" w:cs="Calibri"/>
                <w:i/>
                <w:iCs/>
                <w:color w:val="000000"/>
                <w:kern w:val="0"/>
                <w:sz w:val="20"/>
                <w:szCs w:val="20"/>
                <w14:ligatures w14:val="none"/>
              </w:rPr>
            </w:pPr>
            <w:r w:rsidRPr="007A26A7">
              <w:rPr>
                <w:rFonts w:ascii="Aptos" w:eastAsia="Times New Roman" w:hAnsi="Aptos" w:cs="Calibri"/>
                <w:i/>
                <w:iCs/>
                <w:color w:val="000000"/>
                <w:kern w:val="0"/>
                <w:sz w:val="20"/>
                <w:szCs w:val="20"/>
                <w14:ligatures w14:val="none"/>
              </w:rPr>
              <w:t>35-44</w:t>
            </w:r>
          </w:p>
        </w:tc>
        <w:tc>
          <w:tcPr>
            <w:tcW w:w="1320" w:type="dxa"/>
            <w:tcBorders>
              <w:top w:val="nil"/>
              <w:left w:val="nil"/>
              <w:bottom w:val="single" w:sz="8" w:space="0" w:color="000000"/>
              <w:right w:val="single" w:sz="8" w:space="0" w:color="000000"/>
            </w:tcBorders>
            <w:shd w:val="clear" w:color="000000" w:fill="FFFFFF"/>
            <w:vAlign w:val="center"/>
            <w:hideMark/>
          </w:tcPr>
          <w:p w14:paraId="77FC8CE0"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25</w:t>
            </w:r>
          </w:p>
        </w:tc>
        <w:tc>
          <w:tcPr>
            <w:tcW w:w="1320" w:type="dxa"/>
            <w:tcBorders>
              <w:top w:val="nil"/>
              <w:left w:val="nil"/>
              <w:bottom w:val="single" w:sz="8" w:space="0" w:color="000000"/>
              <w:right w:val="single" w:sz="8" w:space="0" w:color="000000"/>
            </w:tcBorders>
            <w:shd w:val="clear" w:color="000000" w:fill="FFFFFF"/>
            <w:vAlign w:val="center"/>
            <w:hideMark/>
          </w:tcPr>
          <w:p w14:paraId="2EB566AF"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32%</w:t>
            </w:r>
          </w:p>
        </w:tc>
      </w:tr>
      <w:tr w:rsidR="007A26A7" w:rsidRPr="007A26A7" w14:paraId="6A68EA5E"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784EAC01" w14:textId="77777777" w:rsidR="007A26A7" w:rsidRPr="007A26A7" w:rsidRDefault="007A26A7" w:rsidP="007A26A7">
            <w:pPr>
              <w:jc w:val="right"/>
              <w:rPr>
                <w:rFonts w:ascii="Aptos" w:eastAsia="Times New Roman" w:hAnsi="Aptos" w:cs="Calibri"/>
                <w:i/>
                <w:iCs/>
                <w:color w:val="000000"/>
                <w:kern w:val="0"/>
                <w:sz w:val="20"/>
                <w:szCs w:val="20"/>
                <w14:ligatures w14:val="none"/>
              </w:rPr>
            </w:pPr>
            <w:r w:rsidRPr="007A26A7">
              <w:rPr>
                <w:rFonts w:ascii="Aptos" w:eastAsia="Times New Roman" w:hAnsi="Aptos" w:cs="Calibri"/>
                <w:i/>
                <w:iCs/>
                <w:color w:val="000000"/>
                <w:kern w:val="0"/>
                <w:sz w:val="20"/>
                <w:szCs w:val="20"/>
                <w14:ligatures w14:val="none"/>
              </w:rPr>
              <w:t>45+</w:t>
            </w:r>
          </w:p>
        </w:tc>
        <w:tc>
          <w:tcPr>
            <w:tcW w:w="1320" w:type="dxa"/>
            <w:tcBorders>
              <w:top w:val="nil"/>
              <w:left w:val="nil"/>
              <w:bottom w:val="single" w:sz="8" w:space="0" w:color="000000"/>
              <w:right w:val="single" w:sz="8" w:space="0" w:color="000000"/>
            </w:tcBorders>
            <w:shd w:val="clear" w:color="000000" w:fill="FFFFFF"/>
            <w:vAlign w:val="center"/>
            <w:hideMark/>
          </w:tcPr>
          <w:p w14:paraId="7D2996BA"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19</w:t>
            </w:r>
          </w:p>
        </w:tc>
        <w:tc>
          <w:tcPr>
            <w:tcW w:w="1320" w:type="dxa"/>
            <w:tcBorders>
              <w:top w:val="nil"/>
              <w:left w:val="nil"/>
              <w:bottom w:val="single" w:sz="8" w:space="0" w:color="000000"/>
              <w:right w:val="single" w:sz="8" w:space="0" w:color="000000"/>
            </w:tcBorders>
            <w:shd w:val="clear" w:color="000000" w:fill="FFFFFF"/>
            <w:vAlign w:val="center"/>
            <w:hideMark/>
          </w:tcPr>
          <w:p w14:paraId="3F884918"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25%</w:t>
            </w:r>
          </w:p>
        </w:tc>
      </w:tr>
      <w:tr w:rsidR="007A26A7" w:rsidRPr="007A26A7" w14:paraId="4E6CE280"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55F41162" w14:textId="77777777" w:rsidR="007A26A7" w:rsidRPr="007A26A7" w:rsidRDefault="007A26A7" w:rsidP="007A26A7">
            <w:pP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xml:space="preserve">Country of origin </w:t>
            </w:r>
          </w:p>
        </w:tc>
        <w:tc>
          <w:tcPr>
            <w:tcW w:w="1320" w:type="dxa"/>
            <w:tcBorders>
              <w:top w:val="nil"/>
              <w:left w:val="nil"/>
              <w:bottom w:val="single" w:sz="8" w:space="0" w:color="000000"/>
              <w:right w:val="single" w:sz="8" w:space="0" w:color="000000"/>
            </w:tcBorders>
            <w:shd w:val="clear" w:color="000000" w:fill="FFFFFF"/>
            <w:vAlign w:val="center"/>
            <w:hideMark/>
          </w:tcPr>
          <w:p w14:paraId="0F4BB266"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w:t>
            </w:r>
          </w:p>
        </w:tc>
        <w:tc>
          <w:tcPr>
            <w:tcW w:w="1320" w:type="dxa"/>
            <w:tcBorders>
              <w:top w:val="nil"/>
              <w:left w:val="nil"/>
              <w:bottom w:val="single" w:sz="8" w:space="0" w:color="000000"/>
              <w:right w:val="single" w:sz="8" w:space="0" w:color="000000"/>
            </w:tcBorders>
            <w:shd w:val="clear" w:color="000000" w:fill="FFFFFF"/>
            <w:vAlign w:val="center"/>
            <w:hideMark/>
          </w:tcPr>
          <w:p w14:paraId="6607A5B4"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 </w:t>
            </w:r>
          </w:p>
        </w:tc>
      </w:tr>
      <w:tr w:rsidR="007A26A7" w:rsidRPr="007A26A7" w14:paraId="0CC820F2"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423A28DC" w14:textId="77777777" w:rsidR="007A26A7" w:rsidRPr="007A26A7" w:rsidRDefault="007A26A7" w:rsidP="007A26A7">
            <w:pPr>
              <w:jc w:val="right"/>
              <w:rPr>
                <w:rFonts w:ascii="Aptos" w:eastAsia="Times New Roman" w:hAnsi="Aptos" w:cs="Calibri"/>
                <w:i/>
                <w:iCs/>
                <w:color w:val="000000"/>
                <w:kern w:val="0"/>
                <w:sz w:val="20"/>
                <w:szCs w:val="20"/>
                <w14:ligatures w14:val="none"/>
              </w:rPr>
            </w:pPr>
            <w:r w:rsidRPr="007A26A7">
              <w:rPr>
                <w:rFonts w:ascii="Aptos" w:eastAsia="Times New Roman" w:hAnsi="Aptos" w:cs="Calibri"/>
                <w:i/>
                <w:iCs/>
                <w:color w:val="000000"/>
                <w:kern w:val="0"/>
                <w:sz w:val="20"/>
                <w:szCs w:val="20"/>
                <w14:ligatures w14:val="none"/>
              </w:rPr>
              <w:t>Syrian</w:t>
            </w:r>
          </w:p>
        </w:tc>
        <w:tc>
          <w:tcPr>
            <w:tcW w:w="1320" w:type="dxa"/>
            <w:tcBorders>
              <w:top w:val="nil"/>
              <w:left w:val="nil"/>
              <w:bottom w:val="single" w:sz="8" w:space="0" w:color="000000"/>
              <w:right w:val="single" w:sz="8" w:space="0" w:color="000000"/>
            </w:tcBorders>
            <w:shd w:val="clear" w:color="000000" w:fill="FFFFFF"/>
            <w:vAlign w:val="center"/>
            <w:hideMark/>
          </w:tcPr>
          <w:p w14:paraId="4C3E4A07"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57</w:t>
            </w:r>
          </w:p>
        </w:tc>
        <w:tc>
          <w:tcPr>
            <w:tcW w:w="1320" w:type="dxa"/>
            <w:tcBorders>
              <w:top w:val="nil"/>
              <w:left w:val="nil"/>
              <w:bottom w:val="single" w:sz="8" w:space="0" w:color="000000"/>
              <w:right w:val="single" w:sz="8" w:space="0" w:color="000000"/>
            </w:tcBorders>
            <w:shd w:val="clear" w:color="000000" w:fill="FFFFFF"/>
            <w:vAlign w:val="center"/>
            <w:hideMark/>
          </w:tcPr>
          <w:p w14:paraId="0CAABAAC"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74%</w:t>
            </w:r>
          </w:p>
        </w:tc>
      </w:tr>
      <w:tr w:rsidR="007A26A7" w:rsidRPr="007A26A7" w14:paraId="56247BB9" w14:textId="77777777" w:rsidTr="007A26A7">
        <w:trPr>
          <w:trHeight w:val="340"/>
        </w:trPr>
        <w:tc>
          <w:tcPr>
            <w:tcW w:w="3040" w:type="dxa"/>
            <w:tcBorders>
              <w:top w:val="nil"/>
              <w:left w:val="single" w:sz="8" w:space="0" w:color="000000"/>
              <w:bottom w:val="single" w:sz="8" w:space="0" w:color="000000"/>
              <w:right w:val="single" w:sz="8" w:space="0" w:color="000000"/>
            </w:tcBorders>
            <w:shd w:val="clear" w:color="000000" w:fill="FFFFFF"/>
            <w:vAlign w:val="center"/>
            <w:hideMark/>
          </w:tcPr>
          <w:p w14:paraId="74A489D3" w14:textId="77777777" w:rsidR="007A26A7" w:rsidRPr="007A26A7" w:rsidRDefault="007A26A7" w:rsidP="007A26A7">
            <w:pPr>
              <w:jc w:val="right"/>
              <w:rPr>
                <w:rFonts w:ascii="Aptos" w:eastAsia="Times New Roman" w:hAnsi="Aptos" w:cs="Calibri"/>
                <w:i/>
                <w:iCs/>
                <w:color w:val="000000"/>
                <w:kern w:val="0"/>
                <w:sz w:val="20"/>
                <w:szCs w:val="20"/>
                <w14:ligatures w14:val="none"/>
              </w:rPr>
            </w:pPr>
            <w:r w:rsidRPr="007A26A7">
              <w:rPr>
                <w:rFonts w:ascii="Aptos" w:eastAsia="Times New Roman" w:hAnsi="Aptos" w:cs="Calibri"/>
                <w:i/>
                <w:iCs/>
                <w:color w:val="000000"/>
                <w:kern w:val="0"/>
                <w:sz w:val="20"/>
                <w:szCs w:val="20"/>
                <w14:ligatures w14:val="none"/>
              </w:rPr>
              <w:t>Non-Syrian</w:t>
            </w:r>
          </w:p>
        </w:tc>
        <w:tc>
          <w:tcPr>
            <w:tcW w:w="1320" w:type="dxa"/>
            <w:tcBorders>
              <w:top w:val="nil"/>
              <w:left w:val="nil"/>
              <w:bottom w:val="single" w:sz="8" w:space="0" w:color="000000"/>
              <w:right w:val="single" w:sz="8" w:space="0" w:color="000000"/>
            </w:tcBorders>
            <w:shd w:val="clear" w:color="000000" w:fill="FFFFFF"/>
            <w:vAlign w:val="center"/>
            <w:hideMark/>
          </w:tcPr>
          <w:p w14:paraId="67486068"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20</w:t>
            </w:r>
          </w:p>
        </w:tc>
        <w:tc>
          <w:tcPr>
            <w:tcW w:w="1320" w:type="dxa"/>
            <w:tcBorders>
              <w:top w:val="nil"/>
              <w:left w:val="nil"/>
              <w:bottom w:val="single" w:sz="8" w:space="0" w:color="000000"/>
              <w:right w:val="single" w:sz="8" w:space="0" w:color="000000"/>
            </w:tcBorders>
            <w:shd w:val="clear" w:color="000000" w:fill="FFFFFF"/>
            <w:vAlign w:val="center"/>
            <w:hideMark/>
          </w:tcPr>
          <w:p w14:paraId="5EA76041" w14:textId="77777777" w:rsidR="007A26A7" w:rsidRPr="007A26A7" w:rsidRDefault="007A26A7" w:rsidP="007A26A7">
            <w:pPr>
              <w:jc w:val="center"/>
              <w:rPr>
                <w:rFonts w:ascii="Aptos" w:eastAsia="Times New Roman" w:hAnsi="Aptos" w:cs="Calibri"/>
                <w:color w:val="000000"/>
                <w:kern w:val="0"/>
                <w:sz w:val="20"/>
                <w:szCs w:val="20"/>
                <w14:ligatures w14:val="none"/>
              </w:rPr>
            </w:pPr>
            <w:r w:rsidRPr="007A26A7">
              <w:rPr>
                <w:rFonts w:ascii="Aptos" w:eastAsia="Times New Roman" w:hAnsi="Aptos" w:cs="Calibri"/>
                <w:color w:val="000000"/>
                <w:kern w:val="0"/>
                <w:sz w:val="20"/>
                <w:szCs w:val="20"/>
                <w14:ligatures w14:val="none"/>
              </w:rPr>
              <w:t>26%</w:t>
            </w:r>
          </w:p>
        </w:tc>
      </w:tr>
    </w:tbl>
    <w:p w14:paraId="6E0B48D0" w14:textId="77777777" w:rsidR="004660E2" w:rsidRDefault="004660E2" w:rsidP="004660E2"/>
    <w:p w14:paraId="11CA36CB" w14:textId="59906076" w:rsidR="003C0F3E" w:rsidRDefault="003C0F3E" w:rsidP="003C0F3E">
      <w:pPr>
        <w:pStyle w:val="Heading2"/>
      </w:pPr>
      <w:r>
        <w:t xml:space="preserve">Focus Group Discussion results summary </w:t>
      </w:r>
    </w:p>
    <w:p w14:paraId="03282D52" w14:textId="190CB599" w:rsidR="003C0F3E" w:rsidRDefault="003C0F3E" w:rsidP="003C0F3E">
      <w:pPr>
        <w:rPr>
          <w:lang w:val="en"/>
        </w:rPr>
      </w:pPr>
      <w:r>
        <w:rPr>
          <w:lang w:val="en"/>
        </w:rPr>
        <w:t xml:space="preserve">Findings were summarized around three themes: health service availability and access; solutions and alternatives; feelings and experiences as refugees. Subthemes include </w:t>
      </w:r>
      <w:r w:rsidRPr="004A787C">
        <w:rPr>
          <w:lang w:val="en"/>
        </w:rPr>
        <w:t>access to and availability of care, availability of providers, and fear of COVID-19</w:t>
      </w:r>
      <w:r>
        <w:rPr>
          <w:lang w:val="en"/>
        </w:rPr>
        <w:t xml:space="preserve">, </w:t>
      </w:r>
      <w:r w:rsidRPr="004A787C">
        <w:rPr>
          <w:lang w:val="en"/>
        </w:rPr>
        <w:t>wait</w:t>
      </w:r>
      <w:r>
        <w:rPr>
          <w:lang w:val="en"/>
        </w:rPr>
        <w:t>ing</w:t>
      </w:r>
      <w:r w:rsidRPr="004A787C">
        <w:rPr>
          <w:lang w:val="en"/>
        </w:rPr>
        <w:t xml:space="preserve"> time, transportation, documentation, cost, access to medicines</w:t>
      </w:r>
      <w:r>
        <w:rPr>
          <w:lang w:val="en"/>
        </w:rPr>
        <w:t xml:space="preserve"> and </w:t>
      </w:r>
      <w:r w:rsidRPr="004A787C">
        <w:rPr>
          <w:lang w:val="en"/>
        </w:rPr>
        <w:t>telephone services</w:t>
      </w:r>
      <w:r>
        <w:rPr>
          <w:lang w:val="en"/>
        </w:rPr>
        <w:t>.</w:t>
      </w:r>
    </w:p>
    <w:p w14:paraId="27D022DE" w14:textId="77777777" w:rsidR="003C0F3E" w:rsidRDefault="003C0F3E" w:rsidP="003C0F3E">
      <w:pPr>
        <w:rPr>
          <w:lang w:val="en"/>
        </w:rPr>
      </w:pPr>
    </w:p>
    <w:p w14:paraId="19864B5D" w14:textId="1B079324" w:rsidR="003C0F3E" w:rsidRDefault="003C0F3E" w:rsidP="003C0F3E">
      <w:pPr>
        <w:rPr>
          <w:b/>
          <w:bCs/>
          <w:lang w:val="en"/>
        </w:rPr>
      </w:pPr>
      <w:r>
        <w:rPr>
          <w:b/>
          <w:bCs/>
          <w:lang w:val="en"/>
        </w:rPr>
        <w:t xml:space="preserve">Complexities of receiving care </w:t>
      </w:r>
    </w:p>
    <w:p w14:paraId="198F1BAE" w14:textId="3B50CCDA" w:rsidR="003C0F3E" w:rsidRDefault="003C0F3E" w:rsidP="003C0F3E">
      <w:pPr>
        <w:rPr>
          <w:i/>
          <w:iCs/>
          <w:lang w:val="en"/>
        </w:rPr>
      </w:pPr>
      <w:r w:rsidRPr="003C0F3E">
        <w:rPr>
          <w:i/>
          <w:iCs/>
          <w:lang w:val="en"/>
        </w:rPr>
        <w:t xml:space="preserve">Access to / availability of care </w:t>
      </w:r>
    </w:p>
    <w:p w14:paraId="250FAAE6" w14:textId="77777777" w:rsidR="003C0F3E" w:rsidRPr="0020610C" w:rsidRDefault="003C0F3E" w:rsidP="003C0F3E">
      <w:r w:rsidRPr="0020610C">
        <w:t xml:space="preserve">Access to healthcare has evolved significantly, with the pre-COVID era described as "easier, faster, and the procedures were simpler." While many perceive private care as superior to government or camp facilities, experiences vary widely, with some individuals reporting satisfaction across all settings and time periods. The civil defense consistently receives positive mentions for their healthcare services. In camps, accessing specialist care presents significant challenges, </w:t>
      </w:r>
      <w:r w:rsidRPr="0020610C">
        <w:lastRenderedPageBreak/>
        <w:t>exemplified by a case where a child with persistent headaches was only offered pain medication without transfer options, ultimately requiring private care to diagnose hydrocephalus. Another family in Azraq described having to travel outside the camp for their daughter's treatment, incurring mounting costs without ongoing follow-up from camp healthcare services. The COVID-19 lockdowns created varied experiences – while some found pharmacists to be adequate substitutes during this period, others faced serious disruptions including canceled surgeries, dental appointments, and challenges in treating both chronic and acute conditions. One respondent noted they prefer pharmacists regardless of timing because they are "very knowledgeable, give the right medications and also give children vaccinations," questioning the need to "go to a doctor and pay for the visit." Recent periods have seen reduced healthcare access, attributed to decreased UNHCR coverage and external support, with concerning response delays exemplified by a case where UNHCR responded to a coverage request only five months after the person had given birth. Organizations like Caritas have reportedly withdrawn services in areas like Mafraq, while dental care remains particularly inaccessible in camps, with some Syrians being explicitly denied treatment outside camps and told services were "only for Jordanians."</w:t>
      </w:r>
    </w:p>
    <w:p w14:paraId="5ECF0981" w14:textId="77777777" w:rsidR="003C0F3E" w:rsidRDefault="003C0F3E" w:rsidP="003C0F3E"/>
    <w:p w14:paraId="4FB3F8FB" w14:textId="7CDFB52A" w:rsidR="003C0F3E" w:rsidRPr="003C0F3E" w:rsidRDefault="003C0F3E" w:rsidP="003C0F3E">
      <w:pPr>
        <w:rPr>
          <w:i/>
          <w:iCs/>
        </w:rPr>
      </w:pPr>
      <w:r w:rsidRPr="003C0F3E">
        <w:rPr>
          <w:i/>
          <w:iCs/>
        </w:rPr>
        <w:t xml:space="preserve">Availability and attitude of providers </w:t>
      </w:r>
    </w:p>
    <w:p w14:paraId="44D0439B" w14:textId="5AA75973" w:rsidR="003C0F3E" w:rsidRDefault="003C0F3E" w:rsidP="003C0F3E">
      <w:r w:rsidRPr="0020610C">
        <w:t>Availability and attitude of healthcare providers toward Syrian refugees varies significantly across facilities. Many refugees report</w:t>
      </w:r>
      <w:r w:rsidR="008F4127">
        <w:t>ed</w:t>
      </w:r>
      <w:r w:rsidRPr="0020610C">
        <w:t xml:space="preserve"> experiencing discrimination, with some hospitals being known as "kind to Syrians" while at others, staff "think less of us because we are refugees" and "directly change the whole attitude" upon learning patients are Syrian. This discrimination influences healthcare choices, with some refugees willing to take loans or pay substantially more to access better treatment—exemplified by one person preferring to pay "50-60 JOD to go to </w:t>
      </w:r>
      <w:r>
        <w:t>[facility A]</w:t>
      </w:r>
      <w:r w:rsidRPr="0020610C">
        <w:t xml:space="preserve"> instead of </w:t>
      </w:r>
      <w:r>
        <w:t>[facility B]</w:t>
      </w:r>
      <w:r w:rsidRPr="0020610C">
        <w:t xml:space="preserve"> because they 'don't care about people.'" Knowledge of which facilities treat refugees well appears to be shared informally among the community. Despite these challenges, some report</w:t>
      </w:r>
      <w:r w:rsidR="008F4127">
        <w:t>ed</w:t>
      </w:r>
      <w:r w:rsidRPr="0020610C">
        <w:t xml:space="preserve"> positive experiences at both government and camp hospitals, including providers who reduce fees for Syrians and facilities like </w:t>
      </w:r>
      <w:r>
        <w:t>facility C w</w:t>
      </w:r>
      <w:r w:rsidRPr="0020610C">
        <w:t xml:space="preserve">here "They support Syrians a lot." Issues of perceived staff underqualification, privacy concerns, and provider insensitivity to financial struggles </w:t>
      </w:r>
      <w:r w:rsidR="008F4127">
        <w:t>were</w:t>
      </w:r>
      <w:r w:rsidRPr="0020610C">
        <w:t xml:space="preserve"> common complaints. Many refugees express</w:t>
      </w:r>
      <w:r w:rsidR="008F4127">
        <w:t>ed</w:t>
      </w:r>
      <w:r w:rsidRPr="0020610C">
        <w:t xml:space="preserve"> frustration at not being believed about their symptoms, noting "It's hard to convince the doctor that you are sick!" Personal connections significantly impact</w:t>
      </w:r>
      <w:r w:rsidR="008F4127">
        <w:t>ed</w:t>
      </w:r>
      <w:r w:rsidRPr="0020610C">
        <w:t xml:space="preserve"> care quality, with those knowing someone at a facility receiving better treatment. Refugees frequently report</w:t>
      </w:r>
      <w:r w:rsidR="008F4127">
        <w:t>ed</w:t>
      </w:r>
      <w:r w:rsidRPr="0020610C">
        <w:t xml:space="preserve"> being "passed around" between specialties without resolution, incurring substantial transportation costs, and encountering inconsistent recognition of UNHCR support—"in the morning, one employee acknowledges UNHCR, but in the evening, another one doesn't." These challenges </w:t>
      </w:r>
      <w:r w:rsidR="008F4127">
        <w:t>were</w:t>
      </w:r>
      <w:r w:rsidRPr="0020610C">
        <w:t xml:space="preserve"> particularly pronounced for out-of-camp refugees with dissatisfaction notably increasing in the most recent period.</w:t>
      </w:r>
    </w:p>
    <w:p w14:paraId="0CD0E4E5" w14:textId="77777777" w:rsidR="003C0F3E" w:rsidRDefault="003C0F3E" w:rsidP="003C0F3E"/>
    <w:p w14:paraId="1EAEE04A" w14:textId="6D9257DC" w:rsidR="003C0F3E" w:rsidRPr="003C0F3E" w:rsidRDefault="003C0F3E" w:rsidP="003C0F3E">
      <w:pPr>
        <w:rPr>
          <w:i/>
          <w:iCs/>
        </w:rPr>
      </w:pPr>
      <w:r w:rsidRPr="003C0F3E">
        <w:rPr>
          <w:i/>
          <w:iCs/>
        </w:rPr>
        <w:t xml:space="preserve">Fear of COVID </w:t>
      </w:r>
    </w:p>
    <w:p w14:paraId="0759CF97" w14:textId="046D23C3" w:rsidR="003C0F3E" w:rsidRPr="00401662" w:rsidRDefault="003C0F3E" w:rsidP="003C0F3E">
      <w:r w:rsidRPr="00401662">
        <w:t xml:space="preserve">Fear of COVID was mentioned </w:t>
      </w:r>
      <w:r w:rsidR="008F4127">
        <w:t xml:space="preserve">rarely by </w:t>
      </w:r>
      <w:r w:rsidRPr="00401662">
        <w:t>respondents, though some examples emerged of individuals delaying healthcare due to concerns about contracting the virus at hospitals, particularly during partial restrictions. Beyond infection fears, there was specific anxiety about forced isolation, with one respondent noting "who gets Corona stays locked at the hospital." This apprehension led to avoidance behaviors, including one person hiding from police after visiting a pharmacy because they feared being taken to a hospital following civil defense recommendations. Despite these concerns, respondents demonstrated good understanding of and commitment to preventive measures, reporting that "people were committed to wearing masks, social distance...gathering, we were committed to these rules."</w:t>
      </w:r>
      <w:r w:rsidR="008F4127">
        <w:t xml:space="preserve"> S</w:t>
      </w:r>
      <w:r w:rsidRPr="00401662">
        <w:t xml:space="preserve">ome participants highlighted a positive outcome of the pandemic: improved hygiene practices in both healthcare facilities and schools, with one parent observing "now </w:t>
      </w:r>
      <w:r w:rsidRPr="00401662">
        <w:lastRenderedPageBreak/>
        <w:t>student take their hygiene with them without anyone telling them, even my daughter tell me she cleans her desk."</w:t>
      </w:r>
    </w:p>
    <w:p w14:paraId="45BF2684" w14:textId="77777777" w:rsidR="003C0F3E" w:rsidRDefault="003C0F3E" w:rsidP="003C0F3E"/>
    <w:p w14:paraId="26A6D418" w14:textId="0D6EF34E" w:rsidR="003C0F3E" w:rsidRPr="003C0F3E" w:rsidRDefault="003C0F3E" w:rsidP="003C0F3E">
      <w:pPr>
        <w:rPr>
          <w:i/>
          <w:iCs/>
        </w:rPr>
      </w:pPr>
      <w:r w:rsidRPr="003C0F3E">
        <w:rPr>
          <w:i/>
          <w:iCs/>
        </w:rPr>
        <w:t>Waiting time</w:t>
      </w:r>
    </w:p>
    <w:p w14:paraId="536908CE" w14:textId="1FFBB915" w:rsidR="003C0F3E" w:rsidRPr="00BB57B3" w:rsidRDefault="003C0F3E" w:rsidP="003C0F3E">
      <w:r w:rsidRPr="00BB57B3">
        <w:t>Wait times for healthcare services were a significant concern across all time periods, with particularly strong frustrations expressed during the most recent period. Specialist referrals faced consistent criticism for lengthy delays regardless of urgency or location, exemplified by quotes like "</w:t>
      </w:r>
      <w:r w:rsidR="008F4127">
        <w:t>[Facility name]</w:t>
      </w:r>
      <w:r w:rsidRPr="00BB57B3">
        <w:t xml:space="preserve"> hospital asked them not to write 'urgent' until the person </w:t>
      </w:r>
      <w:r>
        <w:t>ha</w:t>
      </w:r>
      <w:r w:rsidRPr="00BB57B3">
        <w:t xml:space="preserve">s died!" Patients described feeling powerless when faced with incorrect referrals and long waits, with private care being unaffordable despite offering faster service. </w:t>
      </w:r>
      <w:r w:rsidR="008F4127">
        <w:t xml:space="preserve">In one example from </w:t>
      </w:r>
      <w:r w:rsidRPr="00BB57B3">
        <w:t xml:space="preserve">Zaatari, one woman waited months for breast lump imaging despite medical urgency, eventually paying privately for scans while still awaiting treatment. COVID lockdowns exacerbated these challenges, with camp residents walking long distances and sometimes leaving without care due to curfews. Azraq camp residents specifically noted reduced medical facilities, with "40,000 people" using a single medical center, leading to overcrowding and deteriorating conditions where "you will get sicker" just by attending. Outside camps, facilities like </w:t>
      </w:r>
      <w:r w:rsidR="008F4127">
        <w:t>[facility name]</w:t>
      </w:r>
      <w:r w:rsidRPr="00BB57B3">
        <w:t xml:space="preserve"> were criticized for making even yellow-card holders (regular patients) wait for hours, sometimes "in the street," which patients described as "humiliating." Women faced additional barriers, needing childcare arrangements or avoiding early morning appointments due to safety concerns and transportation costs. While most expressed frustration, some patients tolerated lengthy waits when the quality of care was good, with one describing it as "great service" despite the inconvenience.</w:t>
      </w:r>
    </w:p>
    <w:p w14:paraId="5A6C06D1" w14:textId="77777777" w:rsidR="003C0F3E" w:rsidRDefault="003C0F3E" w:rsidP="003C0F3E"/>
    <w:p w14:paraId="1E7D03EE" w14:textId="77DEB7AE" w:rsidR="003C0F3E" w:rsidRDefault="003C0F3E" w:rsidP="003C0F3E">
      <w:pPr>
        <w:rPr>
          <w:i/>
          <w:iCs/>
        </w:rPr>
      </w:pPr>
      <w:r w:rsidRPr="003C0F3E">
        <w:rPr>
          <w:i/>
          <w:iCs/>
        </w:rPr>
        <w:t xml:space="preserve">Transportation </w:t>
      </w:r>
    </w:p>
    <w:p w14:paraId="5E7CAA0F" w14:textId="4327F718" w:rsidR="003C0F3E" w:rsidRPr="00EF6E36" w:rsidRDefault="003C0F3E" w:rsidP="003C0F3E">
      <w:r w:rsidRPr="00EF6E36">
        <w:t>Transportation emerged as a critical factor affecting healthcare access across all time periods. The civil defense service was consistently praised for providing trusted healthcare support, especially during emergencies, though its availability appears to have changed since COVID restrictions ended. During lockdowns, those without vehicles faced significant hardships, including long walks in harsh weather conditions to reach healthcare facilities early enough to secure appointments, with some sending children ahead to hold their place in line. COVID restrictions created a climate of fear around seeking care, with respondents describing hiding from police to visit pharmacies or risking police encounters during emergencies. Some were prevented from accompanying ill family members during transfers, though there were also accounts of police assisting patients to reach hospitals during curfews. Ambulance services received positive reviews for responsive transport to and from hospitals during lockdowns when they were often the only available option, despite occasional long waits. The lifting of restrictions improved access by expanding transportation choices, though financial barriers persisted. In Azraq camp, respondents noted reduced transfers to outside facilities, attributed not to COVID</w:t>
      </w:r>
      <w:r w:rsidR="00322802">
        <w:t>-19</w:t>
      </w:r>
      <w:r w:rsidRPr="00EF6E36">
        <w:t xml:space="preserve"> directly but to decreased UNHCR support, forcing some to pay for their own transportation for regular treatments like twice-weekly therapy. Even after COVID</w:t>
      </w:r>
      <w:r w:rsidR="00322802">
        <w:t>-19</w:t>
      </w:r>
      <w:r w:rsidRPr="00EF6E36">
        <w:t xml:space="preserve"> restrictions eased, transportation remained challenging, with patients skipping appointments due to costs (2-3 JOD daily for taxis), describing the process as "exhausting, humiliating," and facing </w:t>
      </w:r>
      <w:proofErr w:type="gramStart"/>
      <w:r w:rsidRPr="00EF6E36">
        <w:t>particular difficulties</w:t>
      </w:r>
      <w:proofErr w:type="gramEnd"/>
      <w:r w:rsidRPr="00EF6E36">
        <w:t xml:space="preserve"> when required to transfer between multiple facilities.</w:t>
      </w:r>
    </w:p>
    <w:p w14:paraId="50656FBE" w14:textId="77777777" w:rsidR="003C0F3E" w:rsidRDefault="003C0F3E" w:rsidP="003C0F3E"/>
    <w:p w14:paraId="0FEF1400" w14:textId="57F84B53" w:rsidR="003C0F3E" w:rsidRPr="003C0F3E" w:rsidRDefault="003C0F3E" w:rsidP="003C0F3E">
      <w:pPr>
        <w:rPr>
          <w:i/>
          <w:iCs/>
        </w:rPr>
      </w:pPr>
      <w:r w:rsidRPr="003C0F3E">
        <w:rPr>
          <w:i/>
          <w:iCs/>
        </w:rPr>
        <w:t xml:space="preserve">Documentations </w:t>
      </w:r>
    </w:p>
    <w:p w14:paraId="66496665" w14:textId="35F9F781" w:rsidR="003C0F3E" w:rsidRPr="001D411E" w:rsidRDefault="003C0F3E" w:rsidP="003C0F3E">
      <w:r w:rsidRPr="003C0F3E">
        <w:t>R</w:t>
      </w:r>
      <w:r w:rsidRPr="001D411E">
        <w:t xml:space="preserve">efugees </w:t>
      </w:r>
      <w:r w:rsidRPr="003C0F3E">
        <w:t xml:space="preserve">reported </w:t>
      </w:r>
      <w:r w:rsidRPr="001D411E">
        <w:t>fac</w:t>
      </w:r>
      <w:r w:rsidRPr="003C0F3E">
        <w:t xml:space="preserve">ing several challenges related to documentation to </w:t>
      </w:r>
      <w:r w:rsidRPr="001D411E">
        <w:t>access</w:t>
      </w:r>
      <w:r w:rsidRPr="003C0F3E">
        <w:t xml:space="preserve"> </w:t>
      </w:r>
      <w:r w:rsidRPr="001D411E">
        <w:t>healthcare services. UNHCR cards were consistently mentioned as crucial for receiving affordable medical care and assistance, though many noted post-COVID</w:t>
      </w:r>
      <w:r w:rsidR="00322802">
        <w:t>-19</w:t>
      </w:r>
      <w:r w:rsidRPr="001D411E">
        <w:t xml:space="preserve"> difficulties in renewing these cards. The renewal process shifted from same-day service to a user-initiated annual system with lengthy delays and poor communication—some waiting seven months without response.</w:t>
      </w:r>
    </w:p>
    <w:p w14:paraId="28EA23A2" w14:textId="5055D7E4" w:rsidR="003C0F3E" w:rsidRPr="001D411E" w:rsidRDefault="003C0F3E" w:rsidP="003C0F3E">
      <w:r w:rsidRPr="001D411E">
        <w:lastRenderedPageBreak/>
        <w:t>COVID</w:t>
      </w:r>
      <w:r w:rsidR="00322802">
        <w:t>-19</w:t>
      </w:r>
      <w:r w:rsidRPr="001D411E">
        <w:t xml:space="preserve"> vaccine requirements created additional complications, with some feeling coerced into vaccination to maintain freedom of movement, while others mentioned illicit markets for vaccine cards. Several respondents reported health issues they attributed to the vaccines.</w:t>
      </w:r>
    </w:p>
    <w:p w14:paraId="3965C9C1" w14:textId="77777777" w:rsidR="003C0F3E" w:rsidRPr="001D411E" w:rsidRDefault="003C0F3E" w:rsidP="003C0F3E">
      <w:r w:rsidRPr="001D411E">
        <w:t>The system appears to suffer from inconsistent decision-making regarding coverage, creating a perception that healthcare access depends on luck rather than clear criteria. Technical problems like address mismatches between ID documents and UNHCR registration further complicated access. Despite having primary identification, many expressed confusion about obtaining exemption papers and additional documentation needed for specialized treatments and surgeries.</w:t>
      </w:r>
    </w:p>
    <w:p w14:paraId="10F9CB08" w14:textId="77777777" w:rsidR="003C0F3E" w:rsidRDefault="003C0F3E" w:rsidP="003C0F3E"/>
    <w:p w14:paraId="128D6DFD" w14:textId="02C42FCA" w:rsidR="003C0F3E" w:rsidRPr="003C0F3E" w:rsidRDefault="003C0F3E" w:rsidP="003C0F3E">
      <w:pPr>
        <w:rPr>
          <w:i/>
          <w:iCs/>
        </w:rPr>
      </w:pPr>
      <w:r w:rsidRPr="003C0F3E">
        <w:rPr>
          <w:i/>
          <w:iCs/>
        </w:rPr>
        <w:t xml:space="preserve">Medicines access and availability </w:t>
      </w:r>
    </w:p>
    <w:p w14:paraId="3AFBBCBB" w14:textId="54DDE5F7" w:rsidR="003C0F3E" w:rsidRPr="003C0F3E" w:rsidRDefault="003C0F3E" w:rsidP="003C0F3E">
      <w:r w:rsidRPr="003C0F3E">
        <w:t>The pandemic affected medication accessibility, with experiences varying based on location and timing. During lockdown, respondents reported medication shortages, particularly in camp settings. While many could previously obtain needed medications, the situation deteriorated post-COVID</w:t>
      </w:r>
      <w:r w:rsidR="00322802">
        <w:t>-19</w:t>
      </w:r>
      <w:r w:rsidRPr="003C0F3E">
        <w:t>, with a prevailing sentiment that healthcare accessibility worsened even after restrictions lifted.</w:t>
      </w:r>
    </w:p>
    <w:p w14:paraId="79398975" w14:textId="77777777" w:rsidR="003C0F3E" w:rsidRPr="003C0F3E" w:rsidRDefault="003C0F3E" w:rsidP="003C0F3E">
      <w:r w:rsidRPr="003C0F3E">
        <w:t>During lockdown itself, paradoxically, many chronic illness patients experienced some improvements through adapted services - longer prescriptions (3-6 months instead of monthly), fewer required check-ups, and home deliveries. These conveniences disappeared after the lockdown period, disappointing many who had appreciated these accommodations.</w:t>
      </w:r>
    </w:p>
    <w:p w14:paraId="5D45248D" w14:textId="77777777" w:rsidR="003C0F3E" w:rsidRPr="003C0F3E" w:rsidRDefault="003C0F3E" w:rsidP="003C0F3E">
      <w:r w:rsidRPr="003C0F3E">
        <w:t>Financial barriers created significant hardship. Monthly medication costs strained many households, especially Syrian refugees living outside of camps who expressed frustration at having fewer benefits than Jordanian citizens. Some reported medication costs being substantially higher than in pre-war Syria, occasionally pushing them to desperate measures like borrowing identification documents to obtain affordable care.</w:t>
      </w:r>
    </w:p>
    <w:p w14:paraId="437595A5" w14:textId="09BF98E5" w:rsidR="003C0F3E" w:rsidRPr="003C0F3E" w:rsidRDefault="003C0F3E" w:rsidP="003C0F3E">
      <w:r w:rsidRPr="003C0F3E">
        <w:t>Distribution problems emerged in multiple settings. Camp residents increasingly faced stock shortages after COVID</w:t>
      </w:r>
      <w:r w:rsidR="00322802">
        <w:t>-19</w:t>
      </w:r>
      <w:r w:rsidRPr="003C0F3E">
        <w:t xml:space="preserve"> that were unprecedented before the pandemic. Outside camps, patients reported fragmented prescriptions - being limited to four medications per prescription slip and having to purchase additional medications elsewhere at personal expense. Some facilities began referring patients to external pharmacies for medications previously available on-site.</w:t>
      </w:r>
    </w:p>
    <w:p w14:paraId="10FAAEA4" w14:textId="77777777" w:rsidR="003C0F3E" w:rsidRPr="003C0F3E" w:rsidRDefault="003C0F3E" w:rsidP="003C0F3E">
      <w:r w:rsidRPr="003C0F3E">
        <w:t>The situation proved especially difficult for those with complex conditions. Examples included a schizophrenia patient unable to regularly obtain medications despite promises from facilities, creating safety concerns, and a renal patient prescribed specific antibiotics unavailable in camp, requiring costly outside purchases. Even long-term camp residents with established chronic conditions suddenly found previously covered medications unavailable or subject to new charges.</w:t>
      </w:r>
    </w:p>
    <w:p w14:paraId="38CE3ADF" w14:textId="77777777" w:rsidR="003C0F3E" w:rsidRDefault="003C0F3E" w:rsidP="003C0F3E">
      <w:r w:rsidRPr="003C0F3E">
        <w:t>Childhood vaccination access showed mixed experiences after lockdowns, with some reporting hours-long waits followed by supply depletion, while others found school-based vaccine programs worked efficiently. A medication tracking system for chronic conditions ("yellow card scheme") appeared to operate effectively but was inconsistently available, with some non-Jordanian residents reporting access while others were excluded.</w:t>
      </w:r>
    </w:p>
    <w:p w14:paraId="36A45029" w14:textId="77777777" w:rsidR="003C0F3E" w:rsidRDefault="003C0F3E" w:rsidP="003C0F3E">
      <w:pPr>
        <w:rPr>
          <w:szCs w:val="22"/>
        </w:rPr>
      </w:pPr>
    </w:p>
    <w:p w14:paraId="2635723C" w14:textId="16859477" w:rsidR="003C0F3E" w:rsidRPr="003C0F3E" w:rsidRDefault="003C0F3E" w:rsidP="003C0F3E">
      <w:pPr>
        <w:rPr>
          <w:i/>
          <w:iCs/>
          <w:szCs w:val="22"/>
        </w:rPr>
      </w:pPr>
      <w:r w:rsidRPr="003C0F3E">
        <w:rPr>
          <w:i/>
          <w:iCs/>
          <w:szCs w:val="22"/>
        </w:rPr>
        <w:t>Costs</w:t>
      </w:r>
    </w:p>
    <w:p w14:paraId="32C82845" w14:textId="77777777" w:rsidR="003C0F3E" w:rsidRPr="00D8282E" w:rsidRDefault="003C0F3E" w:rsidP="003C0F3E">
      <w:r w:rsidRPr="00D8282E">
        <w:t>The narrative reveals pervasive financial challenges affecting healthcare access across all groups and time periods, though with notable variations. Non-Syrian refugees reported more cost difficulties before COVID-19 than Syrian refugees did, and those living outside camps faced more frequent financial obstacles than camp residents.</w:t>
      </w:r>
    </w:p>
    <w:p w14:paraId="43BD9DC8" w14:textId="77777777" w:rsidR="003C0F3E" w:rsidRPr="00D8282E" w:rsidRDefault="003C0F3E" w:rsidP="003C0F3E">
      <w:r w:rsidRPr="00D8282E">
        <w:t>A common perception emerged that private healthcare offered superior quality—"You always get a better experience when you pay money!"—though this created a two-tiered system where quality care remained inaccessible to many. Even those with refugee status sometimes reported "paying like a foreigner" regardless of their documentation.</w:t>
      </w:r>
    </w:p>
    <w:p w14:paraId="5C5ADCC5" w14:textId="77777777" w:rsidR="003C0F3E" w:rsidRPr="00D8282E" w:rsidRDefault="003C0F3E" w:rsidP="003C0F3E">
      <w:r w:rsidRPr="00D8282E">
        <w:lastRenderedPageBreak/>
        <w:t>Financial constraints routinely prevented people from seeking necessary care. Many described foregoing diagnostic tests like ultrasounds or requesting presumptive treatment to avoid costly investigations. During the COVID-19 pandemic, these financial fears sometimes compromised public health measures, with one patient refusing hospital transfer despite having lung disease and suspected COVID-19 because "the costs for COVID-19 during quarantine were exorbitant."</w:t>
      </w:r>
    </w:p>
    <w:p w14:paraId="7EA5AEBA" w14:textId="77777777" w:rsidR="003C0F3E" w:rsidRPr="00D8282E" w:rsidRDefault="003C0F3E" w:rsidP="003C0F3E">
      <w:r w:rsidRPr="00D8282E">
        <w:t>The system revealed inconsistencies and informal workarounds. Some doctors offered unofficial discounts upon discovering patients were Syrian, while others reported being unable to afford documentation of care that would have allowed them to reclaim costs. In one extreme case, a respondent described selling their identification "card" to purchase needed medications.</w:t>
      </w:r>
    </w:p>
    <w:p w14:paraId="352D1087" w14:textId="77777777" w:rsidR="003C0F3E" w:rsidRPr="00D8282E" w:rsidRDefault="003C0F3E" w:rsidP="003C0F3E">
      <w:r w:rsidRPr="00D8282E">
        <w:t xml:space="preserve">Acute care situations highlighted the severity of payment barriers. Multiple stories emerged of patients being refused treatment until payment was secured—including a child with suspected sepsis and another with an asthma attack. Childbirth presented </w:t>
      </w:r>
      <w:proofErr w:type="gramStart"/>
      <w:r w:rsidRPr="00D8282E">
        <w:t>particular challenges</w:t>
      </w:r>
      <w:proofErr w:type="gramEnd"/>
      <w:r w:rsidRPr="00D8282E">
        <w:t>, with several accounts of women in labor being denied admission without upfront payment, forcing families to take loans or use alternative identification.</w:t>
      </w:r>
    </w:p>
    <w:p w14:paraId="1CDFE7BB" w14:textId="77777777" w:rsidR="003C0F3E" w:rsidRPr="00D8282E" w:rsidRDefault="003C0F3E" w:rsidP="003C0F3E">
      <w:r w:rsidRPr="00D8282E">
        <w:t>The COVID-19 period exacerbated financial difficulties through both changing coverage policies and economic hardship. Services previously covered by organizations like UNHCR or Caritas were discontinued or reduced—"</w:t>
      </w:r>
      <w:r w:rsidRPr="00E12A39">
        <w:rPr>
          <w:i/>
          <w:iCs/>
        </w:rPr>
        <w:t>Before COVID-19, they used to cover the treatment, but when COVID-19 came, they stopped</w:t>
      </w:r>
      <w:r w:rsidRPr="00D8282E">
        <w:t>." This coincided with widespread livelihood losses that diminished people's ability to pay for care.</w:t>
      </w:r>
    </w:p>
    <w:p w14:paraId="54C9BEDC" w14:textId="77777777" w:rsidR="003C0F3E" w:rsidRPr="00D8282E" w:rsidRDefault="003C0F3E" w:rsidP="003C0F3E">
      <w:r w:rsidRPr="00D8282E">
        <w:t>Confusion about coverage eligibility added another layer of complexity. Inconsistent application of policies across facilities left people uncertain about what services would be covered, where they could access subsidized care, and how documentation requirements applied. The location of one's UNHCR registration affected where they could receive subsidized services, sometimes requiring travel to distant facilities.</w:t>
      </w:r>
    </w:p>
    <w:p w14:paraId="5AABD42A" w14:textId="77777777" w:rsidR="003C0F3E" w:rsidRPr="00D8282E" w:rsidRDefault="003C0F3E" w:rsidP="003C0F3E">
      <w:r w:rsidRPr="00D8282E">
        <w:t>Despite these challenges, some positive experiences were reported, particularly regarding UNHCR-subsidized care when it was available: "</w:t>
      </w:r>
      <w:r w:rsidRPr="00E12A39">
        <w:rPr>
          <w:i/>
          <w:iCs/>
        </w:rPr>
        <w:t>We only paid 16 JDs for a scan to his head and his whole body that day</w:t>
      </w:r>
      <w:r w:rsidRPr="00D8282E">
        <w:t>." Government facilities occasionally provided substantial assistance, as exemplified by one respondent whose father received free kidney medication normally costing 100 JOD through Basma hospital. These positive outliers, however, underscored the overall unpredictability of the system that made healthcare access feel arbitrary and uncertain for many vulnerable people.</w:t>
      </w:r>
    </w:p>
    <w:p w14:paraId="381B7BD7" w14:textId="77777777" w:rsidR="003C0F3E" w:rsidRPr="003C0F3E" w:rsidRDefault="003C0F3E" w:rsidP="003C0F3E"/>
    <w:p w14:paraId="6CFCD81D" w14:textId="166B2915" w:rsidR="003C0F3E" w:rsidRPr="003C0F3E" w:rsidRDefault="003C0F3E" w:rsidP="003C0F3E">
      <w:pPr>
        <w:rPr>
          <w:i/>
          <w:iCs/>
        </w:rPr>
      </w:pPr>
      <w:r w:rsidRPr="003C0F3E">
        <w:rPr>
          <w:i/>
          <w:iCs/>
        </w:rPr>
        <w:t xml:space="preserve">Telephonic services </w:t>
      </w:r>
    </w:p>
    <w:p w14:paraId="535B1D4F" w14:textId="77777777" w:rsidR="003C0F3E" w:rsidRPr="00D8282E" w:rsidRDefault="003C0F3E" w:rsidP="003C0F3E">
      <w:r w:rsidRPr="00D8282E">
        <w:t xml:space="preserve">When asked about the use of technology in relation to health care, respondents shared different experiences and opinion varying across settings. </w:t>
      </w:r>
    </w:p>
    <w:p w14:paraId="69804886" w14:textId="77777777" w:rsidR="003C0F3E" w:rsidRPr="00D8282E" w:rsidRDefault="003C0F3E" w:rsidP="003C0F3E">
      <w:r w:rsidRPr="00D8282E">
        <w:t>For camp residents, accessing care during lockdown periods proved challenging, with telemedicine emerging as a potential but often unavailable solution. Many camp residents reported either not having used telemedicine services or feeling these services weren't accessible to them, noting a distinction between availability inside versus outside the camps.</w:t>
      </w:r>
    </w:p>
    <w:p w14:paraId="796B1AF0" w14:textId="77777777" w:rsidR="003C0F3E" w:rsidRPr="00D8282E" w:rsidRDefault="003C0F3E" w:rsidP="003C0F3E">
      <w:r w:rsidRPr="00D8282E">
        <w:t>Informal telemedicine practices were far more common than formal services. Many respondents described relying on personal networks - calling or messaging doctors who were friends, family members, or connections from their home countries via WhatsApp for medical advice. These communications typically involved voice calls rather than video consultations and served either to confirm the appropriateness of care already received or to seek guidance from trusted sources who might offer more affordable advice. One respondent mentioned a WhatsApp group specifically for Iraqis where they could request consultations from doctors, which they utilized during a bleeding episode. This preference for contacting healthcare providers from their countries of origin existed even before COVID-19 restrictions, though it increased during lockdown periods.</w:t>
      </w:r>
    </w:p>
    <w:p w14:paraId="1CF5565C" w14:textId="77777777" w:rsidR="003C0F3E" w:rsidRPr="00D8282E" w:rsidRDefault="003C0F3E" w:rsidP="003C0F3E">
      <w:r w:rsidRPr="00D8282E">
        <w:lastRenderedPageBreak/>
        <w:t>Several formal telemedicine options were mentioned by individual respondents. The "crisis cell" service received positive feedback from one person who used it after seeing their neighbor's successful experience with a COVID-19 consultation. They appreciated both the free service and the follow-up call later in the day checking on their child's condition. Other examples included the Aman app, described by a non-Syrian respondent in Amman as a free way to find and contact doctors, and the Hakim app from Al Bashir hospital, which functioned both as a communication platform and a repository for test results, medical letters, and reports.</w:t>
      </w:r>
    </w:p>
    <w:p w14:paraId="0AFED3ED" w14:textId="77777777" w:rsidR="003C0F3E" w:rsidRPr="00D8282E" w:rsidRDefault="003C0F3E" w:rsidP="003C0F3E">
      <w:r w:rsidRPr="00D8282E">
        <w:t xml:space="preserve">Opinions about telemedicine's utility were divided. While one respondent praised the proliferation of health apps during lockdown for increasing general health awareness, most expressed a clear preference for in-person consultations. Many indicated they would use telemedicine only if </w:t>
      </w:r>
      <w:proofErr w:type="gramStart"/>
      <w:r w:rsidRPr="00D8282E">
        <w:t>absolutely necessary</w:t>
      </w:r>
      <w:proofErr w:type="gramEnd"/>
      <w:r w:rsidRPr="00D8282E">
        <w:t>, particularly expressing concern about its limitations in diagnosing uncertain or complex conditions. Technical literacy also emerged as a barrier, with even younger respondents reporting difficulties using the available apps.</w:t>
      </w:r>
    </w:p>
    <w:p w14:paraId="193CFA4D" w14:textId="7C5D35BA" w:rsidR="003C0F3E" w:rsidRPr="002A7087" w:rsidRDefault="003C0F3E" w:rsidP="003C0F3E">
      <w:r w:rsidRPr="00D8282E">
        <w:t>For those in remote locations, telemedicine became not a preference but a necessity during travel restrictions, highlighting how geographic and mobility factors influenced utilization patterns. Overall, while telemedicine provided a critical lifeline during lockdown periods, it was generally viewed as a compromise rather than an ideal solution for healthcare delivery.</w:t>
      </w:r>
    </w:p>
    <w:p w14:paraId="0CAC7160" w14:textId="77777777" w:rsidR="003C0F3E" w:rsidRDefault="003C0F3E" w:rsidP="003C0F3E"/>
    <w:p w14:paraId="0AFFB702" w14:textId="4D80D526" w:rsidR="003C0F3E" w:rsidRPr="003C0F3E" w:rsidRDefault="003C0F3E" w:rsidP="003C0F3E">
      <w:pPr>
        <w:rPr>
          <w:b/>
          <w:bCs/>
          <w:sz w:val="24"/>
        </w:rPr>
      </w:pPr>
      <w:r w:rsidRPr="003C0F3E">
        <w:rPr>
          <w:b/>
          <w:bCs/>
          <w:sz w:val="24"/>
        </w:rPr>
        <w:t xml:space="preserve">Solutions </w:t>
      </w:r>
    </w:p>
    <w:p w14:paraId="3217899D" w14:textId="77777777" w:rsidR="003C0F3E" w:rsidRPr="003C0F3E" w:rsidRDefault="003C0F3E" w:rsidP="003C0F3E">
      <w:r w:rsidRPr="003C0F3E">
        <w:t xml:space="preserve">Main solutions to challenges in accessing care both during periods of lockdown but also before included using connections, either family, friends or others recommended to access care both formally at clinics and ad-hoc through phone calls and social media. Respondents reported asking for advice on certain health issues from family and friends both back </w:t>
      </w:r>
      <w:proofErr w:type="gramStart"/>
      <w:r w:rsidRPr="003C0F3E">
        <w:t>home</w:t>
      </w:r>
      <w:proofErr w:type="gramEnd"/>
      <w:r w:rsidRPr="003C0F3E">
        <w:t xml:space="preserve">, in Jordan or abroad. Respondents also reported asking for help from people with transport permits to be able to reach hospitals. </w:t>
      </w:r>
    </w:p>
    <w:p w14:paraId="4C070B46" w14:textId="77777777" w:rsidR="003C0F3E" w:rsidRDefault="003C0F3E" w:rsidP="003C0F3E">
      <w:r w:rsidRPr="003C0F3E">
        <w:t xml:space="preserve">Others resorted to trying different providers, often private providers or pharmacies, hoping to be able to receive treatment despite the costs. Finally, some respondents resorted to self-treatment either visiting the nearby pharmacy or using home remedies. </w:t>
      </w:r>
    </w:p>
    <w:p w14:paraId="6E52219F" w14:textId="77777777" w:rsidR="003C0F3E" w:rsidRDefault="003C0F3E" w:rsidP="003C0F3E">
      <w:pPr>
        <w:rPr>
          <w:b/>
          <w:bCs/>
          <w:szCs w:val="22"/>
        </w:rPr>
      </w:pPr>
    </w:p>
    <w:p w14:paraId="7BA84F41" w14:textId="527BB16A" w:rsidR="003C0F3E" w:rsidRPr="003C0F3E" w:rsidRDefault="003C0F3E" w:rsidP="003C0F3E">
      <w:pPr>
        <w:rPr>
          <w:b/>
          <w:bCs/>
          <w:sz w:val="24"/>
        </w:rPr>
      </w:pPr>
      <w:r w:rsidRPr="003C0F3E">
        <w:rPr>
          <w:b/>
          <w:bCs/>
          <w:sz w:val="24"/>
        </w:rPr>
        <w:t xml:space="preserve">Feelings and experiences as refugees </w:t>
      </w:r>
    </w:p>
    <w:p w14:paraId="339F1859" w14:textId="2B80C77C" w:rsidR="003C0F3E" w:rsidRPr="003C0F3E" w:rsidRDefault="003C0F3E" w:rsidP="003C0F3E">
      <w:r w:rsidRPr="003C0F3E">
        <w:t xml:space="preserve">Refugees described a complex landscape of varied treatment, often feeling a distinct shift in </w:t>
      </w:r>
      <w:r w:rsidR="00EF4C4D">
        <w:t xml:space="preserve">the </w:t>
      </w:r>
      <w:r w:rsidRPr="003C0F3E">
        <w:t>provider</w:t>
      </w:r>
      <w:r w:rsidR="00EF4C4D">
        <w:t>’s</w:t>
      </w:r>
      <w:r w:rsidRPr="003C0F3E">
        <w:t xml:space="preserve"> attitudes when their Syrian identity became known. Many recounted how healthcare interactions changed immediately after identifying themselves: "First question they will ask you is (Syrian?) and once you say yes, they will directly change the whole attitude with you, even the face impressions." This experience led some to prefer private hospitals despite higher costs.</w:t>
      </w:r>
    </w:p>
    <w:p w14:paraId="373F80DC" w14:textId="219A5E3B" w:rsidR="003C0F3E" w:rsidRPr="003C0F3E" w:rsidRDefault="003C0F3E" w:rsidP="003C0F3E">
      <w:r w:rsidRPr="003C0F3E">
        <w:t>The social climate also evolved over time. Respondents noted that initial community welcome and support had gradually dissipated, creating a growing sense of alienation. This manifested in feelings of being unheard—"even if we suggested, no one listens"—and increasing challenges accessing services. During COVID-19 restrictions, some described walking to health facilities despite fear of police encounters, as transportation options were limited.</w:t>
      </w:r>
    </w:p>
    <w:p w14:paraId="0B55AA53" w14:textId="740291A5" w:rsidR="003C0F3E" w:rsidRPr="003C0F3E" w:rsidRDefault="003C0F3E" w:rsidP="003C0F3E">
      <w:r w:rsidRPr="003C0F3E">
        <w:t>Economic struggles compounded healthcare barriers. Work permits became more expensive and employment opportunities decreased, creating a climate of insecurity where "anything is caught on you as a Syrian, you go back to the bombs." This economic vulnerability directly impacted healthcare access as costs for non-Jordanians were often higher—"we pay double what Jordanians pay. If a Jordanian pays half a JD, we pay 1 JD."</w:t>
      </w:r>
    </w:p>
    <w:p w14:paraId="296B2118" w14:textId="0D2232C6" w:rsidR="003C0F3E" w:rsidRPr="003C0F3E" w:rsidRDefault="003C0F3E" w:rsidP="003C0F3E">
      <w:r w:rsidRPr="003C0F3E">
        <w:t xml:space="preserve">More recently, some Syrian refugees reported being explicitly turned away from healthcare facilities with statements like "you are Syrians go to UNHCR, they pay for everything, you are coming here to share with us our medicine." This created friction with local populations and a perception that they </w:t>
      </w:r>
      <w:r w:rsidRPr="003C0F3E">
        <w:lastRenderedPageBreak/>
        <w:t>were unwelcome in services intended for Jordanians, despite having legitimate needs. Many responded by either avoiding care altogether or paying for private services at significant financial hardship.</w:t>
      </w:r>
    </w:p>
    <w:p w14:paraId="184E82FE" w14:textId="0442AE37" w:rsidR="003C0F3E" w:rsidRPr="003C0F3E" w:rsidRDefault="003C0F3E" w:rsidP="003C0F3E">
      <w:r w:rsidRPr="003C0F3E">
        <w:t>Trust issues emerged regarding the quality of care when it was received. Some described seeking multiple opinions at great expense when uncomfortable with recommended treatments, such as a parent concerned about steroid treatment for a child with facial nerve palsy. Similar hesitancy appeared regarding COVID-19 vaccines, with some attributing subsequent illness to vaccination.</w:t>
      </w:r>
    </w:p>
    <w:p w14:paraId="101BF590" w14:textId="53F1F4A1" w:rsidR="003C0F3E" w:rsidRPr="003C0F3E" w:rsidRDefault="003C0F3E" w:rsidP="003C0F3E">
      <w:r w:rsidRPr="003C0F3E">
        <w:t>Despite these challenges, many expressed profound gratitude toward Jordan and its people: "We thank the Jordanian people and King Abdullah...they took care of the Syrians...best country in the whole world who welcomed Syrians is Jordan." This appreciation coexisted alongside their frustrations with system inequities.</w:t>
      </w:r>
    </w:p>
    <w:p w14:paraId="1BA84771" w14:textId="77777777" w:rsidR="003C0F3E" w:rsidRPr="003C0F3E" w:rsidRDefault="003C0F3E" w:rsidP="003C0F3E">
      <w:r w:rsidRPr="003C0F3E">
        <w:t>Non-Syrian refugees highlighted additional disparities, noting they received less assistance than Syrians while facing similar employment restrictions. They described significant differences in support structures: "Iris scanning provides you with an official monthly salary, just like Syrians, and coupons. They also provide them with a MasterCard for expenses. We haven't received any support from UNHCR since 2014." This created layered inequalities within refugee communities themselves, with some receiving regular financial support while others reported receiving assistance only once every four years.</w:t>
      </w:r>
    </w:p>
    <w:p w14:paraId="44EF6D33" w14:textId="77777777" w:rsidR="003C0F3E" w:rsidRPr="003C0F3E" w:rsidRDefault="003C0F3E" w:rsidP="003C0F3E">
      <w:pPr>
        <w:rPr>
          <w:szCs w:val="22"/>
        </w:rPr>
      </w:pPr>
    </w:p>
    <w:p w14:paraId="2047C612" w14:textId="77777777" w:rsidR="003C0F3E" w:rsidRPr="003C0F3E" w:rsidRDefault="003C0F3E" w:rsidP="003C0F3E"/>
    <w:sectPr w:rsidR="003C0F3E" w:rsidRPr="003C0F3E" w:rsidSect="002F7CF5">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3BCC5" w14:textId="77777777" w:rsidR="008828B9" w:rsidRDefault="008828B9" w:rsidP="00F874BB">
      <w:r>
        <w:separator/>
      </w:r>
    </w:p>
  </w:endnote>
  <w:endnote w:type="continuationSeparator" w:id="0">
    <w:p w14:paraId="0E283691" w14:textId="77777777" w:rsidR="008828B9" w:rsidRDefault="008828B9" w:rsidP="00F87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8746468"/>
      <w:docPartObj>
        <w:docPartGallery w:val="Page Numbers (Bottom of Page)"/>
        <w:docPartUnique/>
      </w:docPartObj>
    </w:sdtPr>
    <w:sdtContent>
      <w:p w14:paraId="220D6DB4" w14:textId="5992943C" w:rsidR="00F874BB" w:rsidRDefault="00F874BB" w:rsidP="008620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20C409" w14:textId="77777777" w:rsidR="00F874BB" w:rsidRDefault="00F874BB" w:rsidP="00F874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1354556"/>
      <w:docPartObj>
        <w:docPartGallery w:val="Page Numbers (Bottom of Page)"/>
        <w:docPartUnique/>
      </w:docPartObj>
    </w:sdtPr>
    <w:sdtEndPr>
      <w:rPr>
        <w:rStyle w:val="PageNumber"/>
        <w:sz w:val="20"/>
        <w:szCs w:val="20"/>
      </w:rPr>
    </w:sdtEndPr>
    <w:sdtContent>
      <w:p w14:paraId="25DF8F4F" w14:textId="1F594973" w:rsidR="00F874BB" w:rsidRPr="00F874BB" w:rsidRDefault="00F874BB" w:rsidP="00862015">
        <w:pPr>
          <w:pStyle w:val="Footer"/>
          <w:framePr w:wrap="none" w:vAnchor="text" w:hAnchor="margin" w:xAlign="right" w:y="1"/>
          <w:rPr>
            <w:rStyle w:val="PageNumber"/>
            <w:sz w:val="20"/>
            <w:szCs w:val="20"/>
          </w:rPr>
        </w:pPr>
        <w:r w:rsidRPr="00F874BB">
          <w:rPr>
            <w:rStyle w:val="PageNumber"/>
            <w:sz w:val="20"/>
            <w:szCs w:val="20"/>
          </w:rPr>
          <w:fldChar w:fldCharType="begin"/>
        </w:r>
        <w:r w:rsidRPr="00F874BB">
          <w:rPr>
            <w:rStyle w:val="PageNumber"/>
            <w:sz w:val="20"/>
            <w:szCs w:val="20"/>
          </w:rPr>
          <w:instrText xml:space="preserve"> PAGE </w:instrText>
        </w:r>
        <w:r w:rsidRPr="00F874BB">
          <w:rPr>
            <w:rStyle w:val="PageNumber"/>
            <w:sz w:val="20"/>
            <w:szCs w:val="20"/>
          </w:rPr>
          <w:fldChar w:fldCharType="separate"/>
        </w:r>
        <w:r w:rsidRPr="00F874BB">
          <w:rPr>
            <w:rStyle w:val="PageNumber"/>
            <w:noProof/>
            <w:sz w:val="20"/>
            <w:szCs w:val="20"/>
          </w:rPr>
          <w:t>1</w:t>
        </w:r>
        <w:r w:rsidRPr="00F874BB">
          <w:rPr>
            <w:rStyle w:val="PageNumber"/>
            <w:sz w:val="20"/>
            <w:szCs w:val="20"/>
          </w:rPr>
          <w:fldChar w:fldCharType="end"/>
        </w:r>
      </w:p>
    </w:sdtContent>
  </w:sdt>
  <w:p w14:paraId="16E337C7" w14:textId="77777777" w:rsidR="00F874BB" w:rsidRDefault="00F874BB" w:rsidP="00F874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B7FD5" w14:textId="77777777" w:rsidR="008828B9" w:rsidRDefault="008828B9" w:rsidP="00F874BB">
      <w:r>
        <w:separator/>
      </w:r>
    </w:p>
  </w:footnote>
  <w:footnote w:type="continuationSeparator" w:id="0">
    <w:p w14:paraId="0A53D604" w14:textId="77777777" w:rsidR="008828B9" w:rsidRDefault="008828B9" w:rsidP="00F874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470"/>
    <w:multiLevelType w:val="multilevel"/>
    <w:tmpl w:val="2556C5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5F050FA3"/>
    <w:multiLevelType w:val="hybridMultilevel"/>
    <w:tmpl w:val="24542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111824">
    <w:abstractNumId w:val="0"/>
  </w:num>
  <w:num w:numId="2" w16cid:durableId="990258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EED"/>
    <w:rsid w:val="002F7CF5"/>
    <w:rsid w:val="00322802"/>
    <w:rsid w:val="00347555"/>
    <w:rsid w:val="003C0F3E"/>
    <w:rsid w:val="004660E2"/>
    <w:rsid w:val="00517768"/>
    <w:rsid w:val="00555E4B"/>
    <w:rsid w:val="005A06F6"/>
    <w:rsid w:val="006621D8"/>
    <w:rsid w:val="007300B5"/>
    <w:rsid w:val="007703B8"/>
    <w:rsid w:val="007A26A7"/>
    <w:rsid w:val="007A6405"/>
    <w:rsid w:val="00863A83"/>
    <w:rsid w:val="008828B9"/>
    <w:rsid w:val="008F4127"/>
    <w:rsid w:val="00910FF0"/>
    <w:rsid w:val="009423DB"/>
    <w:rsid w:val="00A109C7"/>
    <w:rsid w:val="00A12D06"/>
    <w:rsid w:val="00B74455"/>
    <w:rsid w:val="00B94727"/>
    <w:rsid w:val="00BE5E1C"/>
    <w:rsid w:val="00C23482"/>
    <w:rsid w:val="00C71B4A"/>
    <w:rsid w:val="00CD701A"/>
    <w:rsid w:val="00CE55FA"/>
    <w:rsid w:val="00E12A39"/>
    <w:rsid w:val="00E60B27"/>
    <w:rsid w:val="00E71EED"/>
    <w:rsid w:val="00EA4B0E"/>
    <w:rsid w:val="00EF3D7A"/>
    <w:rsid w:val="00EF4C4D"/>
    <w:rsid w:val="00F44DAE"/>
    <w:rsid w:val="00F87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CF8891"/>
  <w15:chartTrackingRefBased/>
  <w15:docId w15:val="{448505EB-6BD1-544B-BA5E-DC712AD3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F3E"/>
    <w:pPr>
      <w:jc w:val="both"/>
    </w:pPr>
    <w:rPr>
      <w:sz w:val="22"/>
    </w:rPr>
  </w:style>
  <w:style w:type="paragraph" w:styleId="Heading1">
    <w:name w:val="heading 1"/>
    <w:basedOn w:val="Normal"/>
    <w:next w:val="Normal"/>
    <w:link w:val="Heading1Char"/>
    <w:uiPriority w:val="9"/>
    <w:qFormat/>
    <w:rsid w:val="003C0F3E"/>
    <w:pPr>
      <w:keepNext/>
      <w:keepLines/>
      <w:numPr>
        <w:numId w:val="1"/>
      </w:numPr>
      <w:outlineLvl w:val="0"/>
    </w:pPr>
    <w:rPr>
      <w:rFonts w:asciiTheme="majorHAnsi" w:eastAsiaTheme="majorEastAsia" w:hAnsiTheme="majorHAnsi" w:cstheme="majorBidi"/>
      <w:color w:val="0F4761" w:themeColor="accent1" w:themeShade="BF"/>
      <w:sz w:val="28"/>
      <w:szCs w:val="40"/>
    </w:rPr>
  </w:style>
  <w:style w:type="paragraph" w:styleId="Heading2">
    <w:name w:val="heading 2"/>
    <w:basedOn w:val="Normal"/>
    <w:next w:val="Normal"/>
    <w:link w:val="Heading2Char"/>
    <w:uiPriority w:val="9"/>
    <w:unhideWhenUsed/>
    <w:qFormat/>
    <w:rsid w:val="003C0F3E"/>
    <w:pPr>
      <w:keepNext/>
      <w:keepLines/>
      <w:numPr>
        <w:ilvl w:val="1"/>
        <w:numId w:val="1"/>
      </w:numPr>
      <w:spacing w:before="160" w:after="80"/>
      <w:outlineLvl w:val="1"/>
    </w:pPr>
    <w:rPr>
      <w:rFonts w:asciiTheme="majorHAnsi" w:eastAsiaTheme="majorEastAsia" w:hAnsiTheme="majorHAnsi" w:cstheme="majorBidi"/>
      <w:color w:val="0F4761" w:themeColor="accent1" w:themeShade="BF"/>
      <w:szCs w:val="32"/>
    </w:rPr>
  </w:style>
  <w:style w:type="paragraph" w:styleId="Heading3">
    <w:name w:val="heading 3"/>
    <w:basedOn w:val="Normal"/>
    <w:next w:val="Normal"/>
    <w:link w:val="Heading3Char"/>
    <w:uiPriority w:val="9"/>
    <w:semiHidden/>
    <w:unhideWhenUsed/>
    <w:qFormat/>
    <w:rsid w:val="00E71EED"/>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EED"/>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EED"/>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EED"/>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EED"/>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EED"/>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EED"/>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est1">
    <w:name w:val="Test 1"/>
    <w:basedOn w:val="TableNormal"/>
    <w:uiPriority w:val="99"/>
    <w:rsid w:val="00C71B4A"/>
    <w:tblPr/>
  </w:style>
  <w:style w:type="character" w:customStyle="1" w:styleId="Heading1Char">
    <w:name w:val="Heading 1 Char"/>
    <w:basedOn w:val="DefaultParagraphFont"/>
    <w:link w:val="Heading1"/>
    <w:uiPriority w:val="9"/>
    <w:rsid w:val="003C0F3E"/>
    <w:rPr>
      <w:rFonts w:asciiTheme="majorHAnsi" w:eastAsiaTheme="majorEastAsia" w:hAnsiTheme="majorHAnsi" w:cstheme="majorBidi"/>
      <w:color w:val="0F4761" w:themeColor="accent1" w:themeShade="BF"/>
      <w:sz w:val="28"/>
      <w:szCs w:val="40"/>
    </w:rPr>
  </w:style>
  <w:style w:type="character" w:customStyle="1" w:styleId="Heading2Char">
    <w:name w:val="Heading 2 Char"/>
    <w:basedOn w:val="DefaultParagraphFont"/>
    <w:link w:val="Heading2"/>
    <w:uiPriority w:val="9"/>
    <w:rsid w:val="003C0F3E"/>
    <w:rPr>
      <w:rFonts w:asciiTheme="majorHAnsi" w:eastAsiaTheme="majorEastAsia" w:hAnsiTheme="majorHAnsi" w:cstheme="majorBidi"/>
      <w:color w:val="0F4761" w:themeColor="accent1" w:themeShade="BF"/>
      <w:szCs w:val="32"/>
    </w:rPr>
  </w:style>
  <w:style w:type="character" w:customStyle="1" w:styleId="Heading3Char">
    <w:name w:val="Heading 3 Char"/>
    <w:basedOn w:val="DefaultParagraphFont"/>
    <w:link w:val="Heading3"/>
    <w:uiPriority w:val="9"/>
    <w:semiHidden/>
    <w:rsid w:val="00E71E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E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E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E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E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E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EED"/>
    <w:rPr>
      <w:rFonts w:eastAsiaTheme="majorEastAsia" w:cstheme="majorBidi"/>
      <w:color w:val="272727" w:themeColor="text1" w:themeTint="D8"/>
    </w:rPr>
  </w:style>
  <w:style w:type="paragraph" w:styleId="Title">
    <w:name w:val="Title"/>
    <w:basedOn w:val="Normal"/>
    <w:next w:val="Normal"/>
    <w:link w:val="TitleChar"/>
    <w:uiPriority w:val="10"/>
    <w:qFormat/>
    <w:rsid w:val="00E71E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EE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E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E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1EED"/>
    <w:rPr>
      <w:i/>
      <w:iCs/>
      <w:color w:val="404040" w:themeColor="text1" w:themeTint="BF"/>
    </w:rPr>
  </w:style>
  <w:style w:type="paragraph" w:styleId="ListParagraph">
    <w:name w:val="List Paragraph"/>
    <w:basedOn w:val="Normal"/>
    <w:uiPriority w:val="34"/>
    <w:qFormat/>
    <w:rsid w:val="00E71EED"/>
    <w:pPr>
      <w:ind w:left="720"/>
      <w:contextualSpacing/>
    </w:pPr>
  </w:style>
  <w:style w:type="character" w:styleId="IntenseEmphasis">
    <w:name w:val="Intense Emphasis"/>
    <w:basedOn w:val="DefaultParagraphFont"/>
    <w:uiPriority w:val="21"/>
    <w:qFormat/>
    <w:rsid w:val="00E71EED"/>
    <w:rPr>
      <w:i/>
      <w:iCs/>
      <w:color w:val="0F4761" w:themeColor="accent1" w:themeShade="BF"/>
    </w:rPr>
  </w:style>
  <w:style w:type="paragraph" w:styleId="IntenseQuote">
    <w:name w:val="Intense Quote"/>
    <w:basedOn w:val="Normal"/>
    <w:next w:val="Normal"/>
    <w:link w:val="IntenseQuoteChar"/>
    <w:uiPriority w:val="30"/>
    <w:qFormat/>
    <w:rsid w:val="00E71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EED"/>
    <w:rPr>
      <w:i/>
      <w:iCs/>
      <w:color w:val="0F4761" w:themeColor="accent1" w:themeShade="BF"/>
    </w:rPr>
  </w:style>
  <w:style w:type="character" w:styleId="IntenseReference">
    <w:name w:val="Intense Reference"/>
    <w:basedOn w:val="DefaultParagraphFont"/>
    <w:uiPriority w:val="32"/>
    <w:qFormat/>
    <w:rsid w:val="00E71EED"/>
    <w:rPr>
      <w:b/>
      <w:bCs/>
      <w:smallCaps/>
      <w:color w:val="0F4761" w:themeColor="accent1" w:themeShade="BF"/>
      <w:spacing w:val="5"/>
    </w:rPr>
  </w:style>
  <w:style w:type="paragraph" w:styleId="Footer">
    <w:name w:val="footer"/>
    <w:basedOn w:val="Normal"/>
    <w:link w:val="FooterChar"/>
    <w:uiPriority w:val="99"/>
    <w:unhideWhenUsed/>
    <w:rsid w:val="00F874BB"/>
    <w:pPr>
      <w:tabs>
        <w:tab w:val="center" w:pos="4680"/>
        <w:tab w:val="right" w:pos="9360"/>
      </w:tabs>
    </w:pPr>
  </w:style>
  <w:style w:type="character" w:customStyle="1" w:styleId="FooterChar">
    <w:name w:val="Footer Char"/>
    <w:basedOn w:val="DefaultParagraphFont"/>
    <w:link w:val="Footer"/>
    <w:uiPriority w:val="99"/>
    <w:rsid w:val="00F874BB"/>
    <w:rPr>
      <w:sz w:val="22"/>
    </w:rPr>
  </w:style>
  <w:style w:type="character" w:styleId="PageNumber">
    <w:name w:val="page number"/>
    <w:basedOn w:val="DefaultParagraphFont"/>
    <w:uiPriority w:val="99"/>
    <w:semiHidden/>
    <w:unhideWhenUsed/>
    <w:rsid w:val="00F874BB"/>
  </w:style>
  <w:style w:type="paragraph" w:styleId="Header">
    <w:name w:val="header"/>
    <w:basedOn w:val="Normal"/>
    <w:link w:val="HeaderChar"/>
    <w:uiPriority w:val="99"/>
    <w:unhideWhenUsed/>
    <w:rsid w:val="00F874BB"/>
    <w:pPr>
      <w:tabs>
        <w:tab w:val="center" w:pos="4680"/>
        <w:tab w:val="right" w:pos="9360"/>
      </w:tabs>
    </w:pPr>
  </w:style>
  <w:style w:type="character" w:customStyle="1" w:styleId="HeaderChar">
    <w:name w:val="Header Char"/>
    <w:basedOn w:val="DefaultParagraphFont"/>
    <w:link w:val="Header"/>
    <w:uiPriority w:val="99"/>
    <w:rsid w:val="00F874BB"/>
    <w:rPr>
      <w:sz w:val="22"/>
    </w:rPr>
  </w:style>
  <w:style w:type="table" w:styleId="TableGrid">
    <w:name w:val="Table Grid"/>
    <w:basedOn w:val="TableNormal"/>
    <w:uiPriority w:val="39"/>
    <w:rsid w:val="004660E2"/>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A26A7"/>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54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8</Pages>
  <Words>3599</Words>
  <Characters>22171</Characters>
  <Application>Microsoft Office Word</Application>
  <DocSecurity>0</DocSecurity>
  <Lines>583</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Altare</dc:creator>
  <cp:keywords/>
  <dc:description/>
  <cp:lastModifiedBy>Chiara Altare</cp:lastModifiedBy>
  <cp:revision>9</cp:revision>
  <dcterms:created xsi:type="dcterms:W3CDTF">2025-03-31T20:08:00Z</dcterms:created>
  <dcterms:modified xsi:type="dcterms:W3CDTF">2025-12-22T15:41:00Z</dcterms:modified>
</cp:coreProperties>
</file>