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CD" w:rsidRPr="000C3AC0" w:rsidRDefault="00FC32CD" w:rsidP="00FC32CD">
      <w:pPr>
        <w:pStyle w:val="Caption"/>
        <w:keepNext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Additional File 2</w:t>
      </w:r>
      <w:r w:rsidRPr="000C3AC0">
        <w:rPr>
          <w:color w:val="auto"/>
          <w:sz w:val="16"/>
          <w:szCs w:val="16"/>
        </w:rPr>
        <w:t>: Cochrane Risk of Bias Tool for RCTs</w:t>
      </w:r>
    </w:p>
    <w:tbl>
      <w:tblPr>
        <w:tblW w:w="13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23"/>
        <w:gridCol w:w="1225"/>
        <w:gridCol w:w="1469"/>
        <w:gridCol w:w="1259"/>
        <w:gridCol w:w="1181"/>
        <w:gridCol w:w="997"/>
        <w:gridCol w:w="1960"/>
      </w:tblGrid>
      <w:tr w:rsidR="00FC32CD" w:rsidRPr="000C3AC0" w:rsidTr="00FF3D9E">
        <w:trPr>
          <w:trHeight w:val="20"/>
        </w:trPr>
        <w:tc>
          <w:tcPr>
            <w:tcW w:w="3969" w:type="dxa"/>
            <w:vMerge w:val="restart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Title of review &amp; Authors</w:t>
            </w:r>
          </w:p>
        </w:tc>
        <w:tc>
          <w:tcPr>
            <w:tcW w:w="1123" w:type="dxa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Type of bias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Selection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Performance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Detection</w:t>
            </w:r>
          </w:p>
        </w:tc>
        <w:tc>
          <w:tcPr>
            <w:tcW w:w="0" w:type="auto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Attrition</w:t>
            </w:r>
          </w:p>
        </w:tc>
        <w:tc>
          <w:tcPr>
            <w:tcW w:w="2957" w:type="dxa"/>
            <w:gridSpan w:val="2"/>
            <w:shd w:val="clear" w:color="auto" w:fill="9CC2E5" w:themeFill="accent1" w:themeFillTint="99"/>
            <w:vAlign w:val="center"/>
            <w:hideMark/>
          </w:tcPr>
          <w:p w:rsidR="00FC32CD" w:rsidRPr="0048757C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48757C">
              <w:rPr>
                <w:b/>
                <w:bCs/>
                <w:sz w:val="16"/>
                <w:szCs w:val="16"/>
                <w:lang w:eastAsia="en-GB"/>
              </w:rPr>
              <w:t>Reporting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vMerge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23" w:type="dxa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Random sequence generation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Allocation concealment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Blinding of participants and personnel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Blinding of outcome assessment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Incomplete outcome data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Selective reporting</w:t>
            </w:r>
          </w:p>
        </w:tc>
        <w:tc>
          <w:tcPr>
            <w:tcW w:w="1960" w:type="dxa"/>
            <w:shd w:val="clear" w:color="auto" w:fill="DEEAF6" w:themeFill="accent1" w:themeFillTint="33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bCs/>
                <w:sz w:val="16"/>
                <w:szCs w:val="16"/>
                <w:lang w:eastAsia="en-GB"/>
              </w:rPr>
            </w:pPr>
            <w:r w:rsidRPr="000C3AC0">
              <w:rPr>
                <w:b/>
                <w:bCs/>
                <w:sz w:val="16"/>
                <w:szCs w:val="16"/>
                <w:lang w:eastAsia="en-GB"/>
              </w:rPr>
              <w:t>Other biases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Lay delivered interventions or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Patel et al., 2017</w:t>
            </w:r>
            <w:r>
              <w:rPr>
                <w:b/>
                <w:sz w:val="16"/>
                <w:szCs w:val="16"/>
                <w:lang w:eastAsia="en-GB"/>
              </w:rPr>
              <w:t xml:space="preserve"> [49]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Vanobberghen</w:t>
            </w:r>
            <w:r w:rsidRPr="000C3AC0">
              <w:rPr>
                <w:b/>
                <w:sz w:val="16"/>
                <w:szCs w:val="16"/>
                <w:lang w:eastAsia="en-GB"/>
              </w:rPr>
              <w:t xml:space="preserve"> et al., 2020</w:t>
            </w:r>
            <w:r>
              <w:rPr>
                <w:b/>
                <w:sz w:val="16"/>
                <w:szCs w:val="16"/>
                <w:lang w:eastAsia="en-GB"/>
              </w:rPr>
              <w:t xml:space="preserve"> [71]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Patel et al., 2010</w:t>
            </w:r>
            <w:r>
              <w:rPr>
                <w:b/>
                <w:sz w:val="16"/>
                <w:szCs w:val="16"/>
                <w:lang w:eastAsia="en-GB"/>
              </w:rPr>
              <w:t xml:space="preserve"> [56]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Patel et al., 2011</w:t>
            </w:r>
            <w:r>
              <w:rPr>
                <w:b/>
                <w:sz w:val="16"/>
                <w:szCs w:val="16"/>
                <w:lang w:eastAsia="en-GB"/>
              </w:rPr>
              <w:t xml:space="preserve"> [40]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Fuhr et al., 2019</w:t>
            </w:r>
            <w:r>
              <w:rPr>
                <w:b/>
                <w:sz w:val="16"/>
                <w:szCs w:val="16"/>
                <w:lang w:eastAsia="en-GB"/>
              </w:rPr>
              <w:t xml:space="preserve"> [41]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Arjadi et al., 2018</w:t>
            </w:r>
            <w:r>
              <w:rPr>
                <w:b/>
                <w:sz w:val="16"/>
                <w:szCs w:val="16"/>
                <w:lang w:eastAsia="en-GB"/>
              </w:rPr>
              <w:t xml:space="preserve"> [68]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Jordans et al., 2019</w:t>
            </w:r>
            <w:r>
              <w:rPr>
                <w:b/>
                <w:sz w:val="16"/>
                <w:szCs w:val="16"/>
                <w:lang w:eastAsia="en-GB"/>
              </w:rPr>
              <w:t xml:space="preserve"> [64]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Yoga, aerobic and/or meditation based interventions or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A2185A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A2185A">
              <w:rPr>
                <w:b/>
                <w:sz w:val="16"/>
                <w:szCs w:val="16"/>
                <w:lang w:eastAsia="en-GB"/>
              </w:rPr>
              <w:t>Tolahunase et al., 2018a</w:t>
            </w:r>
            <w:r>
              <w:rPr>
                <w:b/>
                <w:sz w:val="16"/>
                <w:szCs w:val="16"/>
                <w:lang w:eastAsia="en-GB"/>
              </w:rPr>
              <w:t xml:space="preserve"> [42</w:t>
            </w:r>
            <w:r w:rsidRPr="00A2185A">
              <w:rPr>
                <w:b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A2185A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A2185A">
              <w:rPr>
                <w:rFonts w:eastAsia="Calibri"/>
                <w:b/>
                <w:bCs/>
                <w:sz w:val="16"/>
                <w:szCs w:val="16"/>
              </w:rPr>
              <w:t>Siritienthong et al., 2018 [58]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A2185A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A2185A">
              <w:rPr>
                <w:b/>
                <w:sz w:val="16"/>
                <w:szCs w:val="16"/>
                <w:lang w:eastAsia="en-GB"/>
              </w:rPr>
              <w:t>Tolahunase et al., 2018b</w:t>
            </w:r>
            <w:r>
              <w:rPr>
                <w:b/>
                <w:sz w:val="16"/>
                <w:szCs w:val="16"/>
                <w:lang w:eastAsia="en-GB"/>
              </w:rPr>
              <w:t xml:space="preserve"> [51</w:t>
            </w:r>
            <w:r w:rsidRPr="00A2185A">
              <w:rPr>
                <w:b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56"/>
        </w:trPr>
        <w:tc>
          <w:tcPr>
            <w:tcW w:w="3969" w:type="dxa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Rentala et al., 2013</w:t>
            </w:r>
            <w:r>
              <w:rPr>
                <w:b/>
                <w:sz w:val="16"/>
                <w:szCs w:val="16"/>
                <w:lang w:eastAsia="en-GB"/>
              </w:rPr>
              <w:t xml:space="preserve"> [50]</w:t>
            </w:r>
          </w:p>
        </w:tc>
        <w:tc>
          <w:tcPr>
            <w:tcW w:w="1123" w:type="dxa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Rentala et al., 2015</w:t>
            </w:r>
            <w:r>
              <w:rPr>
                <w:b/>
                <w:sz w:val="16"/>
                <w:szCs w:val="16"/>
                <w:lang w:eastAsia="en-GB"/>
              </w:rPr>
              <w:t xml:space="preserve"> [43]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Rani et al., 2011</w:t>
            </w:r>
            <w:r>
              <w:rPr>
                <w:b/>
                <w:sz w:val="16"/>
                <w:szCs w:val="16"/>
                <w:lang w:eastAsia="en-GB"/>
              </w:rPr>
              <w:t>[44]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Rani et al., 2012</w:t>
            </w:r>
            <w:r>
              <w:rPr>
                <w:b/>
                <w:sz w:val="16"/>
                <w:szCs w:val="16"/>
                <w:lang w:eastAsia="en-GB"/>
              </w:rPr>
              <w:t xml:space="preserve"> [52]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Rani et al., 2016</w:t>
            </w:r>
            <w:r>
              <w:rPr>
                <w:b/>
                <w:sz w:val="16"/>
                <w:szCs w:val="16"/>
                <w:lang w:eastAsia="en-GB"/>
              </w:rPr>
              <w:t xml:space="preserve"> [45]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Roy, ‎2018</w:t>
            </w:r>
            <w:r>
              <w:rPr>
                <w:b/>
                <w:sz w:val="16"/>
                <w:szCs w:val="16"/>
                <w:lang w:eastAsia="en-GB"/>
              </w:rPr>
              <w:t xml:space="preserve"> [46]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CBT oriented interventions or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Reddy et al., 2019</w:t>
            </w:r>
            <w:r>
              <w:rPr>
                <w:b/>
                <w:sz w:val="16"/>
                <w:szCs w:val="16"/>
                <w:lang w:eastAsia="en-GB"/>
              </w:rPr>
              <w:t xml:space="preserve"> [47]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Bryant et al., 2011</w:t>
            </w:r>
            <w:r>
              <w:rPr>
                <w:b/>
                <w:sz w:val="16"/>
                <w:szCs w:val="16"/>
                <w:lang w:eastAsia="en-GB"/>
              </w:rPr>
              <w:t xml:space="preserve"> [59]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34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4F514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4F5140">
              <w:rPr>
                <w:b/>
                <w:sz w:val="16"/>
                <w:szCs w:val="16"/>
                <w:lang w:eastAsia="en-GB"/>
              </w:rPr>
              <w:t>Songprakun &amp; McCann, 2012a [61]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4F514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4F5140">
              <w:rPr>
                <w:b/>
                <w:sz w:val="16"/>
                <w:szCs w:val="16"/>
                <w:lang w:eastAsia="en-GB"/>
              </w:rPr>
              <w:t>Songprakun &amp; McCann, 2012b [62]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4F514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4F5140">
              <w:rPr>
                <w:b/>
                <w:sz w:val="16"/>
                <w:szCs w:val="16"/>
                <w:lang w:eastAsia="en-GB"/>
              </w:rPr>
              <w:t>Songprakun &amp; McCann, 2012c [63]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Indu et al., 2018</w:t>
            </w:r>
            <w:r>
              <w:rPr>
                <w:b/>
                <w:sz w:val="16"/>
                <w:szCs w:val="16"/>
                <w:lang w:eastAsia="en-GB"/>
              </w:rPr>
              <w:t xml:space="preserve"> [53]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Markkula et al., 2019</w:t>
            </w:r>
            <w:r>
              <w:rPr>
                <w:b/>
                <w:sz w:val="16"/>
                <w:szCs w:val="16"/>
                <w:lang w:eastAsia="en-GB"/>
              </w:rPr>
              <w:t xml:space="preserve"> [65]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Thapinta et al., 2014</w:t>
            </w:r>
            <w:r>
              <w:rPr>
                <w:b/>
                <w:sz w:val="16"/>
                <w:szCs w:val="16"/>
                <w:lang w:eastAsia="en-GB"/>
              </w:rPr>
              <w:t xml:space="preserve"> [48]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H</w:t>
            </w:r>
            <w:r w:rsidRPr="000C3AC0">
              <w:rPr>
                <w:sz w:val="16"/>
                <w:szCs w:val="16"/>
                <w:lang w:eastAsia="en-GB"/>
              </w:rPr>
              <w:t>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H</w:t>
            </w:r>
            <w:r w:rsidRPr="000C3AC0">
              <w:rPr>
                <w:sz w:val="16"/>
                <w:szCs w:val="16"/>
                <w:lang w:eastAsia="en-GB"/>
              </w:rPr>
              <w:t>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</w:p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Health worker delivered interventions or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Chatterjee et al., 2019</w:t>
            </w:r>
            <w:r>
              <w:rPr>
                <w:b/>
                <w:sz w:val="16"/>
                <w:szCs w:val="16"/>
                <w:lang w:eastAsia="en-GB"/>
              </w:rPr>
              <w:t xml:space="preserve"> [55]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Ross et al., 2013</w:t>
            </w:r>
            <w:r>
              <w:rPr>
                <w:b/>
                <w:sz w:val="16"/>
                <w:szCs w:val="16"/>
                <w:lang w:eastAsia="en-GB"/>
              </w:rPr>
              <w:t xml:space="preserve"> [60]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Patel et al., 2003</w:t>
            </w:r>
            <w:r>
              <w:rPr>
                <w:b/>
                <w:sz w:val="16"/>
                <w:szCs w:val="16"/>
                <w:lang w:eastAsia="en-GB"/>
              </w:rPr>
              <w:t xml:space="preserve"> [54]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EMDR based interventions or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Steinert et al., 2017</w:t>
            </w:r>
            <w:r>
              <w:rPr>
                <w:b/>
                <w:sz w:val="16"/>
                <w:szCs w:val="16"/>
                <w:lang w:eastAsia="en-GB"/>
              </w:rPr>
              <w:t xml:space="preserve"> [66]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Schubert et al., 2016</w:t>
            </w:r>
            <w:r>
              <w:rPr>
                <w:b/>
                <w:sz w:val="16"/>
                <w:szCs w:val="16"/>
                <w:lang w:eastAsia="en-GB"/>
              </w:rPr>
              <w:t xml:space="preserve"> [69]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13183" w:type="dxa"/>
            <w:gridSpan w:val="8"/>
            <w:shd w:val="clear" w:color="auto" w:fill="BDD6EE" w:themeFill="accent1" w:themeFillTint="66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lastRenderedPageBreak/>
              <w:t>Hybrid Programmes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German et al., 2012</w:t>
            </w:r>
            <w:r>
              <w:rPr>
                <w:b/>
                <w:sz w:val="16"/>
                <w:szCs w:val="16"/>
                <w:lang w:eastAsia="en-GB"/>
              </w:rPr>
              <w:t xml:space="preserve"> [57]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Marasinghe et al., 2012</w:t>
            </w:r>
            <w:r>
              <w:rPr>
                <w:b/>
                <w:sz w:val="16"/>
                <w:szCs w:val="16"/>
                <w:lang w:eastAsia="en-GB"/>
              </w:rPr>
              <w:t xml:space="preserve"> [70]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Unclear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  <w:hideMark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  <w:tr w:rsidR="00FC32CD" w:rsidRPr="000C3AC0" w:rsidTr="00FF3D9E">
        <w:trPr>
          <w:trHeight w:val="20"/>
        </w:trPr>
        <w:tc>
          <w:tcPr>
            <w:tcW w:w="3969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 w:rsidRPr="000C3AC0">
              <w:rPr>
                <w:b/>
                <w:sz w:val="16"/>
                <w:szCs w:val="16"/>
                <w:lang w:eastAsia="en-GB"/>
              </w:rPr>
              <w:t>Esala &amp; Taing, 2017</w:t>
            </w:r>
            <w:r>
              <w:rPr>
                <w:b/>
                <w:sz w:val="16"/>
                <w:szCs w:val="16"/>
                <w:lang w:eastAsia="en-GB"/>
              </w:rPr>
              <w:t xml:space="preserve"> [67]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 w:rsidR="00FC32CD" w:rsidRPr="000C3AC0" w:rsidRDefault="00FC32CD" w:rsidP="00FF3D9E">
            <w:pPr>
              <w:jc w:val="center"/>
              <w:rPr>
                <w:sz w:val="16"/>
                <w:szCs w:val="16"/>
                <w:lang w:eastAsia="en-GB"/>
              </w:rPr>
            </w:pPr>
            <w:r w:rsidRPr="000C3AC0">
              <w:rPr>
                <w:sz w:val="16"/>
                <w:szCs w:val="16"/>
                <w:lang w:eastAsia="en-GB"/>
              </w:rPr>
              <w:t>High</w:t>
            </w:r>
          </w:p>
        </w:tc>
      </w:tr>
    </w:tbl>
    <w:p w:rsidR="00FC32CD" w:rsidRPr="00FE3EA5" w:rsidRDefault="00FC32CD" w:rsidP="00FC32CD">
      <w:pPr>
        <w:rPr>
          <w:b/>
          <w:i/>
          <w:sz w:val="20"/>
          <w:szCs w:val="20"/>
        </w:rPr>
        <w:sectPr w:rsidR="00FC32CD" w:rsidRPr="00FE3EA5" w:rsidSect="001544AF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9A57A2" w:rsidRDefault="009A57A2">
      <w:bookmarkStart w:id="0" w:name="_GoBack"/>
      <w:bookmarkEnd w:id="0"/>
    </w:p>
    <w:sectPr w:rsidR="009A5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CD"/>
    <w:rsid w:val="009A57A2"/>
    <w:rsid w:val="00F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FF4671-995C-4B66-BD0B-F3D2E0F9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C32C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Maddock</dc:creator>
  <cp:keywords/>
  <dc:description/>
  <cp:lastModifiedBy>Alan Maddock</cp:lastModifiedBy>
  <cp:revision>1</cp:revision>
  <dcterms:created xsi:type="dcterms:W3CDTF">2021-06-01T09:05:00Z</dcterms:created>
  <dcterms:modified xsi:type="dcterms:W3CDTF">2021-06-01T09:05:00Z</dcterms:modified>
</cp:coreProperties>
</file>