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633519" w14:textId="3A9C4FF4" w:rsidR="00D6232A" w:rsidRPr="00621BEB" w:rsidRDefault="003F3546" w:rsidP="00D6232A">
      <w:pPr>
        <w:rPr>
          <w:rFonts w:ascii="Times New Roman" w:eastAsia="Times New Roman" w:hAnsi="Times New Roman" w:cs="Times New Roman"/>
          <w:b/>
          <w:bCs/>
          <w:color w:val="000000" w:themeColor="text1"/>
          <w:sz w:val="22"/>
          <w:szCs w:val="22"/>
          <w:u w:val="single"/>
        </w:rPr>
      </w:pPr>
      <w:bookmarkStart w:id="0" w:name="_GoBack"/>
      <w:r>
        <w:rPr>
          <w:rFonts w:ascii="Times New Roman" w:eastAsia="Times New Roman" w:hAnsi="Times New Roman" w:cs="Times New Roman"/>
          <w:b/>
          <w:bCs/>
          <w:color w:val="000000" w:themeColor="text1"/>
          <w:sz w:val="22"/>
          <w:szCs w:val="22"/>
          <w:u w:val="single"/>
        </w:rPr>
        <w:t>Additional file 1</w:t>
      </w:r>
      <w:r w:rsidR="00D6232A" w:rsidRPr="00621BEB">
        <w:rPr>
          <w:rFonts w:ascii="Times New Roman" w:eastAsia="Times New Roman" w:hAnsi="Times New Roman" w:cs="Times New Roman"/>
          <w:b/>
          <w:bCs/>
          <w:color w:val="000000" w:themeColor="text1"/>
          <w:sz w:val="22"/>
          <w:szCs w:val="22"/>
          <w:u w:val="single"/>
        </w:rPr>
        <w:t>: Author’s response to reviewer</w:t>
      </w:r>
      <w:r w:rsidR="00621BEB">
        <w:rPr>
          <w:rFonts w:ascii="Times New Roman" w:eastAsia="Times New Roman" w:hAnsi="Times New Roman" w:cs="Times New Roman"/>
          <w:b/>
          <w:bCs/>
          <w:color w:val="000000" w:themeColor="text1"/>
          <w:sz w:val="22"/>
          <w:szCs w:val="22"/>
          <w:u w:val="single"/>
        </w:rPr>
        <w:t>’s</w:t>
      </w:r>
      <w:r w:rsidR="00D6232A" w:rsidRPr="00621BEB">
        <w:rPr>
          <w:rFonts w:ascii="Times New Roman" w:eastAsia="Times New Roman" w:hAnsi="Times New Roman" w:cs="Times New Roman"/>
          <w:b/>
          <w:bCs/>
          <w:color w:val="000000" w:themeColor="text1"/>
          <w:sz w:val="22"/>
          <w:szCs w:val="22"/>
          <w:u w:val="single"/>
        </w:rPr>
        <w:t xml:space="preserve"> comment</w:t>
      </w:r>
    </w:p>
    <w:p w14:paraId="40683D6C" w14:textId="77777777" w:rsidR="00D6232A" w:rsidRDefault="00D6232A" w:rsidP="00D6232A">
      <w:pPr>
        <w:rPr>
          <w:rFonts w:ascii="Times New Roman" w:eastAsia="Times New Roman" w:hAnsi="Times New Roman" w:cs="Times New Roman"/>
          <w:b/>
          <w:bCs/>
          <w:color w:val="000000" w:themeColor="text1"/>
          <w:sz w:val="22"/>
          <w:szCs w:val="22"/>
        </w:rPr>
      </w:pPr>
    </w:p>
    <w:p w14:paraId="331ABD6D" w14:textId="6123B853" w:rsidR="00D6232A" w:rsidRDefault="00D6232A" w:rsidP="00D6232A">
      <w:pPr>
        <w:rPr>
          <w:rFonts w:ascii="Times New Roman" w:eastAsia="Times New Roman" w:hAnsi="Times New Roman" w:cs="Times New Roman"/>
          <w:b/>
          <w:bCs/>
          <w:color w:val="000000" w:themeColor="text1"/>
          <w:sz w:val="22"/>
          <w:szCs w:val="22"/>
        </w:rPr>
      </w:pPr>
      <w:r w:rsidRPr="0048591E">
        <w:rPr>
          <w:rFonts w:ascii="Times New Roman" w:eastAsia="Times New Roman" w:hAnsi="Times New Roman" w:cs="Times New Roman"/>
          <w:b/>
          <w:bCs/>
          <w:color w:val="000000" w:themeColor="text1"/>
          <w:sz w:val="22"/>
          <w:szCs w:val="22"/>
        </w:rPr>
        <w:t>Please consider performing EFA for peer supporters and non-peer supporters separately, because your sample was heterogenous when taking into account these two categories of participants. You can conduct EFA for a sample of 102 participants as some authors allow samples five times greater than the number of items and/or at least 100 participants as a prerequisite for doing EFA.</w:t>
      </w:r>
    </w:p>
    <w:p w14:paraId="23E1C8B4" w14:textId="77777777" w:rsidR="00D6232A" w:rsidRDefault="00D6232A" w:rsidP="00D6232A">
      <w:pPr>
        <w:rPr>
          <w:rFonts w:ascii="Times New Roman" w:eastAsia="Times New Roman" w:hAnsi="Times New Roman" w:cs="Times New Roman"/>
          <w:b/>
          <w:bCs/>
          <w:color w:val="000000" w:themeColor="text1"/>
          <w:sz w:val="22"/>
          <w:szCs w:val="22"/>
        </w:rPr>
      </w:pPr>
    </w:p>
    <w:p w14:paraId="27DD6D85" w14:textId="77777777" w:rsidR="00D6232A" w:rsidRDefault="00D6232A" w:rsidP="00D6232A">
      <w:pPr>
        <w:rPr>
          <w:rFonts w:ascii="Times New Roman" w:eastAsia="Times New Roman" w:hAnsi="Times New Roman" w:cs="Times New Roman"/>
          <w:color w:val="000000" w:themeColor="text1"/>
          <w:sz w:val="22"/>
          <w:szCs w:val="22"/>
        </w:rPr>
      </w:pPr>
      <w:r w:rsidRPr="0094533A">
        <w:rPr>
          <w:rFonts w:ascii="Times New Roman" w:eastAsia="Times New Roman" w:hAnsi="Times New Roman" w:cs="Times New Roman"/>
          <w:color w:val="000000" w:themeColor="text1"/>
          <w:sz w:val="22"/>
          <w:szCs w:val="22"/>
        </w:rPr>
        <w:t xml:space="preserve">We acknowledge the </w:t>
      </w:r>
      <w:r>
        <w:rPr>
          <w:rFonts w:ascii="Times New Roman" w:eastAsia="Times New Roman" w:hAnsi="Times New Roman" w:cs="Times New Roman"/>
          <w:color w:val="000000" w:themeColor="text1"/>
          <w:sz w:val="22"/>
          <w:szCs w:val="22"/>
        </w:rPr>
        <w:t>merits</w:t>
      </w:r>
      <w:r w:rsidRPr="0094533A">
        <w:rPr>
          <w:rFonts w:ascii="Times New Roman" w:eastAsia="Times New Roman" w:hAnsi="Times New Roman" w:cs="Times New Roman"/>
          <w:color w:val="000000" w:themeColor="text1"/>
          <w:sz w:val="22"/>
          <w:szCs w:val="22"/>
        </w:rPr>
        <w:t xml:space="preserve"> of the point raised by the reviewer. </w:t>
      </w:r>
    </w:p>
    <w:p w14:paraId="74BF4FC5" w14:textId="77777777" w:rsidR="00D6232A" w:rsidRDefault="00D6232A" w:rsidP="00D6232A">
      <w:pPr>
        <w:rPr>
          <w:rFonts w:ascii="Times New Roman" w:eastAsia="Times New Roman" w:hAnsi="Times New Roman" w:cs="Times New Roman"/>
          <w:color w:val="000000" w:themeColor="text1"/>
          <w:sz w:val="22"/>
          <w:szCs w:val="22"/>
        </w:rPr>
      </w:pPr>
    </w:p>
    <w:p w14:paraId="6A642B34" w14:textId="77777777" w:rsidR="00D6232A" w:rsidRDefault="00D6232A" w:rsidP="00D6232A">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As the purpose of the study was to develop and validate the Mental Health Peer Support Questionnaire (MHPSQ) for young adults, regardless of their level of peer support experience, we intended for the scale to be developed from and applicable to both peer supporters and non-peer supporters. This will allow the instrument to be used to assess young adults’ mental health understanding and peer support skills at different stages of the peer support program process, such as pre-peer support training/baseline prior to peer supporter selection (where we could expect the young adult to be similar to the non-peer supporter cohort), and post-peer support training (where the young adult could be more similar to the peer supporter cohort). With this intention in mind, performing the EFA separately for peer supporters and non-peer supporters could introduce biases in the psychometric development. </w:t>
      </w:r>
    </w:p>
    <w:p w14:paraId="1FDA66CC" w14:textId="77777777" w:rsidR="00D6232A" w:rsidRDefault="00D6232A" w:rsidP="00D6232A">
      <w:pPr>
        <w:rPr>
          <w:rFonts w:ascii="Times New Roman" w:eastAsia="Times New Roman" w:hAnsi="Times New Roman" w:cs="Times New Roman"/>
          <w:color w:val="000000" w:themeColor="text1"/>
          <w:sz w:val="22"/>
          <w:szCs w:val="22"/>
        </w:rPr>
      </w:pPr>
    </w:p>
    <w:p w14:paraId="18A67215" w14:textId="77777777" w:rsidR="00D6232A" w:rsidRDefault="00D6232A" w:rsidP="00D6232A">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Nonetheless, we explored performing EFA for peer supporters and non-peer supporters separately. For both subsamples, t</w:t>
      </w:r>
      <w:r w:rsidRPr="00EB42BF">
        <w:rPr>
          <w:rFonts w:ascii="Times New Roman" w:eastAsia="Times New Roman" w:hAnsi="Times New Roman" w:cs="Times New Roman"/>
          <w:color w:val="000000" w:themeColor="text1"/>
          <w:sz w:val="22"/>
          <w:szCs w:val="22"/>
        </w:rPr>
        <w:t>wo eigenvalues were greater than 1; three eigenvalues were greater than .70</w:t>
      </w:r>
      <w:r>
        <w:rPr>
          <w:rFonts w:ascii="Times New Roman" w:eastAsia="Times New Roman" w:hAnsi="Times New Roman" w:cs="Times New Roman"/>
          <w:color w:val="000000" w:themeColor="text1"/>
          <w:sz w:val="22"/>
          <w:szCs w:val="22"/>
        </w:rPr>
        <w:t>; s</w:t>
      </w:r>
      <w:r w:rsidRPr="00EB42BF">
        <w:rPr>
          <w:rFonts w:ascii="Times New Roman" w:eastAsia="Times New Roman" w:hAnsi="Times New Roman" w:cs="Times New Roman"/>
          <w:color w:val="000000" w:themeColor="text1"/>
          <w:sz w:val="22"/>
          <w:szCs w:val="22"/>
        </w:rPr>
        <w:t>cree plots suggested two factors while parallel analysis suggested three factors.</w:t>
      </w:r>
      <w:r>
        <w:rPr>
          <w:rFonts w:ascii="Times New Roman" w:eastAsia="Times New Roman" w:hAnsi="Times New Roman" w:cs="Times New Roman"/>
          <w:color w:val="000000" w:themeColor="text1"/>
          <w:sz w:val="22"/>
          <w:szCs w:val="22"/>
        </w:rPr>
        <w:t xml:space="preserve"> Thus for both subsamples,</w:t>
      </w:r>
      <w:r w:rsidRPr="00953FC1">
        <w:t xml:space="preserve"> </w:t>
      </w:r>
      <w:r>
        <w:rPr>
          <w:rFonts w:ascii="Times New Roman" w:eastAsia="Times New Roman" w:hAnsi="Times New Roman" w:cs="Times New Roman"/>
          <w:color w:val="000000" w:themeColor="text1"/>
          <w:sz w:val="22"/>
          <w:szCs w:val="22"/>
        </w:rPr>
        <w:t>w</w:t>
      </w:r>
      <w:r w:rsidRPr="00953FC1">
        <w:rPr>
          <w:rFonts w:ascii="Times New Roman" w:eastAsia="Times New Roman" w:hAnsi="Times New Roman" w:cs="Times New Roman"/>
          <w:color w:val="000000" w:themeColor="text1"/>
          <w:sz w:val="22"/>
          <w:szCs w:val="22"/>
        </w:rPr>
        <w:t>e explored the possibility of two or three correlated factors accounting for the data.</w:t>
      </w:r>
      <w:r>
        <w:rPr>
          <w:rFonts w:ascii="Times New Roman" w:eastAsia="Times New Roman" w:hAnsi="Times New Roman" w:cs="Times New Roman"/>
          <w:color w:val="000000" w:themeColor="text1"/>
          <w:sz w:val="22"/>
          <w:szCs w:val="22"/>
        </w:rPr>
        <w:t xml:space="preserve"> The EFA models and their statistics are summarized in Table A below. </w:t>
      </w:r>
    </w:p>
    <w:p w14:paraId="44735E87" w14:textId="77777777" w:rsidR="00D6232A" w:rsidRDefault="00D6232A" w:rsidP="00D6232A">
      <w:pPr>
        <w:rPr>
          <w:rFonts w:ascii="Times New Roman" w:eastAsia="Times New Roman" w:hAnsi="Times New Roman" w:cs="Times New Roman"/>
          <w:color w:val="000000" w:themeColor="text1"/>
          <w:sz w:val="22"/>
          <w:szCs w:val="22"/>
        </w:rPr>
      </w:pPr>
    </w:p>
    <w:p w14:paraId="18FE4526" w14:textId="77777777" w:rsidR="00D6232A" w:rsidRDefault="00D6232A" w:rsidP="00D6232A">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Model A, the model currently used for subsequent analyses within our manuscript, remains as the best fitting model with the highest internal reliability. We would like to highlight that regardless of the sample selected, the three-factor solution performed better than the two-factor solution. Inspection of the factor loadings for all three-factor solutions (Models A, C, E) showed that throughout all three models, each item loaded consistently on the same factors. Thus, our conclusion of a three-factor model (Discerning Stigma, Personal Mastery, and Interpersonal Skills) would not be altered regardless of the sample chosen. </w:t>
      </w:r>
    </w:p>
    <w:p w14:paraId="6DAF900E" w14:textId="77777777" w:rsidR="00D6232A" w:rsidRDefault="00D6232A" w:rsidP="00D6232A">
      <w:pPr>
        <w:rPr>
          <w:rFonts w:ascii="Times New Roman" w:eastAsia="Times New Roman" w:hAnsi="Times New Roman" w:cs="Times New Roman"/>
          <w:color w:val="000000" w:themeColor="text1"/>
          <w:sz w:val="22"/>
          <w:szCs w:val="22"/>
        </w:rPr>
      </w:pPr>
    </w:p>
    <w:p w14:paraId="03364D58" w14:textId="10928C79" w:rsidR="00D6232A" w:rsidRDefault="00D6232A" w:rsidP="00D6232A">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Given lesser relevance to our study’s objectives and little impact on the study’s overall conclusions, we do not think it would be necessary to report further on Models C to F in our manuscript. </w:t>
      </w:r>
    </w:p>
    <w:p w14:paraId="5541DDF1" w14:textId="77777777" w:rsidR="00D6232A" w:rsidRDefault="00D6232A" w:rsidP="00D6232A">
      <w:pPr>
        <w:rPr>
          <w:rFonts w:ascii="Times New Roman" w:eastAsia="Times New Roman" w:hAnsi="Times New Roman" w:cs="Times New Roman"/>
          <w:color w:val="000000" w:themeColor="text1"/>
          <w:sz w:val="22"/>
          <w:szCs w:val="22"/>
        </w:rPr>
      </w:pPr>
    </w:p>
    <w:p w14:paraId="5AEC5080" w14:textId="77777777" w:rsidR="00D6232A" w:rsidRDefault="00D6232A" w:rsidP="00D6232A">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Table A: EFA model comparison statistics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127"/>
        <w:gridCol w:w="976"/>
        <w:gridCol w:w="778"/>
        <w:gridCol w:w="928"/>
        <w:gridCol w:w="983"/>
        <w:gridCol w:w="1011"/>
        <w:gridCol w:w="595"/>
        <w:gridCol w:w="1628"/>
      </w:tblGrid>
      <w:tr w:rsidR="00D6232A" w14:paraId="08A24B2C" w14:textId="77777777" w:rsidTr="00BB368C">
        <w:tc>
          <w:tcPr>
            <w:tcW w:w="2127" w:type="dxa"/>
            <w:tcBorders>
              <w:right w:val="nil"/>
            </w:tcBorders>
          </w:tcPr>
          <w:p w14:paraId="36D92933"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EFA models</w:t>
            </w:r>
          </w:p>
        </w:tc>
        <w:tc>
          <w:tcPr>
            <w:tcW w:w="976" w:type="dxa"/>
            <w:tcBorders>
              <w:left w:val="nil"/>
              <w:right w:val="nil"/>
            </w:tcBorders>
          </w:tcPr>
          <w:p w14:paraId="440E562E" w14:textId="77777777" w:rsidR="00D6232A" w:rsidRPr="00B80424" w:rsidRDefault="00D6232A" w:rsidP="00BB368C">
            <w:pPr>
              <w:rPr>
                <w:rFonts w:ascii="Times New Roman" w:eastAsia="Times New Roman" w:hAnsi="Times New Roman" w:cs="Times New Roman"/>
                <w:b/>
                <w:bCs/>
                <w:color w:val="000000" w:themeColor="text1"/>
                <w:sz w:val="22"/>
                <w:szCs w:val="22"/>
              </w:rPr>
            </w:pPr>
            <w:r>
              <w:rPr>
                <w:rFonts w:ascii="Times New Roman" w:eastAsia="Times New Roman" w:hAnsi="Times New Roman" w:cs="Times New Roman"/>
                <w:b/>
                <w:bCs/>
                <w:color w:val="000000" w:themeColor="text1"/>
                <w:sz w:val="22"/>
                <w:szCs w:val="22"/>
              </w:rPr>
              <w:t># items</w:t>
            </w:r>
          </w:p>
        </w:tc>
        <w:tc>
          <w:tcPr>
            <w:tcW w:w="778" w:type="dxa"/>
            <w:tcBorders>
              <w:left w:val="nil"/>
              <w:right w:val="nil"/>
            </w:tcBorders>
          </w:tcPr>
          <w:p w14:paraId="750CF594"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GFI</w:t>
            </w:r>
          </w:p>
        </w:tc>
        <w:tc>
          <w:tcPr>
            <w:tcW w:w="928" w:type="dxa"/>
            <w:tcBorders>
              <w:left w:val="nil"/>
              <w:right w:val="nil"/>
            </w:tcBorders>
          </w:tcPr>
          <w:p w14:paraId="0D362AED"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AGFI</w:t>
            </w:r>
          </w:p>
        </w:tc>
        <w:tc>
          <w:tcPr>
            <w:tcW w:w="983" w:type="dxa"/>
            <w:tcBorders>
              <w:left w:val="nil"/>
              <w:right w:val="nil"/>
            </w:tcBorders>
          </w:tcPr>
          <w:p w14:paraId="721978D2"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RMSR</w:t>
            </w:r>
          </w:p>
        </w:tc>
        <w:tc>
          <w:tcPr>
            <w:tcW w:w="1011" w:type="dxa"/>
            <w:tcBorders>
              <w:left w:val="nil"/>
              <w:right w:val="nil"/>
            </w:tcBorders>
          </w:tcPr>
          <w:p w14:paraId="563D0F5E"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RMSEA</w:t>
            </w:r>
          </w:p>
        </w:tc>
        <w:tc>
          <w:tcPr>
            <w:tcW w:w="595" w:type="dxa"/>
            <w:tcBorders>
              <w:left w:val="nil"/>
              <w:right w:val="nil"/>
            </w:tcBorders>
          </w:tcPr>
          <w:p w14:paraId="7F836562"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CFI</w:t>
            </w:r>
          </w:p>
        </w:tc>
        <w:tc>
          <w:tcPr>
            <w:tcW w:w="1628" w:type="dxa"/>
            <w:tcBorders>
              <w:left w:val="nil"/>
            </w:tcBorders>
          </w:tcPr>
          <w:p w14:paraId="6ED55171" w14:textId="77777777" w:rsidR="00D6232A" w:rsidRPr="00B80424" w:rsidRDefault="00D6232A" w:rsidP="00BB368C">
            <w:pPr>
              <w:rPr>
                <w:rFonts w:ascii="Times New Roman" w:eastAsia="Times New Roman" w:hAnsi="Times New Roman" w:cs="Times New Roman"/>
                <w:b/>
                <w:bCs/>
                <w:color w:val="000000" w:themeColor="text1"/>
                <w:sz w:val="22"/>
                <w:szCs w:val="22"/>
              </w:rPr>
            </w:pPr>
            <w:r>
              <w:rPr>
                <w:rFonts w:ascii="Times New Roman" w:eastAsia="Times New Roman" w:hAnsi="Times New Roman" w:cs="Times New Roman"/>
                <w:b/>
                <w:bCs/>
                <w:color w:val="000000" w:themeColor="text1"/>
                <w:sz w:val="22"/>
                <w:szCs w:val="22"/>
              </w:rPr>
              <w:t xml:space="preserve">Cronbach’s </w:t>
            </w:r>
            <w:r>
              <w:rPr>
                <w:rFonts w:ascii="Times New Roman" w:eastAsia="Times New Roman" w:hAnsi="Times New Roman" w:cs="Times New Roman"/>
                <w:b/>
                <w:bCs/>
                <w:color w:val="000000" w:themeColor="text1"/>
                <w:sz w:val="22"/>
                <w:szCs w:val="22"/>
              </w:rPr>
              <w:sym w:font="Symbol" w:char="F061"/>
            </w:r>
          </w:p>
        </w:tc>
      </w:tr>
      <w:tr w:rsidR="00D6232A" w14:paraId="1551C1D2" w14:textId="77777777" w:rsidTr="00BB368C">
        <w:tc>
          <w:tcPr>
            <w:tcW w:w="2127" w:type="dxa"/>
            <w:tcBorders>
              <w:right w:val="nil"/>
            </w:tcBorders>
          </w:tcPr>
          <w:p w14:paraId="552A98D8" w14:textId="77777777" w:rsidR="00D6232A" w:rsidRDefault="00D6232A" w:rsidP="00BB368C">
            <w:pPr>
              <w:rPr>
                <w:rFonts w:ascii="Times New Roman" w:eastAsia="Times New Roman" w:hAnsi="Times New Roman" w:cs="Times New Roman"/>
                <w:color w:val="000000" w:themeColor="text1"/>
                <w:sz w:val="22"/>
                <w:szCs w:val="22"/>
              </w:rPr>
            </w:pPr>
            <w:r w:rsidRPr="00B80424">
              <w:rPr>
                <w:rFonts w:ascii="Times New Roman" w:eastAsia="Times New Roman" w:hAnsi="Times New Roman" w:cs="Times New Roman"/>
                <w:b/>
                <w:bCs/>
                <w:color w:val="000000" w:themeColor="text1"/>
                <w:sz w:val="22"/>
                <w:szCs w:val="22"/>
              </w:rPr>
              <w:t>Model A.</w:t>
            </w:r>
            <w:r>
              <w:rPr>
                <w:rFonts w:ascii="Times New Roman" w:eastAsia="Times New Roman" w:hAnsi="Times New Roman" w:cs="Times New Roman"/>
                <w:color w:val="000000" w:themeColor="text1"/>
                <w:sz w:val="22"/>
                <w:szCs w:val="22"/>
              </w:rPr>
              <w:t xml:space="preserve"> Three-factor solution, combined peer supporters and non-peer supporters sample (included in main text)</w:t>
            </w:r>
          </w:p>
        </w:tc>
        <w:tc>
          <w:tcPr>
            <w:tcW w:w="976" w:type="dxa"/>
            <w:tcBorders>
              <w:left w:val="nil"/>
              <w:right w:val="nil"/>
            </w:tcBorders>
          </w:tcPr>
          <w:p w14:paraId="5E3689B5"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16</w:t>
            </w:r>
          </w:p>
        </w:tc>
        <w:tc>
          <w:tcPr>
            <w:tcW w:w="778" w:type="dxa"/>
            <w:tcBorders>
              <w:left w:val="nil"/>
              <w:right w:val="nil"/>
            </w:tcBorders>
          </w:tcPr>
          <w:p w14:paraId="6D4DCC87"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.92</w:t>
            </w:r>
          </w:p>
        </w:tc>
        <w:tc>
          <w:tcPr>
            <w:tcW w:w="928" w:type="dxa"/>
            <w:tcBorders>
              <w:left w:val="nil"/>
              <w:right w:val="nil"/>
            </w:tcBorders>
          </w:tcPr>
          <w:p w14:paraId="5CAC46D6"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.87</w:t>
            </w:r>
          </w:p>
        </w:tc>
        <w:tc>
          <w:tcPr>
            <w:tcW w:w="983" w:type="dxa"/>
            <w:tcBorders>
              <w:left w:val="nil"/>
              <w:right w:val="nil"/>
            </w:tcBorders>
          </w:tcPr>
          <w:p w14:paraId="582659E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.03</w:t>
            </w:r>
          </w:p>
        </w:tc>
        <w:tc>
          <w:tcPr>
            <w:tcW w:w="1011" w:type="dxa"/>
            <w:tcBorders>
              <w:left w:val="nil"/>
              <w:right w:val="nil"/>
            </w:tcBorders>
          </w:tcPr>
          <w:p w14:paraId="5252FA48"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.04</w:t>
            </w:r>
          </w:p>
        </w:tc>
        <w:tc>
          <w:tcPr>
            <w:tcW w:w="595" w:type="dxa"/>
            <w:tcBorders>
              <w:left w:val="nil"/>
              <w:right w:val="nil"/>
            </w:tcBorders>
          </w:tcPr>
          <w:p w14:paraId="54588B6D"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.97</w:t>
            </w:r>
          </w:p>
        </w:tc>
        <w:tc>
          <w:tcPr>
            <w:tcW w:w="1628" w:type="dxa"/>
            <w:tcBorders>
              <w:left w:val="nil"/>
            </w:tcBorders>
          </w:tcPr>
          <w:p w14:paraId="63E9A452"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.74</w:t>
            </w:r>
          </w:p>
        </w:tc>
      </w:tr>
      <w:tr w:rsidR="00D6232A" w14:paraId="1990F71A" w14:textId="77777777" w:rsidTr="00BB368C">
        <w:tc>
          <w:tcPr>
            <w:tcW w:w="2127" w:type="dxa"/>
            <w:tcBorders>
              <w:right w:val="nil"/>
            </w:tcBorders>
          </w:tcPr>
          <w:p w14:paraId="7C855B92" w14:textId="77777777" w:rsidR="00D6232A" w:rsidRDefault="00D6232A" w:rsidP="00BB368C">
            <w:pPr>
              <w:rPr>
                <w:rFonts w:ascii="Times New Roman" w:eastAsia="Times New Roman" w:hAnsi="Times New Roman" w:cs="Times New Roman"/>
                <w:color w:val="000000" w:themeColor="text1"/>
                <w:sz w:val="22"/>
                <w:szCs w:val="22"/>
              </w:rPr>
            </w:pPr>
            <w:r w:rsidRPr="00B80424">
              <w:rPr>
                <w:rFonts w:ascii="Times New Roman" w:eastAsia="Times New Roman" w:hAnsi="Times New Roman" w:cs="Times New Roman"/>
                <w:b/>
                <w:bCs/>
                <w:color w:val="000000" w:themeColor="text1"/>
                <w:sz w:val="22"/>
                <w:szCs w:val="22"/>
              </w:rPr>
              <w:t xml:space="preserve">Model </w:t>
            </w:r>
            <w:r>
              <w:rPr>
                <w:rFonts w:ascii="Times New Roman" w:eastAsia="Times New Roman" w:hAnsi="Times New Roman" w:cs="Times New Roman"/>
                <w:b/>
                <w:bCs/>
                <w:color w:val="000000" w:themeColor="text1"/>
                <w:sz w:val="22"/>
                <w:szCs w:val="22"/>
              </w:rPr>
              <w:t>B</w:t>
            </w:r>
            <w:r w:rsidRPr="00B80424">
              <w:rPr>
                <w:rFonts w:ascii="Times New Roman" w:eastAsia="Times New Roman" w:hAnsi="Times New Roman" w:cs="Times New Roman"/>
                <w:b/>
                <w:bCs/>
                <w:color w:val="000000" w:themeColor="text1"/>
                <w:sz w:val="22"/>
                <w:szCs w:val="22"/>
              </w:rPr>
              <w:t>.</w:t>
            </w:r>
            <w:r>
              <w:rPr>
                <w:rFonts w:ascii="Times New Roman" w:eastAsia="Times New Roman" w:hAnsi="Times New Roman" w:cs="Times New Roman"/>
                <w:color w:val="000000" w:themeColor="text1"/>
                <w:sz w:val="22"/>
                <w:szCs w:val="22"/>
              </w:rPr>
              <w:t xml:space="preserve"> Two-factor solution, combined peer supporters and non-peer supporters sample (included in main text)</w:t>
            </w:r>
          </w:p>
        </w:tc>
        <w:tc>
          <w:tcPr>
            <w:tcW w:w="976" w:type="dxa"/>
            <w:tcBorders>
              <w:left w:val="nil"/>
              <w:right w:val="nil"/>
            </w:tcBorders>
          </w:tcPr>
          <w:p w14:paraId="2316D86B"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18</w:t>
            </w:r>
          </w:p>
        </w:tc>
        <w:tc>
          <w:tcPr>
            <w:tcW w:w="778" w:type="dxa"/>
            <w:tcBorders>
              <w:left w:val="nil"/>
              <w:right w:val="nil"/>
            </w:tcBorders>
          </w:tcPr>
          <w:p w14:paraId="3E793565"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.81</w:t>
            </w:r>
          </w:p>
        </w:tc>
        <w:tc>
          <w:tcPr>
            <w:tcW w:w="928" w:type="dxa"/>
            <w:tcBorders>
              <w:left w:val="nil"/>
              <w:right w:val="nil"/>
            </w:tcBorders>
          </w:tcPr>
          <w:p w14:paraId="4B024A3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.76</w:t>
            </w:r>
          </w:p>
        </w:tc>
        <w:tc>
          <w:tcPr>
            <w:tcW w:w="983" w:type="dxa"/>
            <w:tcBorders>
              <w:left w:val="nil"/>
              <w:right w:val="nil"/>
            </w:tcBorders>
          </w:tcPr>
          <w:p w14:paraId="31E52639"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.06</w:t>
            </w:r>
          </w:p>
        </w:tc>
        <w:tc>
          <w:tcPr>
            <w:tcW w:w="1011" w:type="dxa"/>
            <w:tcBorders>
              <w:left w:val="nil"/>
              <w:right w:val="nil"/>
            </w:tcBorders>
          </w:tcPr>
          <w:p w14:paraId="3EF82C2D"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.07</w:t>
            </w:r>
          </w:p>
        </w:tc>
        <w:tc>
          <w:tcPr>
            <w:tcW w:w="595" w:type="dxa"/>
            <w:tcBorders>
              <w:left w:val="nil"/>
              <w:right w:val="nil"/>
            </w:tcBorders>
          </w:tcPr>
          <w:p w14:paraId="51C3A186"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.87</w:t>
            </w:r>
          </w:p>
        </w:tc>
        <w:tc>
          <w:tcPr>
            <w:tcW w:w="1628" w:type="dxa"/>
            <w:tcBorders>
              <w:left w:val="nil"/>
            </w:tcBorders>
          </w:tcPr>
          <w:p w14:paraId="59187017"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.75</w:t>
            </w:r>
          </w:p>
        </w:tc>
      </w:tr>
      <w:tr w:rsidR="00D6232A" w14:paraId="5D8BB021" w14:textId="77777777" w:rsidTr="00BB368C">
        <w:tc>
          <w:tcPr>
            <w:tcW w:w="2127" w:type="dxa"/>
            <w:tcBorders>
              <w:right w:val="nil"/>
            </w:tcBorders>
          </w:tcPr>
          <w:p w14:paraId="696464A1" w14:textId="77777777" w:rsidR="00D6232A" w:rsidRDefault="00D6232A" w:rsidP="00BB368C">
            <w:pPr>
              <w:rPr>
                <w:rFonts w:ascii="Times New Roman" w:eastAsia="Times New Roman" w:hAnsi="Times New Roman" w:cs="Times New Roman"/>
                <w:color w:val="000000" w:themeColor="text1"/>
                <w:sz w:val="22"/>
                <w:szCs w:val="22"/>
              </w:rPr>
            </w:pPr>
            <w:r w:rsidRPr="00B80424">
              <w:rPr>
                <w:rFonts w:ascii="Times New Roman" w:eastAsia="Times New Roman" w:hAnsi="Times New Roman" w:cs="Times New Roman"/>
                <w:b/>
                <w:bCs/>
                <w:color w:val="000000" w:themeColor="text1"/>
                <w:sz w:val="22"/>
                <w:szCs w:val="22"/>
              </w:rPr>
              <w:lastRenderedPageBreak/>
              <w:t xml:space="preserve">Model </w:t>
            </w:r>
            <w:r>
              <w:rPr>
                <w:rFonts w:ascii="Times New Roman" w:eastAsia="Times New Roman" w:hAnsi="Times New Roman" w:cs="Times New Roman"/>
                <w:b/>
                <w:bCs/>
                <w:color w:val="000000" w:themeColor="text1"/>
                <w:sz w:val="22"/>
                <w:szCs w:val="22"/>
              </w:rPr>
              <w:t>C</w:t>
            </w:r>
            <w:r w:rsidRPr="00B80424">
              <w:rPr>
                <w:rFonts w:ascii="Times New Roman" w:eastAsia="Times New Roman" w:hAnsi="Times New Roman" w:cs="Times New Roman"/>
                <w:b/>
                <w:bCs/>
                <w:color w:val="000000" w:themeColor="text1"/>
                <w:sz w:val="22"/>
                <w:szCs w:val="22"/>
              </w:rPr>
              <w:t>.</w:t>
            </w:r>
            <w:r>
              <w:rPr>
                <w:rFonts w:ascii="Times New Roman" w:eastAsia="Times New Roman" w:hAnsi="Times New Roman" w:cs="Times New Roman"/>
                <w:color w:val="000000" w:themeColor="text1"/>
                <w:sz w:val="22"/>
                <w:szCs w:val="22"/>
              </w:rPr>
              <w:t xml:space="preserve"> Three-factor solution, peer supporters only </w:t>
            </w:r>
          </w:p>
        </w:tc>
        <w:tc>
          <w:tcPr>
            <w:tcW w:w="976" w:type="dxa"/>
            <w:tcBorders>
              <w:left w:val="nil"/>
              <w:right w:val="nil"/>
            </w:tcBorders>
          </w:tcPr>
          <w:p w14:paraId="4B75599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15</w:t>
            </w:r>
          </w:p>
        </w:tc>
        <w:tc>
          <w:tcPr>
            <w:tcW w:w="778" w:type="dxa"/>
            <w:tcBorders>
              <w:left w:val="nil"/>
              <w:right w:val="nil"/>
            </w:tcBorders>
          </w:tcPr>
          <w:p w14:paraId="6FF9EAC9"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.82</w:t>
            </w:r>
          </w:p>
        </w:tc>
        <w:tc>
          <w:tcPr>
            <w:tcW w:w="928" w:type="dxa"/>
            <w:tcBorders>
              <w:left w:val="nil"/>
              <w:right w:val="nil"/>
            </w:tcBorders>
          </w:tcPr>
          <w:p w14:paraId="61B11C6D"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.70</w:t>
            </w:r>
          </w:p>
        </w:tc>
        <w:tc>
          <w:tcPr>
            <w:tcW w:w="983" w:type="dxa"/>
            <w:tcBorders>
              <w:left w:val="nil"/>
              <w:right w:val="nil"/>
            </w:tcBorders>
          </w:tcPr>
          <w:p w14:paraId="629C61BB"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.05</w:t>
            </w:r>
          </w:p>
        </w:tc>
        <w:tc>
          <w:tcPr>
            <w:tcW w:w="1011" w:type="dxa"/>
            <w:tcBorders>
              <w:left w:val="nil"/>
              <w:right w:val="nil"/>
            </w:tcBorders>
          </w:tcPr>
          <w:p w14:paraId="245E1E7F"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.03</w:t>
            </w:r>
          </w:p>
        </w:tc>
        <w:tc>
          <w:tcPr>
            <w:tcW w:w="595" w:type="dxa"/>
            <w:tcBorders>
              <w:left w:val="nil"/>
              <w:right w:val="nil"/>
            </w:tcBorders>
          </w:tcPr>
          <w:p w14:paraId="49C4C6A0"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.98</w:t>
            </w:r>
          </w:p>
        </w:tc>
        <w:tc>
          <w:tcPr>
            <w:tcW w:w="1628" w:type="dxa"/>
            <w:tcBorders>
              <w:left w:val="nil"/>
            </w:tcBorders>
          </w:tcPr>
          <w:p w14:paraId="1D04D5D3"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.72</w:t>
            </w:r>
          </w:p>
        </w:tc>
      </w:tr>
      <w:tr w:rsidR="00D6232A" w14:paraId="1E272804" w14:textId="77777777" w:rsidTr="00BB368C">
        <w:tc>
          <w:tcPr>
            <w:tcW w:w="2127" w:type="dxa"/>
            <w:tcBorders>
              <w:right w:val="nil"/>
            </w:tcBorders>
          </w:tcPr>
          <w:p w14:paraId="52F0CFD5" w14:textId="77777777" w:rsidR="00D6232A" w:rsidRDefault="00D6232A" w:rsidP="00BB368C">
            <w:pPr>
              <w:rPr>
                <w:rFonts w:ascii="Times New Roman" w:eastAsia="Times New Roman" w:hAnsi="Times New Roman" w:cs="Times New Roman"/>
                <w:color w:val="000000" w:themeColor="text1"/>
                <w:sz w:val="22"/>
                <w:szCs w:val="22"/>
              </w:rPr>
            </w:pPr>
            <w:r w:rsidRPr="00B80424">
              <w:rPr>
                <w:rFonts w:ascii="Times New Roman" w:eastAsia="Times New Roman" w:hAnsi="Times New Roman" w:cs="Times New Roman"/>
                <w:b/>
                <w:bCs/>
                <w:color w:val="000000" w:themeColor="text1"/>
                <w:sz w:val="22"/>
                <w:szCs w:val="22"/>
              </w:rPr>
              <w:t xml:space="preserve">Model </w:t>
            </w:r>
            <w:r>
              <w:rPr>
                <w:rFonts w:ascii="Times New Roman" w:eastAsia="Times New Roman" w:hAnsi="Times New Roman" w:cs="Times New Roman"/>
                <w:b/>
                <w:bCs/>
                <w:color w:val="000000" w:themeColor="text1"/>
                <w:sz w:val="22"/>
                <w:szCs w:val="22"/>
              </w:rPr>
              <w:t>D</w:t>
            </w:r>
            <w:r w:rsidRPr="00B80424">
              <w:rPr>
                <w:rFonts w:ascii="Times New Roman" w:eastAsia="Times New Roman" w:hAnsi="Times New Roman" w:cs="Times New Roman"/>
                <w:b/>
                <w:bCs/>
                <w:color w:val="000000" w:themeColor="text1"/>
                <w:sz w:val="22"/>
                <w:szCs w:val="22"/>
              </w:rPr>
              <w:t>.</w:t>
            </w:r>
            <w:r>
              <w:rPr>
                <w:rFonts w:ascii="Times New Roman" w:eastAsia="Times New Roman" w:hAnsi="Times New Roman" w:cs="Times New Roman"/>
                <w:color w:val="000000" w:themeColor="text1"/>
                <w:sz w:val="22"/>
                <w:szCs w:val="22"/>
              </w:rPr>
              <w:t xml:space="preserve"> Two-factor solution, peer supporters only</w:t>
            </w:r>
          </w:p>
        </w:tc>
        <w:tc>
          <w:tcPr>
            <w:tcW w:w="976" w:type="dxa"/>
            <w:tcBorders>
              <w:left w:val="nil"/>
              <w:right w:val="nil"/>
            </w:tcBorders>
          </w:tcPr>
          <w:p w14:paraId="7B620327"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17</w:t>
            </w:r>
          </w:p>
        </w:tc>
        <w:tc>
          <w:tcPr>
            <w:tcW w:w="778" w:type="dxa"/>
            <w:tcBorders>
              <w:left w:val="nil"/>
              <w:right w:val="nil"/>
            </w:tcBorders>
          </w:tcPr>
          <w:p w14:paraId="7A1FFB2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.63</w:t>
            </w:r>
          </w:p>
        </w:tc>
        <w:tc>
          <w:tcPr>
            <w:tcW w:w="928" w:type="dxa"/>
            <w:tcBorders>
              <w:left w:val="nil"/>
              <w:right w:val="nil"/>
            </w:tcBorders>
          </w:tcPr>
          <w:p w14:paraId="37F22CE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.52</w:t>
            </w:r>
          </w:p>
        </w:tc>
        <w:tc>
          <w:tcPr>
            <w:tcW w:w="983" w:type="dxa"/>
            <w:tcBorders>
              <w:left w:val="nil"/>
              <w:right w:val="nil"/>
            </w:tcBorders>
          </w:tcPr>
          <w:p w14:paraId="60B0925F"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.08</w:t>
            </w:r>
          </w:p>
        </w:tc>
        <w:tc>
          <w:tcPr>
            <w:tcW w:w="1011" w:type="dxa"/>
            <w:tcBorders>
              <w:left w:val="nil"/>
              <w:right w:val="nil"/>
            </w:tcBorders>
          </w:tcPr>
          <w:p w14:paraId="70EC3028"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.08</w:t>
            </w:r>
          </w:p>
        </w:tc>
        <w:tc>
          <w:tcPr>
            <w:tcW w:w="595" w:type="dxa"/>
            <w:tcBorders>
              <w:left w:val="nil"/>
              <w:right w:val="nil"/>
            </w:tcBorders>
          </w:tcPr>
          <w:p w14:paraId="30007315"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.79</w:t>
            </w:r>
          </w:p>
        </w:tc>
        <w:tc>
          <w:tcPr>
            <w:tcW w:w="1628" w:type="dxa"/>
            <w:tcBorders>
              <w:left w:val="nil"/>
            </w:tcBorders>
          </w:tcPr>
          <w:p w14:paraId="1C4BAC8C"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.74</w:t>
            </w:r>
          </w:p>
        </w:tc>
      </w:tr>
      <w:tr w:rsidR="00D6232A" w14:paraId="08F54DEF" w14:textId="77777777" w:rsidTr="00BB368C">
        <w:tc>
          <w:tcPr>
            <w:tcW w:w="2127" w:type="dxa"/>
            <w:tcBorders>
              <w:right w:val="nil"/>
            </w:tcBorders>
          </w:tcPr>
          <w:p w14:paraId="5F36DAEC" w14:textId="77777777" w:rsidR="00D6232A" w:rsidRDefault="00D6232A" w:rsidP="00BB368C">
            <w:pPr>
              <w:rPr>
                <w:rFonts w:ascii="Times New Roman" w:eastAsia="Times New Roman" w:hAnsi="Times New Roman" w:cs="Times New Roman"/>
                <w:color w:val="000000" w:themeColor="text1"/>
                <w:sz w:val="22"/>
                <w:szCs w:val="22"/>
              </w:rPr>
            </w:pPr>
            <w:r w:rsidRPr="00B80424">
              <w:rPr>
                <w:rFonts w:ascii="Times New Roman" w:eastAsia="Times New Roman" w:hAnsi="Times New Roman" w:cs="Times New Roman"/>
                <w:b/>
                <w:bCs/>
                <w:color w:val="000000" w:themeColor="text1"/>
                <w:sz w:val="22"/>
                <w:szCs w:val="22"/>
              </w:rPr>
              <w:t xml:space="preserve">Model </w:t>
            </w:r>
            <w:r>
              <w:rPr>
                <w:rFonts w:ascii="Times New Roman" w:eastAsia="Times New Roman" w:hAnsi="Times New Roman" w:cs="Times New Roman"/>
                <w:b/>
                <w:bCs/>
                <w:color w:val="000000" w:themeColor="text1"/>
                <w:sz w:val="22"/>
                <w:szCs w:val="22"/>
              </w:rPr>
              <w:t>E</w:t>
            </w:r>
            <w:r w:rsidRPr="00B80424">
              <w:rPr>
                <w:rFonts w:ascii="Times New Roman" w:eastAsia="Times New Roman" w:hAnsi="Times New Roman" w:cs="Times New Roman"/>
                <w:b/>
                <w:bCs/>
                <w:color w:val="000000" w:themeColor="text1"/>
                <w:sz w:val="22"/>
                <w:szCs w:val="22"/>
              </w:rPr>
              <w:t>.</w:t>
            </w:r>
            <w:r>
              <w:rPr>
                <w:rFonts w:ascii="Times New Roman" w:eastAsia="Times New Roman" w:hAnsi="Times New Roman" w:cs="Times New Roman"/>
                <w:color w:val="000000" w:themeColor="text1"/>
                <w:sz w:val="22"/>
                <w:szCs w:val="22"/>
              </w:rPr>
              <w:t xml:space="preserve"> Three-factor solution, non-peer supporters only</w:t>
            </w:r>
          </w:p>
        </w:tc>
        <w:tc>
          <w:tcPr>
            <w:tcW w:w="976" w:type="dxa"/>
            <w:tcBorders>
              <w:left w:val="nil"/>
              <w:right w:val="nil"/>
            </w:tcBorders>
          </w:tcPr>
          <w:p w14:paraId="567975C9"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16</w:t>
            </w:r>
          </w:p>
        </w:tc>
        <w:tc>
          <w:tcPr>
            <w:tcW w:w="778" w:type="dxa"/>
            <w:tcBorders>
              <w:left w:val="nil"/>
              <w:right w:val="nil"/>
            </w:tcBorders>
          </w:tcPr>
          <w:p w14:paraId="0CA888FF"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.91</w:t>
            </w:r>
          </w:p>
        </w:tc>
        <w:tc>
          <w:tcPr>
            <w:tcW w:w="928" w:type="dxa"/>
            <w:tcBorders>
              <w:left w:val="nil"/>
              <w:right w:val="nil"/>
            </w:tcBorders>
          </w:tcPr>
          <w:p w14:paraId="389C6478"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.86</w:t>
            </w:r>
          </w:p>
        </w:tc>
        <w:tc>
          <w:tcPr>
            <w:tcW w:w="983" w:type="dxa"/>
            <w:tcBorders>
              <w:left w:val="nil"/>
              <w:right w:val="nil"/>
            </w:tcBorders>
          </w:tcPr>
          <w:p w14:paraId="62C73485"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.03</w:t>
            </w:r>
          </w:p>
        </w:tc>
        <w:tc>
          <w:tcPr>
            <w:tcW w:w="1011" w:type="dxa"/>
            <w:tcBorders>
              <w:left w:val="nil"/>
              <w:right w:val="nil"/>
            </w:tcBorders>
          </w:tcPr>
          <w:p w14:paraId="0F36C5DC"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.04</w:t>
            </w:r>
          </w:p>
        </w:tc>
        <w:tc>
          <w:tcPr>
            <w:tcW w:w="595" w:type="dxa"/>
            <w:tcBorders>
              <w:left w:val="nil"/>
              <w:right w:val="nil"/>
            </w:tcBorders>
          </w:tcPr>
          <w:p w14:paraId="43513FD8"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.97</w:t>
            </w:r>
          </w:p>
        </w:tc>
        <w:tc>
          <w:tcPr>
            <w:tcW w:w="1628" w:type="dxa"/>
            <w:tcBorders>
              <w:left w:val="nil"/>
            </w:tcBorders>
          </w:tcPr>
          <w:p w14:paraId="1F0B20C8"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.60</w:t>
            </w:r>
          </w:p>
        </w:tc>
      </w:tr>
      <w:tr w:rsidR="00D6232A" w14:paraId="6EF04693" w14:textId="77777777" w:rsidTr="00BB368C">
        <w:tc>
          <w:tcPr>
            <w:tcW w:w="2127" w:type="dxa"/>
            <w:tcBorders>
              <w:right w:val="nil"/>
            </w:tcBorders>
          </w:tcPr>
          <w:p w14:paraId="45BB82EB" w14:textId="77777777" w:rsidR="00D6232A" w:rsidRPr="00B80424" w:rsidRDefault="00D6232A" w:rsidP="00BB368C">
            <w:pPr>
              <w:rPr>
                <w:rFonts w:ascii="Times New Roman" w:eastAsia="Times New Roman" w:hAnsi="Times New Roman" w:cs="Times New Roman"/>
                <w:b/>
                <w:bCs/>
                <w:color w:val="000000" w:themeColor="text1"/>
                <w:sz w:val="22"/>
                <w:szCs w:val="22"/>
              </w:rPr>
            </w:pPr>
            <w:r w:rsidRPr="00B80424">
              <w:rPr>
                <w:rFonts w:ascii="Times New Roman" w:eastAsia="Times New Roman" w:hAnsi="Times New Roman" w:cs="Times New Roman"/>
                <w:b/>
                <w:bCs/>
                <w:color w:val="000000" w:themeColor="text1"/>
                <w:sz w:val="22"/>
                <w:szCs w:val="22"/>
              </w:rPr>
              <w:t xml:space="preserve">Model </w:t>
            </w:r>
            <w:r>
              <w:rPr>
                <w:rFonts w:ascii="Times New Roman" w:eastAsia="Times New Roman" w:hAnsi="Times New Roman" w:cs="Times New Roman"/>
                <w:b/>
                <w:bCs/>
                <w:color w:val="000000" w:themeColor="text1"/>
                <w:sz w:val="22"/>
                <w:szCs w:val="22"/>
              </w:rPr>
              <w:t>F</w:t>
            </w:r>
            <w:r w:rsidRPr="00B80424">
              <w:rPr>
                <w:rFonts w:ascii="Times New Roman" w:eastAsia="Times New Roman" w:hAnsi="Times New Roman" w:cs="Times New Roman"/>
                <w:b/>
                <w:bCs/>
                <w:color w:val="000000" w:themeColor="text1"/>
                <w:sz w:val="22"/>
                <w:szCs w:val="22"/>
              </w:rPr>
              <w:t>.</w:t>
            </w:r>
            <w:r>
              <w:rPr>
                <w:rFonts w:ascii="Times New Roman" w:eastAsia="Times New Roman" w:hAnsi="Times New Roman" w:cs="Times New Roman"/>
                <w:color w:val="000000" w:themeColor="text1"/>
                <w:sz w:val="22"/>
                <w:szCs w:val="22"/>
              </w:rPr>
              <w:t xml:space="preserve"> Two-factor solution, non-peer supporters only</w:t>
            </w:r>
          </w:p>
        </w:tc>
        <w:tc>
          <w:tcPr>
            <w:tcW w:w="976" w:type="dxa"/>
            <w:tcBorders>
              <w:left w:val="nil"/>
              <w:right w:val="nil"/>
            </w:tcBorders>
          </w:tcPr>
          <w:p w14:paraId="459A5AF2"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19</w:t>
            </w:r>
          </w:p>
        </w:tc>
        <w:tc>
          <w:tcPr>
            <w:tcW w:w="778" w:type="dxa"/>
            <w:tcBorders>
              <w:left w:val="nil"/>
              <w:right w:val="nil"/>
            </w:tcBorders>
          </w:tcPr>
          <w:p w14:paraId="4D9FCD2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.80</w:t>
            </w:r>
          </w:p>
        </w:tc>
        <w:tc>
          <w:tcPr>
            <w:tcW w:w="928" w:type="dxa"/>
            <w:tcBorders>
              <w:left w:val="nil"/>
              <w:right w:val="nil"/>
            </w:tcBorders>
          </w:tcPr>
          <w:p w14:paraId="068D5551"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.74</w:t>
            </w:r>
          </w:p>
        </w:tc>
        <w:tc>
          <w:tcPr>
            <w:tcW w:w="983" w:type="dxa"/>
            <w:tcBorders>
              <w:left w:val="nil"/>
              <w:right w:val="nil"/>
            </w:tcBorders>
          </w:tcPr>
          <w:p w14:paraId="770EAE3C"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.06</w:t>
            </w:r>
          </w:p>
        </w:tc>
        <w:tc>
          <w:tcPr>
            <w:tcW w:w="1011" w:type="dxa"/>
            <w:tcBorders>
              <w:left w:val="nil"/>
              <w:right w:val="nil"/>
            </w:tcBorders>
          </w:tcPr>
          <w:p w14:paraId="093F1B47"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.07</w:t>
            </w:r>
          </w:p>
        </w:tc>
        <w:tc>
          <w:tcPr>
            <w:tcW w:w="595" w:type="dxa"/>
            <w:tcBorders>
              <w:left w:val="nil"/>
              <w:right w:val="nil"/>
            </w:tcBorders>
          </w:tcPr>
          <w:p w14:paraId="5506206C"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.87</w:t>
            </w:r>
          </w:p>
        </w:tc>
        <w:tc>
          <w:tcPr>
            <w:tcW w:w="1628" w:type="dxa"/>
            <w:tcBorders>
              <w:left w:val="nil"/>
            </w:tcBorders>
          </w:tcPr>
          <w:p w14:paraId="6716C0D3" w14:textId="77777777" w:rsidR="00D6232A" w:rsidRDefault="00D6232A" w:rsidP="00BB368C">
            <w:pP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.64</w:t>
            </w:r>
          </w:p>
        </w:tc>
      </w:tr>
    </w:tbl>
    <w:p w14:paraId="12D07323" w14:textId="77777777" w:rsidR="00D6232A" w:rsidRPr="0094533A" w:rsidRDefault="00D6232A" w:rsidP="00D6232A">
      <w:pPr>
        <w:rPr>
          <w:rFonts w:ascii="Times New Roman" w:eastAsia="Times New Roman" w:hAnsi="Times New Roman" w:cs="Times New Roman"/>
          <w:color w:val="000000" w:themeColor="text1"/>
          <w:sz w:val="22"/>
          <w:szCs w:val="22"/>
        </w:rPr>
      </w:pPr>
    </w:p>
    <w:p w14:paraId="61DDB165" w14:textId="77777777" w:rsidR="00D6232A" w:rsidRPr="0094533A" w:rsidRDefault="00D6232A" w:rsidP="00D6232A">
      <w:pPr>
        <w:rPr>
          <w:rFonts w:ascii="Times New Roman" w:eastAsia="Times New Roman" w:hAnsi="Times New Roman" w:cs="Times New Roman"/>
          <w:color w:val="000000" w:themeColor="text1"/>
          <w:sz w:val="36"/>
          <w:szCs w:val="36"/>
        </w:rPr>
      </w:pPr>
    </w:p>
    <w:p w14:paraId="10EB6BED" w14:textId="77777777" w:rsidR="00D6232A" w:rsidRDefault="00D6232A" w:rsidP="00D6232A">
      <w:pPr>
        <w:rPr>
          <w:rFonts w:ascii="Times New Roman" w:hAnsi="Times New Roman" w:cs="Times New Roman"/>
          <w:b/>
          <w:bCs/>
          <w:color w:val="000000" w:themeColor="text1"/>
          <w:sz w:val="36"/>
          <w:szCs w:val="36"/>
        </w:rPr>
      </w:pPr>
    </w:p>
    <w:bookmarkEnd w:id="0"/>
    <w:p w14:paraId="4DDDD7AC" w14:textId="77777777" w:rsidR="00401C03" w:rsidRDefault="00401C03"/>
    <w:sectPr w:rsidR="00401C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32A"/>
    <w:rsid w:val="00030516"/>
    <w:rsid w:val="00315DB9"/>
    <w:rsid w:val="003F3546"/>
    <w:rsid w:val="00401C03"/>
    <w:rsid w:val="00621BEB"/>
    <w:rsid w:val="00D6232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7863"/>
  <w15:chartTrackingRefBased/>
  <w15:docId w15:val="{FB1F3A90-FBD7-6341-9B1E-2D9B2585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SG"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QianHui Ma</dc:creator>
  <cp:keywords/>
  <dc:description/>
  <cp:lastModifiedBy>Indhumathi</cp:lastModifiedBy>
  <cp:revision>5</cp:revision>
  <dcterms:created xsi:type="dcterms:W3CDTF">2022-07-30T09:04:00Z</dcterms:created>
  <dcterms:modified xsi:type="dcterms:W3CDTF">2022-08-27T13:41:00Z</dcterms:modified>
</cp:coreProperties>
</file>