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E7EC8" w14:textId="5EC2E551" w:rsidR="00693812" w:rsidRDefault="00E052D7" w:rsidP="00693812">
      <w:pPr>
        <w:pStyle w:val="Heading1"/>
        <w:spacing w:after="120"/>
        <w:rPr>
          <w:rFonts w:eastAsia="Calibri Light"/>
          <w:lang w:val="en-GB"/>
        </w:rPr>
      </w:pPr>
      <w:r>
        <w:rPr>
          <w:rFonts w:eastAsia="Calibri Light"/>
          <w:lang w:val="en-GB"/>
        </w:rPr>
        <w:t>Supplementary</w:t>
      </w:r>
      <w:r w:rsidR="00693812">
        <w:rPr>
          <w:rFonts w:eastAsia="Calibri Light"/>
          <w:lang w:val="en-GB"/>
        </w:rPr>
        <w:t xml:space="preserve"> </w:t>
      </w:r>
      <w:r w:rsidR="00026BE1">
        <w:rPr>
          <w:rFonts w:eastAsia="Calibri Light"/>
          <w:lang w:val="en-GB"/>
        </w:rPr>
        <w:t>Material</w:t>
      </w:r>
      <w:r w:rsidR="00693812">
        <w:rPr>
          <w:rFonts w:eastAsia="Calibri Light"/>
          <w:lang w:val="en-GB"/>
        </w:rPr>
        <w:t xml:space="preserve"> </w:t>
      </w:r>
      <w:r w:rsidR="00B83BB9">
        <w:rPr>
          <w:rFonts w:eastAsia="Calibri Light"/>
          <w:lang w:val="en-GB"/>
        </w:rPr>
        <w:t>6</w:t>
      </w:r>
    </w:p>
    <w:p w14:paraId="2C192E5F" w14:textId="229F130F" w:rsidR="00693812" w:rsidRDefault="00693812" w:rsidP="00693812">
      <w:pPr>
        <w:spacing w:before="120" w:line="480" w:lineRule="auto"/>
        <w:rPr>
          <w:rFonts w:ascii="Arial" w:hAnsi="Arial" w:cs="Arial"/>
          <w:lang w:val="en-GB"/>
        </w:rPr>
      </w:pPr>
      <w:r>
        <w:rPr>
          <w:rFonts w:ascii="Arial" w:hAnsi="Arial" w:cs="Arial"/>
          <w:lang w:val="en-GB"/>
        </w:rPr>
        <w:t>This document provides more detailed descriptions of the alternative models featured within each of the three typologies, broken down into the following sections:</w:t>
      </w:r>
    </w:p>
    <w:p w14:paraId="676A18F7" w14:textId="1643A3DA" w:rsidR="00693812" w:rsidRDefault="00693812" w:rsidP="00693812">
      <w:pPr>
        <w:pStyle w:val="ListParagraph"/>
        <w:numPr>
          <w:ilvl w:val="0"/>
          <w:numId w:val="33"/>
        </w:numPr>
        <w:spacing w:before="120" w:line="480" w:lineRule="auto"/>
        <w:rPr>
          <w:rFonts w:ascii="Arial" w:hAnsi="Arial" w:cs="Arial"/>
          <w:lang w:val="en-GB"/>
        </w:rPr>
      </w:pPr>
      <w:r w:rsidRPr="00693812">
        <w:rPr>
          <w:rFonts w:ascii="Arial" w:hAnsi="Arial" w:cs="Arial"/>
          <w:lang w:val="en-GB"/>
        </w:rPr>
        <w:t xml:space="preserve">Alternatives to adult standard acute inpatient care </w:t>
      </w:r>
      <w:r>
        <w:rPr>
          <w:rFonts w:ascii="Arial" w:hAnsi="Arial" w:cs="Arial"/>
          <w:lang w:val="en-GB"/>
        </w:rPr>
        <w:t xml:space="preserve">(see </w:t>
      </w:r>
      <w:r w:rsidR="00B83BB9">
        <w:rPr>
          <w:rFonts w:ascii="Arial" w:hAnsi="Arial" w:cs="Arial"/>
          <w:lang w:val="en-GB"/>
        </w:rPr>
        <w:t xml:space="preserve">Supplementary </w:t>
      </w:r>
      <w:r w:rsidR="00026BE1">
        <w:rPr>
          <w:rFonts w:ascii="Arial" w:hAnsi="Arial" w:cs="Arial"/>
          <w:lang w:val="en-GB"/>
        </w:rPr>
        <w:t>Material</w:t>
      </w:r>
      <w:r w:rsidR="00B83BB9">
        <w:rPr>
          <w:rFonts w:ascii="Arial" w:hAnsi="Arial" w:cs="Arial"/>
          <w:lang w:val="en-GB"/>
        </w:rPr>
        <w:t xml:space="preserve"> 3</w:t>
      </w:r>
      <w:r>
        <w:rPr>
          <w:rFonts w:ascii="Arial" w:hAnsi="Arial" w:cs="Arial"/>
          <w:lang w:val="en-GB"/>
        </w:rPr>
        <w:t>)</w:t>
      </w:r>
    </w:p>
    <w:p w14:paraId="252E98DE" w14:textId="1ED07234" w:rsidR="00693812" w:rsidRDefault="00693812" w:rsidP="00693812">
      <w:pPr>
        <w:pStyle w:val="ListParagraph"/>
        <w:numPr>
          <w:ilvl w:val="0"/>
          <w:numId w:val="33"/>
        </w:numPr>
        <w:spacing w:before="120" w:line="480" w:lineRule="auto"/>
        <w:rPr>
          <w:rFonts w:ascii="Arial" w:hAnsi="Arial" w:cs="Arial"/>
          <w:lang w:val="en-GB"/>
        </w:rPr>
      </w:pPr>
      <w:r>
        <w:rPr>
          <w:rFonts w:ascii="Arial" w:hAnsi="Arial" w:cs="Arial"/>
          <w:lang w:val="en-GB"/>
        </w:rPr>
        <w:t>Adult long-term inpatient care alternatives (see</w:t>
      </w:r>
      <w:r w:rsidR="00B83BB9">
        <w:rPr>
          <w:rFonts w:ascii="Arial" w:hAnsi="Arial" w:cs="Arial"/>
          <w:lang w:val="en-GB"/>
        </w:rPr>
        <w:t xml:space="preserve"> Supplementary </w:t>
      </w:r>
      <w:r w:rsidR="00026BE1">
        <w:rPr>
          <w:rFonts w:ascii="Arial" w:hAnsi="Arial" w:cs="Arial"/>
          <w:lang w:val="en-GB"/>
        </w:rPr>
        <w:t>Material</w:t>
      </w:r>
      <w:r w:rsidR="00B83BB9">
        <w:rPr>
          <w:rFonts w:ascii="Arial" w:hAnsi="Arial" w:cs="Arial"/>
          <w:lang w:val="en-GB"/>
        </w:rPr>
        <w:t xml:space="preserve"> 4</w:t>
      </w:r>
      <w:r>
        <w:rPr>
          <w:rFonts w:ascii="Arial" w:hAnsi="Arial" w:cs="Arial"/>
          <w:lang w:val="en-GB"/>
        </w:rPr>
        <w:t>)</w:t>
      </w:r>
    </w:p>
    <w:p w14:paraId="6C99781B" w14:textId="6F283BC2" w:rsidR="00693812" w:rsidRDefault="00693812" w:rsidP="00693812">
      <w:pPr>
        <w:pStyle w:val="ListParagraph"/>
        <w:numPr>
          <w:ilvl w:val="0"/>
          <w:numId w:val="33"/>
        </w:numPr>
        <w:spacing w:before="120" w:line="480" w:lineRule="auto"/>
        <w:rPr>
          <w:rFonts w:ascii="Arial" w:hAnsi="Arial" w:cs="Arial"/>
          <w:lang w:val="en-GB"/>
        </w:rPr>
      </w:pPr>
      <w:r>
        <w:rPr>
          <w:rFonts w:ascii="Arial" w:hAnsi="Arial" w:cs="Arial"/>
          <w:lang w:val="en-GB"/>
        </w:rPr>
        <w:t xml:space="preserve">Adult long-term inpatient care alternatives: forensic (see </w:t>
      </w:r>
      <w:r w:rsidR="00B83BB9">
        <w:rPr>
          <w:rFonts w:ascii="Arial" w:hAnsi="Arial" w:cs="Arial"/>
          <w:lang w:val="en-GB"/>
        </w:rPr>
        <w:t xml:space="preserve">Supplementary </w:t>
      </w:r>
      <w:r w:rsidR="00026BE1">
        <w:rPr>
          <w:rFonts w:ascii="Arial" w:hAnsi="Arial" w:cs="Arial"/>
          <w:lang w:val="en-GB"/>
        </w:rPr>
        <w:t>Material</w:t>
      </w:r>
      <w:r w:rsidR="00B83BB9">
        <w:rPr>
          <w:rFonts w:ascii="Arial" w:hAnsi="Arial" w:cs="Arial"/>
          <w:lang w:val="en-GB"/>
        </w:rPr>
        <w:t xml:space="preserve"> 4</w:t>
      </w:r>
      <w:r>
        <w:rPr>
          <w:rFonts w:ascii="Arial" w:hAnsi="Arial" w:cs="Arial"/>
          <w:lang w:val="en-GB"/>
        </w:rPr>
        <w:t>)</w:t>
      </w:r>
    </w:p>
    <w:p w14:paraId="7148280D" w14:textId="51239CDE" w:rsidR="00693812" w:rsidRPr="00693812" w:rsidRDefault="00693812" w:rsidP="00693812">
      <w:pPr>
        <w:pStyle w:val="ListParagraph"/>
        <w:numPr>
          <w:ilvl w:val="0"/>
          <w:numId w:val="33"/>
        </w:numPr>
        <w:spacing w:before="120" w:line="480" w:lineRule="auto"/>
        <w:rPr>
          <w:rFonts w:ascii="Arial" w:hAnsi="Arial" w:cs="Arial"/>
          <w:lang w:val="en-GB"/>
        </w:rPr>
      </w:pPr>
      <w:r>
        <w:rPr>
          <w:rFonts w:ascii="Arial" w:hAnsi="Arial" w:cs="Arial"/>
          <w:lang w:val="en-GB"/>
        </w:rPr>
        <w:t xml:space="preserve">CYP alternatives: acute, long-term and forensic (see </w:t>
      </w:r>
      <w:r w:rsidR="00B83BB9">
        <w:rPr>
          <w:rFonts w:ascii="Arial" w:hAnsi="Arial" w:cs="Arial"/>
          <w:lang w:val="en-GB"/>
        </w:rPr>
        <w:t xml:space="preserve">Supplementary </w:t>
      </w:r>
      <w:r w:rsidR="00026BE1">
        <w:rPr>
          <w:rFonts w:ascii="Arial" w:hAnsi="Arial" w:cs="Arial"/>
          <w:lang w:val="en-GB"/>
        </w:rPr>
        <w:t>Material</w:t>
      </w:r>
      <w:r w:rsidR="00B83BB9">
        <w:rPr>
          <w:rFonts w:ascii="Arial" w:hAnsi="Arial" w:cs="Arial"/>
          <w:lang w:val="en-GB"/>
        </w:rPr>
        <w:t xml:space="preserve"> 5</w:t>
      </w:r>
      <w:r>
        <w:rPr>
          <w:rFonts w:ascii="Arial" w:hAnsi="Arial" w:cs="Arial"/>
          <w:lang w:val="en-GB"/>
        </w:rPr>
        <w:t>)</w:t>
      </w:r>
      <w:r w:rsidR="00CA13DF">
        <w:rPr>
          <w:rFonts w:ascii="Arial" w:hAnsi="Arial" w:cs="Arial"/>
          <w:lang w:val="en-GB"/>
        </w:rPr>
        <w:br/>
      </w:r>
    </w:p>
    <w:p w14:paraId="499C97D5" w14:textId="46FA5972" w:rsidR="00693812" w:rsidRPr="00F472D7" w:rsidRDefault="00693812" w:rsidP="00693812">
      <w:pPr>
        <w:pStyle w:val="Heading2"/>
        <w:spacing w:before="0" w:line="480" w:lineRule="auto"/>
        <w:jc w:val="both"/>
        <w:rPr>
          <w:rFonts w:ascii="Arial" w:eastAsia="Calibri Light" w:hAnsi="Arial" w:cs="Arial"/>
          <w:sz w:val="25"/>
          <w:szCs w:val="25"/>
          <w:lang w:val="en-GB"/>
        </w:rPr>
      </w:pPr>
      <w:r>
        <w:rPr>
          <w:rFonts w:ascii="Arial" w:eastAsia="Calibri Light" w:hAnsi="Arial" w:cs="Arial"/>
          <w:sz w:val="25"/>
          <w:szCs w:val="25"/>
          <w:lang w:val="en-GB"/>
        </w:rPr>
        <w:t>1.</w:t>
      </w:r>
      <w:r w:rsidRPr="00F472D7">
        <w:rPr>
          <w:rFonts w:ascii="Arial" w:eastAsia="Calibri Light" w:hAnsi="Arial" w:cs="Arial"/>
          <w:sz w:val="25"/>
          <w:szCs w:val="25"/>
          <w:lang w:val="en-GB"/>
        </w:rPr>
        <w:t xml:space="preserve"> Adult acute inpatient alternatives</w:t>
      </w:r>
    </w:p>
    <w:p w14:paraId="330C7319" w14:textId="0FDF52C3" w:rsidR="00693812" w:rsidRDefault="00693812" w:rsidP="00693812">
      <w:pPr>
        <w:spacing w:after="0" w:line="480" w:lineRule="auto"/>
        <w:rPr>
          <w:rFonts w:ascii="Arial" w:hAnsi="Arial" w:cs="Arial"/>
          <w:lang w:val="en-GB"/>
        </w:rPr>
      </w:pPr>
      <w:r w:rsidRPr="1848F519">
        <w:rPr>
          <w:rFonts w:ascii="Arial" w:hAnsi="Arial" w:cs="Arial"/>
          <w:lang w:val="en-GB"/>
        </w:rPr>
        <w:t xml:space="preserve">This section describes services intended to support adults in a mental health crisis that may otherwise result in admission to a standard acute inpatient ward (see </w:t>
      </w:r>
      <w:r w:rsidR="00B83BB9">
        <w:rPr>
          <w:rFonts w:ascii="Arial" w:hAnsi="Arial" w:cs="Arial"/>
          <w:lang w:val="en-GB"/>
        </w:rPr>
        <w:t xml:space="preserve">Supplementary </w:t>
      </w:r>
      <w:r w:rsidR="00026BE1">
        <w:rPr>
          <w:rFonts w:ascii="Arial" w:hAnsi="Arial" w:cs="Arial"/>
          <w:lang w:val="en-GB"/>
        </w:rPr>
        <w:t>Material</w:t>
      </w:r>
      <w:r w:rsidR="00B83BB9">
        <w:rPr>
          <w:rFonts w:ascii="Arial" w:hAnsi="Arial" w:cs="Arial"/>
          <w:lang w:val="en-GB"/>
        </w:rPr>
        <w:t xml:space="preserve"> 3</w:t>
      </w:r>
      <w:r w:rsidRPr="1848F519">
        <w:rPr>
          <w:rFonts w:ascii="Arial" w:hAnsi="Arial" w:cs="Arial"/>
          <w:lang w:val="en-GB"/>
        </w:rPr>
        <w:t>). Models aiming to shorten acute inpatient ward stays by facilitating earlier discharge were also included. F</w:t>
      </w:r>
      <w:r w:rsidRPr="1848F519">
        <w:rPr>
          <w:rStyle w:val="normaltextrun"/>
          <w:rFonts w:ascii="Arial" w:eastAsia="Calibri" w:hAnsi="Arial" w:cs="Arial"/>
          <w:color w:val="000000" w:themeColor="text1"/>
          <w:lang w:val="en-GB"/>
        </w:rPr>
        <w:t xml:space="preserve">urther information, and associated outcome evidence identified, for each model is provided in </w:t>
      </w:r>
      <w:r w:rsidR="00B83BB9">
        <w:rPr>
          <w:rStyle w:val="normaltextrun"/>
          <w:rFonts w:ascii="Arial" w:eastAsia="Calibri" w:hAnsi="Arial" w:cs="Arial"/>
          <w:color w:val="000000" w:themeColor="text1"/>
          <w:lang w:val="en-GB"/>
        </w:rPr>
        <w:t>Supplementary</w:t>
      </w:r>
      <w:r w:rsidRPr="1848F519">
        <w:rPr>
          <w:rStyle w:val="normaltextrun"/>
          <w:rFonts w:ascii="Arial" w:eastAsia="Calibri" w:hAnsi="Arial" w:cs="Arial"/>
          <w:color w:val="000000" w:themeColor="text1"/>
          <w:lang w:val="en-GB"/>
        </w:rPr>
        <w:t xml:space="preserve"> </w:t>
      </w:r>
      <w:r w:rsidR="00026BE1">
        <w:rPr>
          <w:rFonts w:ascii="Arial" w:eastAsia="Calibri" w:hAnsi="Arial" w:cs="Arial"/>
          <w:color w:val="000000" w:themeColor="text1"/>
          <w:lang w:val="en-GB"/>
        </w:rPr>
        <w:t>Material</w:t>
      </w:r>
      <w:r w:rsidRPr="1848F519">
        <w:rPr>
          <w:rFonts w:ascii="Arial" w:eastAsia="Calibri" w:hAnsi="Arial" w:cs="Arial"/>
          <w:color w:val="000000" w:themeColor="text1"/>
          <w:lang w:val="en-GB"/>
        </w:rPr>
        <w:t xml:space="preserve"> 2 and </w:t>
      </w:r>
      <w:r w:rsidR="00B83BB9">
        <w:rPr>
          <w:rFonts w:ascii="Arial" w:eastAsia="Calibri" w:hAnsi="Arial" w:cs="Arial"/>
          <w:color w:val="000000" w:themeColor="text1"/>
          <w:lang w:val="en-GB"/>
        </w:rPr>
        <w:t>Supplementary</w:t>
      </w:r>
      <w:r w:rsidRPr="1848F519">
        <w:rPr>
          <w:rFonts w:ascii="Arial" w:eastAsia="Calibri" w:hAnsi="Arial" w:cs="Arial"/>
          <w:color w:val="000000" w:themeColor="text1"/>
          <w:lang w:val="en-GB"/>
        </w:rPr>
        <w:t xml:space="preserve"> </w:t>
      </w:r>
      <w:r w:rsidR="00026BE1">
        <w:rPr>
          <w:rFonts w:ascii="Arial" w:eastAsia="Calibri" w:hAnsi="Arial" w:cs="Arial"/>
          <w:color w:val="000000" w:themeColor="text1"/>
          <w:lang w:val="en-GB"/>
        </w:rPr>
        <w:t>Material</w:t>
      </w:r>
      <w:r w:rsidRPr="1848F519">
        <w:rPr>
          <w:rFonts w:ascii="Arial" w:eastAsia="Calibri" w:hAnsi="Arial" w:cs="Arial"/>
          <w:color w:val="000000" w:themeColor="text1"/>
          <w:lang w:val="en-GB"/>
        </w:rPr>
        <w:t xml:space="preserve"> </w:t>
      </w:r>
      <w:r w:rsidR="00B83BB9">
        <w:rPr>
          <w:rFonts w:ascii="Arial" w:eastAsia="Calibri" w:hAnsi="Arial" w:cs="Arial"/>
          <w:color w:val="000000" w:themeColor="text1"/>
          <w:lang w:val="en-GB"/>
        </w:rPr>
        <w:t>7</w:t>
      </w:r>
      <w:r w:rsidRPr="1848F519">
        <w:rPr>
          <w:rStyle w:val="normaltextrun"/>
          <w:rFonts w:ascii="Arial" w:eastAsia="Calibri" w:hAnsi="Arial" w:cs="Arial"/>
          <w:color w:val="000000" w:themeColor="text1"/>
          <w:lang w:val="en-GB"/>
        </w:rPr>
        <w:t>.</w:t>
      </w:r>
      <w:r w:rsidRPr="1848F519">
        <w:rPr>
          <w:rFonts w:ascii="Arial" w:hAnsi="Arial" w:cs="Arial"/>
          <w:lang w:val="en-GB"/>
        </w:rPr>
        <w:t xml:space="preserve"> </w:t>
      </w:r>
    </w:p>
    <w:p w14:paraId="7FA85F51" w14:textId="77777777" w:rsidR="00693812" w:rsidRPr="00F472D7" w:rsidRDefault="00693812" w:rsidP="00693812">
      <w:pPr>
        <w:spacing w:after="0" w:line="480" w:lineRule="auto"/>
        <w:rPr>
          <w:rFonts w:ascii="Arial" w:hAnsi="Arial" w:cs="Arial"/>
          <w:b/>
          <w:bCs/>
          <w:lang w:val="en-GB"/>
        </w:rPr>
      </w:pPr>
    </w:p>
    <w:p w14:paraId="795DB370" w14:textId="0BE096BC" w:rsidR="00693812" w:rsidRPr="00693812" w:rsidRDefault="00693812" w:rsidP="00693812">
      <w:pPr>
        <w:pStyle w:val="Heading3"/>
        <w:spacing w:after="240"/>
      </w:pPr>
      <w:r w:rsidRPr="00693812">
        <w:t>1.1</w:t>
      </w:r>
      <w:r>
        <w:t>.</w:t>
      </w:r>
      <w:r w:rsidRPr="00693812">
        <w:t xml:space="preserve"> Community-based alternatives</w:t>
      </w:r>
    </w:p>
    <w:p w14:paraId="648EB967"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Style w:val="normaltextrun"/>
          <w:rFonts w:ascii="Arial" w:eastAsia="Calibri" w:hAnsi="Arial" w:cs="Arial"/>
          <w:color w:val="000000" w:themeColor="text1"/>
          <w:u w:val="single"/>
          <w:lang w:val="en-GB"/>
        </w:rPr>
        <w:t>Crisis residential services</w:t>
      </w:r>
      <w:r w:rsidRPr="00F472D7">
        <w:rPr>
          <w:rStyle w:val="eop"/>
          <w:rFonts w:ascii="Arial" w:eastAsia="Calibri" w:hAnsi="Arial" w:cs="Arial"/>
          <w:color w:val="000000" w:themeColor="text1"/>
          <w:lang w:val="en-GB"/>
        </w:rPr>
        <w:t> </w:t>
      </w:r>
    </w:p>
    <w:p w14:paraId="526B8B12" w14:textId="3DB8237D" w:rsidR="00693812" w:rsidRPr="00F472D7" w:rsidRDefault="00693812" w:rsidP="00693812">
      <w:pPr>
        <w:spacing w:after="0" w:line="480" w:lineRule="auto"/>
        <w:jc w:val="both"/>
        <w:rPr>
          <w:rFonts w:ascii="Arial" w:eastAsia="Calibri" w:hAnsi="Arial" w:cs="Arial"/>
          <w:color w:val="000000" w:themeColor="text1"/>
          <w:lang w:val="en-GB"/>
        </w:rPr>
      </w:pPr>
      <w:r w:rsidRPr="00F472D7">
        <w:rPr>
          <w:rStyle w:val="normaltextrun"/>
          <w:rFonts w:ascii="Arial" w:eastAsia="Calibri" w:hAnsi="Arial" w:cs="Arial"/>
          <w:color w:val="000000" w:themeColor="text1"/>
          <w:lang w:val="en-GB"/>
        </w:rPr>
        <w:t xml:space="preserve">‘Crisis residential services’ provide temporary accommodation and support to people in crisis, typically for periods ranging from a few days to a few weeks. They include ‘Crisis houses’, which vary in approach, ranging from clinical to non-clinical. ‘Non-clinical crisis houses’ are usually run by voluntary sector organisations; they have fewer clinically qualified staff and employ approaches more clearly distinct from those in standard acute settings than ‘Clinical crisis houses’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{"citationID":"Bz3qAdnX","properties":{"formattedCitation":"(1)","plainCitation":"(1)","noteIndex":0},"citationItems":[{"id":204,"uris":["http://zotero.org/groups/5103846/items/QPTRTHQL"],"itemData":{"id":204,"type":"article-journal","abstract":"Background\n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Crisis houses can be peer-led and can cater to specific sociodemographic groups, such as women or veterans, or specific clinical groups, such as </w:t>
      </w:r>
      <w:r w:rsidRPr="00F472D7">
        <w:rPr>
          <w:rStyle w:val="normaltextrun"/>
          <w:rFonts w:ascii="Arial" w:eastAsia="Calibri" w:hAnsi="Arial" w:cs="Arial"/>
          <w:color w:val="000000" w:themeColor="text1"/>
          <w:lang w:val="en-GB"/>
        </w:rPr>
        <w:lastRenderedPageBreak/>
        <w:t xml:space="preserve">people experiencing suicidality or early psychosis (e.g., Soteria houses)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{"citationID":"t4J2JXSM","properties":{"formattedCitation":"(1\\uc0\\u8211{}5)","plainCitation":"(1–5)","noteIndex":0},"citationItems":[{"id":204,"uris":["http://zotero.org/groups/5103846/items/QPTRTHQL"],"itemData":{"id":204,"type":"article-journal","abstract":"Background\n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id":457,"uris":["http://zotero.org/groups/5103846/items/K3A3TE3U"],"itemData":{"id":457,"type":"chapter","container-title":"Inside Out, Outside In: Transforming Mental Health Practices","publisher":"PCCS Books","title":"Women and Power: Drayton Park Women's Crisis House","URL":"https://www.candi.nhs.uk/sites/default/files/Women%20and%20Power%20-%20The%20Drayton%20Park%20Women%27s%20Crisis%20House.pdf","author":[{"family":"Cooke","given":"Anne"},{"family":"McNicholas","given":"Shirley"},{"family":"Rose","given":"Andie"}],"issued":{"date-parts":[["2019"]]}}},{"id":172,"uris":["http://zotero.org/groups/5103846/items/K6WYBQS7"],"itemData":{"id":172,"type":"article-journal","abstract":"Aims and Method\n              To describe Drayton Park, the first women-only residential mental health crisis facility in the UK and to investigate whether it is succeeding in its remit of providing a viable alternative to hospital admission. We randomly selected case files from 100 women admitted to Drayton Park since its opening and examined variables including demographic details, the reasons for referral, diagnosis and the source of referral.\n            \n            \n              Results\n              Our findings show that the service is able to respond quickly to referrals and appears to be functioning safely. The women admitted have a relatively short length of stay, half suffer from depressive episodes and one-third have a relapse of schizophrenia or bipolar disorder.\n            \n            \n              Clinical Implications\n              This project appears to be succeeding in providing a safe alternative to hospital admission for women with severe and enduring mental health problems.","container-title":"Psychiatric Bulletin","DOI":"10.1192/pb.24.3.101","ISSN":"0955-6036, 1472-1473","issue":"3","journalAbbreviation":"Psychiatr. bull.","language":"en","page":"101-104","source":"DOI.org (Crossref)","title":"Drayton Park, an alternative to hospital admission for women in acute mental health crisis","volume":"24","author":[{"family":"Killaspy","given":"Helen"},{"family":"Dalton","given":"Joy"},{"family":"McNicholas","given":"Shirley"},{"family":"Johnson","given":"Sonia"}],"issued":{"date-parts":[["2000",3]]}}},{"id":174,"uris":["http://zotero.org/groups/5103846/items/K6JNC559"],"itemData":{"id":174,"type":"article-journal","abstract":"Background\n              Women's crisis houses have been developed in the UK as a less stigmatising and less institutional alternative to traditional psychiatric wards.\n            \n            \n              Aims\n              To examine the effectiveness and cost-effectiveness of women's crisis houses by first examining the feasibility of a pilot patient-preference randomised controlled trial (PP–RCT) design (ISRCTN20804014).\n            \n            \n              Method\n              We used a PP–RCT study design to investigate women presenting in crisis needing informal admission. The four study arms were the patient preference arms of women's crisis house or hospital admission, and randomised arms of women's crisis house or hospital admission.\n            \n            \n              Results\n              \n                Forty-one women entered the randomised arms of the trial (crisis house\n                n\n                = 19, wards\n                n\n                = 22) and 61 entered the patient-preference arms (crisis house\n                n\n                = 37, ward\n                n\n                = 24). There was no significant difference in outcomes (symptoms, functioning, perceived coercion, stigma, unmet needs or quality of life) or costs for any of the groups (randomised or preference arms), but women who obtained their preferred intervention were more satisfied with treatment.\n              \n            \n            \n              Conclusions\n              Although the sample sizes were too small to allow definite conclusions, the results suggest that when services are able to provide interventions preferred by patients, those patients are more likely to be satisfied with treatment. This pilot study provides some evidence that women's crisis houses are as effective as traditional psychiatric wards, and may be more cost-effective.","container-title":"British Journal of Psychiatry","DOI":"10.1192/bjp.bp.110.081083","ISSN":"0007-1250, 1472-1465","issue":"S53","journalAbbreviation":"Br J Psychiatry","language":"en","page":"s32-s40","source":"DOI.org (Crossref)","title":"Effectiveness and cost-effectiveness of admissions to women's crisis houses compared with traditional psychiatric wards: pilot patient-preference randomised controlled trial","title-short":"Effectiveness and cost-effectiveness of admissions to women's crisis houses compared with traditional psychiatric wards","volume":"197","author":[{"family":"Howard","given":"L."},{"family":"Flach","given":"C."},{"family":"Leese","given":"M."},{"family":"Byford","given":"S."},{"family":"Killaspy","given":"H."},{"family":"Cole","given":"L."},{"family":"Lawlor","given":"C."},{"family":"Betts","given":"J."},{"family":"Sharac","given":"J."},{"family":"Cutting","given":"P."},{"family":"McNicholas","given":"S."},{"family":"Johnson","given":"S."}],"issued":{"date-parts":[["2010",8]]}}},{"id":535,"uris":["http://zotero.org/groups/5103846/items/QGJXVDS2"],"itemData":{"id":535,"type":"article-journal","container-title":"Journal of Mental Health","DOI":"10.1080/09638230410001700880","ISSN":"0963-8237, 1360-0567","issue":"3","journalAbbreviation":"Journal of Mental Health","language":"en","page":"247-262","source":"DOI.org (Crossref)","title":"Women's experiences of admission to a crisis house and to acute hospital wards: A qualitative study","title-short":"Women's experiences of admission to a crisis house and to acute hospital wards","volume":"13","author":[{"family":"Johnson","given":"Sonia"},{"family":"Bingham","given":"Clare"},{"family":"Billings","given":"Joanne"},{"family":"Pilling","given":"Stephen"},{"family":"Morant","given":"Nicola"},{"family":"Bebbington","given":"Paul"},{"family":"McNicholas","given":"Shirley"},{"family":"Dalton","given":"Joy"}],"issued":{"date-parts":[["2004",6]]}}}],"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(1–5)</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w:t>
      </w:r>
      <w:r>
        <w:rPr>
          <w:rStyle w:val="normaltextrun"/>
          <w:rFonts w:ascii="Arial" w:eastAsia="Calibri" w:hAnsi="Arial" w:cs="Arial"/>
          <w:color w:val="000000" w:themeColor="text1"/>
          <w:lang w:val="en-GB"/>
        </w:rPr>
        <w:t xml:space="preserve">The original Soteria model involves non-medicalised, community-based, residential support for people experiencing acute psychotic episodes in a home-like environment. It emphasises personal relationships, minimal hierarchies between staff and service users, minimal use of medication and restraint, and holistic care </w:t>
      </w:r>
      <w:r>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{"citationID":"glEpsrgg","properties":{"formattedCitation":"(1,6)","plainCitation":"(1,6)","noteIndex":0},"citationItems":[{"id":204,"uris":["http://zotero.org/groups/5103846/items/QPTRTHQL"],"itemData":{"id":204,"type":"article-journal","abstract":"Background\n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id":188,"uris":["http://zotero.org/groups/5103846/items/M72XKEV7"],"itemData":{"id":188,"type":"article-journal","abstract":"The article proposes a rough outline of an alternative systemic approach to mental health issues and of a more humane mental health care system. It suggests focusing on understanding mental distress as stemming from problems in living, using medications as agents facilitating psychotherapy, or as a last resort and short-term help, according to the principles of harm reduction. It argues that understanding drugs as psychoactive substances and studying the subjective effects they produce could lead to better utilization of medications and improvements in terms of conceptualizing and assessing treatment effects. Qualitative research could be particularly useful in that regard. It also advocates a radical departure from current diagnostic systems and proposes a synthesis of already existing alternatives to be used for both research and clinical purposes. Accordingly, a general idea for an alternative mental health care system, based on a combination of Open Dialogue Approach, Soteria houses, individual and group psychotherapy, cautious prescribing, services helping with drug discontinuation, peer-led services and social support is presented. The proposition could be seen as a first step towards developing a systemic alternative that could replace the currently dominating approach instead of focusing on implementing partial solutions that can be co-opted by the current one.","container-title":"International Journal of Environmental Research and Public Health","DOI":"10.3390/ijerph18126625","ISSN":"1660-4601","issue":"12","journalAbbreviation":"IJERPH","language":"en","page":"6625","source":"DOI.org (Crossref)","title":"From Mental Health Industry to Humane Care. Suggestions for an Alternative Systemic Approach to Distress","volume":"18","author":[{"family":"Stupak","given":"Radosław"},{"family":"Dobroczyński","given":"Bartłomiej"}],"issued":{"date-parts":[["2021",6,20]]}}}],"schema":"https://github.com/citation-style-language/schema/raw/master/csl-citation.json"} </w:instrText>
      </w:r>
      <w:r>
        <w:rPr>
          <w:rStyle w:val="normaltextrun"/>
          <w:rFonts w:ascii="Arial" w:eastAsia="Calibri" w:hAnsi="Arial" w:cs="Arial"/>
          <w:color w:val="000000" w:themeColor="text1"/>
          <w:lang w:val="en-GB"/>
        </w:rPr>
        <w:fldChar w:fldCharType="separate"/>
      </w:r>
      <w:r w:rsidR="00937ACD" w:rsidRPr="00937ACD">
        <w:rPr>
          <w:rFonts w:ascii="Arial" w:hAnsi="Arial" w:cs="Arial"/>
        </w:rPr>
        <w:t>(1,6)</w:t>
      </w:r>
      <w:r>
        <w:rPr>
          <w:rStyle w:val="normaltextrun"/>
          <w:rFonts w:ascii="Arial" w:eastAsia="Calibri" w:hAnsi="Arial" w:cs="Arial"/>
          <w:color w:val="000000" w:themeColor="text1"/>
          <w:lang w:val="en-GB"/>
        </w:rPr>
        <w:fldChar w:fldCharType="end"/>
      </w:r>
      <w:r>
        <w:rPr>
          <w:rStyle w:val="normaltextrun"/>
          <w:rFonts w:ascii="Arial" w:eastAsia="Calibri" w:hAnsi="Arial" w:cs="Arial"/>
          <w:color w:val="000000" w:themeColor="text1"/>
          <w:lang w:val="en-GB"/>
        </w:rPr>
        <w:t xml:space="preserve">. </w:t>
      </w:r>
    </w:p>
    <w:p w14:paraId="02C3058A"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0EB82400" w14:textId="44D31780" w:rsidR="00693812" w:rsidRPr="00F472D7" w:rsidRDefault="00693812" w:rsidP="00693812">
      <w:pPr>
        <w:spacing w:after="0" w:line="480" w:lineRule="auto"/>
        <w:jc w:val="both"/>
        <w:rPr>
          <w:rFonts w:ascii="Arial" w:eastAsia="Calibri" w:hAnsi="Arial" w:cs="Arial"/>
          <w:color w:val="000000" w:themeColor="text1"/>
          <w:lang w:val="en-GB"/>
        </w:rPr>
      </w:pPr>
      <w:r w:rsidRPr="00F472D7">
        <w:rPr>
          <w:rStyle w:val="normaltextrun"/>
          <w:rFonts w:ascii="Arial" w:eastAsia="Calibri" w:hAnsi="Arial" w:cs="Arial"/>
          <w:color w:val="000000" w:themeColor="text1"/>
          <w:lang w:val="en-GB"/>
        </w:rPr>
        <w:t xml:space="preserve">This category also includes ‘Family placement schemes’ (including ‘Family sponsor homes’ and ‘Shared Lives’) which place individuals with volunteer host families or carers at times of crisis. ‘Family sponsor homes’ support people for up to four weeks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{"citationID":"Q179yT17","properties":{"formattedCitation":"(7)","plainCitation":"(7)","noteIndex":0},"citationItems":[{"id":219,"uris":["http://zotero.org/groups/5103846/items/9DWXKA3J"],"itemData":{"id":219,"type":"article-journal","abstract":"Abstract\n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(7)</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whereas ‘Shared Lives’ can offer long-term, short-term or day-support placements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{"citationID":"zIZhMDAZ","properties":{"formattedCitation":"(8)","plainCitation":"(8)","noteIndex":0},"citationItems":[{"id":85,"uris":["http://zotero.org/groups/5103846/items/6QHUSCBY"],"itemData":{"id":85,"type":"report","event-place":"Bath, United Kingdom","publisher":"Shared Lives Plus","publisher-place":"Bath, United Kingdom","title":"Evaluation of the Shared Lives Mental Health Project","URL":"https://www.ndti.org.uk/assets/files/Final_NDTi_Cabinet_Office_SLP_MH_Eval_Report.pdf","author":[{"family":"Harflett","given":"N"},{"family":"Jennings","given":"Y"}],"issued":{"date-parts":[["2016"]]}}}],"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(8)</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w:t>
      </w:r>
    </w:p>
    <w:p w14:paraId="4949D590" w14:textId="77777777" w:rsidR="00693812" w:rsidRPr="00F472D7" w:rsidRDefault="00693812" w:rsidP="00693812">
      <w:pPr>
        <w:spacing w:after="0" w:line="480" w:lineRule="auto"/>
        <w:jc w:val="both"/>
        <w:rPr>
          <w:rFonts w:ascii="Arial" w:eastAsia="Segoe UI" w:hAnsi="Arial" w:cs="Arial"/>
          <w:color w:val="000000" w:themeColor="text1"/>
          <w:sz w:val="18"/>
          <w:szCs w:val="18"/>
          <w:lang w:val="en-GB"/>
        </w:rPr>
      </w:pPr>
    </w:p>
    <w:p w14:paraId="3092E3AF"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Style w:val="normaltextrun"/>
          <w:rFonts w:ascii="Arial" w:eastAsia="Calibri" w:hAnsi="Arial" w:cs="Arial"/>
          <w:color w:val="000000" w:themeColor="text1"/>
          <w:u w:val="single"/>
          <w:lang w:val="en-GB"/>
        </w:rPr>
        <w:t>Acute day units</w:t>
      </w:r>
      <w:r w:rsidRPr="00F472D7">
        <w:rPr>
          <w:rStyle w:val="eop"/>
          <w:rFonts w:ascii="Arial" w:eastAsia="Calibri" w:hAnsi="Arial" w:cs="Arial"/>
          <w:color w:val="000000" w:themeColor="text1"/>
          <w:lang w:val="en-GB"/>
        </w:rPr>
        <w:t> </w:t>
      </w:r>
    </w:p>
    <w:p w14:paraId="0E357968" w14:textId="078938B6" w:rsidR="00693812" w:rsidRPr="00F472D7" w:rsidRDefault="00693812" w:rsidP="00693812">
      <w:pPr>
        <w:spacing w:after="0" w:line="480" w:lineRule="auto"/>
        <w:jc w:val="both"/>
        <w:rPr>
          <w:rStyle w:val="normaltextrun"/>
          <w:rFonts w:ascii="Arial" w:eastAsia="Calibri" w:hAnsi="Arial" w:cs="Arial"/>
          <w:color w:val="000000" w:themeColor="text1"/>
          <w:lang w:val="en-GB"/>
        </w:rPr>
      </w:pPr>
      <w:r w:rsidRPr="00F472D7">
        <w:rPr>
          <w:rStyle w:val="normaltextrun"/>
          <w:rFonts w:ascii="Arial" w:eastAsia="Calibri" w:hAnsi="Arial" w:cs="Arial"/>
          <w:color w:val="000000" w:themeColor="text1"/>
          <w:lang w:val="en-GB"/>
        </w:rPr>
        <w:t xml:space="preserve">‘Acute day units’ offer intensive, non-residential treatment and support for people facing acute mental health issues, offering an intermediate level of care between inpatient hospitalisation and outpatient services. ‘Enhanced acute day unit treatment’ models augment the standard model in some way, for example by providing additional respite or outreach services, crisis beds, or extended hours programmes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{"citationID":"ifdJGgrv","properties":{"formattedCitation":"(9)","plainCitation":"(9)","noteIndex":0},"citationItems":[{"id":358,"uris":["http://zotero.org/groups/5103846/items/BCL7KXEX"],"itemData":{"id":358,"type":"article-journal","container-title":"Health Technology Assessment","DOI":"10.3310/hta5210","ISSN":"1366-5278, 2046-4924","issue":"21","journalAbbreviation":"Health Technol Assess","language":"en","source":"DOI.org (Crossref)","title":"Systematic reviews of the effectiveness of day care for people with severe mental disorders: (1) Acute day hospital versus admission; (2) Vocational rehabilitation; (3) Day hospital versus outpatient care","title-short":"Systematic reviews of the effectiveness of day care for people with severe mental disorders","URL":"https://www.journalslibrary.nihr.ac.uk/hta/hta5210/","volume":"5","author":[{"family":"Marshall","given":"M."},{"family":"Sledge","given":"W."},{"family":"Wiersma","given":"D."},{"family":"Crowther","given":"R."},{"family":"Kluiter","given":"H."},{"family":"Bond","given":"G. R."},{"family":"Almaraz-Serrano","given":"A."},{"family":"Roberts","given":"C."},{"family":"Huxley","given":"P."},{"family":"Creed","given":"F."},{"family":"Hill","given":"E."},{"family":"Tyrer","given":"P."}],"accessed":{"date-parts":[["2023",6,23]]},"issued":{"date-parts":[["2001"]]}}}],"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(9)</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Acute day units tend to follow a structured schedule, normally operating during regular business hours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{"citationID":"J0mu5EcU","properties":{"formattedCitation":"(10)","plainCitation":"(10)","noteIndex":0},"citationItems":[{"id":355,"uris":["http://zotero.org/groups/5103846/items/ELZA3FZ2"],"itemData":{"id":355,"type":"article-journal","abstract":"Abstract\n            \n              Background\n              Acute Day Units (ADUs) provide intensive, non-residential, short-term treatment for adults in mental health crisis. They currently exist in approximately 30% of health localities in England, but there is little research into their functioning or effectiveness, and how this form of crisis care is experienced by service users. This qualitative study explores the views and experiences of stakeholders who use and work in ADUs.\n            \n            \n              Methods\n              We conducted 36 semi-structured interviews with service users, staff and carers at four ADUs in England. Data were analysed using thematic analysis. Peer researchers collected data and contributed to analysis, and a Lived Experience Advisory Panel (LEAP) provided perspectives across the whole project.\n            \n            \n              Results\n              Both service users and staff provided generally positive accounts of using or working in ADUs. Valued features were structured programmes that provide routine, meaningful group activities, and opportunities for peer contact and emotional, practical and peer support, within an environment that felt safe. Aspects of ADU care were often described as enabling personal and social connections that contribute to shifting from crisis to recovery. ADUs were compared favourably to other forms of home- and hospital-based acute care, particularly in providing more therapeutic input and social contact. Some service users and staff thought ADU lengths of stay should be extended slightly, and staff described some ADUs being under-utilised or poorly-understood by referrers in local acute care systems.\n            \n            \n              Conclusions\n              Multi-site qualitative data suggests that ADUs provide a distinctive and valued contribution to acute care systems, and can avoid known problems associated with other forms of acute care, such as low user satisfaction, stressful ward environments, and little therapeutic input or positive peer contact. Findings suggest there may be grounds for recommending further development and more widespread implementation of ADUs to increase choice and effective support within local acute care systems.","container-title":"BMC Psychiatry","DOI":"10.1186/s12888-021-03140-2","ISSN":"1471-244X","issue":"1","journalAbbreviation":"BMC Psychiatry","language":"en","page":"146","source":"DOI.org (Crossref)","title":"Acute day units for mental health crises: a qualitative study of service user and staff views and experiences","title-short":"Acute day units for mental health crises","volume":"21","author":[{"family":"Morant","given":"Nicola"},{"family":"Davidson","given":"Michael"},{"family":"Wackett","given":"Jane"},{"family":"Lamb","given":"Danielle"},{"family":"Pinfold","given":"Vanessa"},{"family":"Smith","given":"Deb"},{"family":"Johnson","given":"Sonia"},{"family":"Lloyd-Evans","given":"Brynmor"},{"family":"Osborn","given":"David P. J."}],"issued":{"date-parts":[["2021",12]]}}}],"schema":"https://github.com/citation-style-language/schema/raw/master/csl-citation.json"}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(10)</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The intensity of programmes varies, and they tend to include a combination of individual therapy, group therapy, medication management, and support with practical issues (e.g., housing, welfare benefits, legal issues) and physical health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{"citationID":"sYYorVGt","properties":{"formattedCitation":"(10)","plainCitation":"(10)","noteIndex":0},"citationItems":[{"id":355,"uris":["http://zotero.org/groups/5103846/items/ELZA3FZ2"],"itemData":{"id":355,"type":"article-journal","abstract":"Abstract\n            \n              Background\n              Acute Day Units (ADUs) provide intensive, non-residential, short-term treatment for adults in mental health crisis. They currently exist in approximately 30% of health localities in England, but there is little research into their functioning or effectiveness, and how this form of crisis care is experienced by service users. This qualitative study explores the views and experiences of stakeholders who use and work in ADUs.\n            \n            \n              Methods\n              We conducted 36 semi-structured interviews with service users, staff and carers at four ADUs in England. Data were analysed using thematic analysis. Peer researchers collected data and contributed to analysis, and a Lived Experience Advisory Panel (LEAP) provided perspectives across the whole project.\n            \n            \n              Results\n              Both service users and staff provided generally positive accounts of using or working in ADUs. Valued features were structured programmes that provide routine, meaningful group activities, and opportunities for peer contact and emotional, practical and peer support, within an environment that felt safe. Aspects of ADU care were often described as enabling personal and social connections that contribute to shifting from crisis to recovery. ADUs were compared favourably to other forms of home- and hospital-based acute care, particularly in providing more therapeutic input and social contact. Some service users and staff thought ADU lengths of stay should be extended slightly, and staff described some ADUs being under-utilised or poorly-understood by referrers in local acute care systems.\n            \n            \n              Conclusions\n              Multi-site qualitative data suggests that ADUs provide a distinctive and valued contribution to acute care systems, and can avoid known problems associated with other forms of acute care, such as low user satisfaction, stressful ward environments, and little therapeutic input or positive peer contact. Findings suggest there may be grounds for recommending further development and more widespread implementation of ADUs to increase choice and effective support within local acute care systems.","container-title":"BMC Psychiatry","DOI":"10.1186/s12888-021-03140-2","ISSN":"1471-244X","issue":"1","journalAbbreviation":"BMC Psychiatry","language":"en","page":"146","source":"DOI.org (Crossref)","title":"Acute day units for mental health crises: a qualitative study of service user and staff views and experiences","title-short":"Acute day units for mental health crises","volume":"21","author":[{"family":"Morant","given":"Nicola"},{"family":"Davidson","given":"Michael"},{"family":"Wackett","given":"Jane"},{"family":"Lamb","given":"Danielle"},{"family":"Pinfold","given":"Vanessa"},{"family":"Smith","given":"Deb"},{"family":"Johnson","given":"Sonia"},{"family":"Lloyd-Evans","given":"Brynmor"},{"family":"Osborn","given":"David P. J."}],"issued":{"date-parts":[["2021",12]]}}}],"schema":"https://github.com/citation-style-language/schema/raw/master/csl-citation.json"}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(10)</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Some acute day units are designed for specific groups, such as people with diagnoses of eating disorders or “personality disorders”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{"citationID":"0PYvbQb8","properties":{"formattedCitation":"(11)","plainCitation":"(11)","noteIndex":0},"citationItems":[{"id":344,"uris":["http://zotero.org/groups/5103846/items/Y8KQNLQJ"],"itemData":{"id":344,"type":"article-journal","container-title":"World Journal of Psychiatry","DOI":"10.5498/wjp.v5.i1.147","ISSN":"2220-3206","issue":"1","journalAbbreviation":"WJP","language":"en","page":"147","source":"DOI.org (Crossref)","title":"Systematic review of evidence for different treatment settings in anorexia nervosa","volume":"5","author":[{"family":"Madden","given":"Sloane"},{"family":"Hay","given":"P"},{"family":"Touyz","given":"S"}],"issued":{"date-parts":[["2015"]]}}}],"schema":"https://github.com/citation-style-language/schema/raw/master/csl-citation.json"}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(11)</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ADUs may aim to avoid inpatient admissions or shorten inpatient stays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{"citationID":"W6J88GVb","properties":{"formattedCitation":"(10)","plainCitation":"(10)","noteIndex":0},"citationItems":[{"id":355,"uris":["http://zotero.org/groups/5103846/items/ELZA3FZ2"],"itemData":{"id":355,"type":"article-journal","abstract":"Abstract\n            \n              Background\n              Acute Day Units (ADUs) provide intensive, non-residential, short-term treatment for adults in mental health crisis. They currently exist in approximately 30% of health localities in England, but there is little research into their functioning or effectiveness, and how this form of crisis care is experienced by service users. This qualitative study explores the views and experiences of stakeholders who use and work in ADUs.\n            \n            \n              Methods\n              We conducted 36 semi-structured interviews with service users, staff and carers at four ADUs in England. Data were analysed using thematic analysis. Peer researchers collected data and contributed to analysis, and a Lived Experience Advisory Panel (LEAP) provided perspectives across the whole project.\n            \n            \n              Results\n              Both service users and staff provided generally positive accounts of using or working in ADUs. Valued features were structured programmes that provide routine, meaningful group activities, and opportunities for peer contact and emotional, practical and peer support, within an environment that felt safe. Aspects of ADU care were often described as enabling personal and social connections that contribute to shifting from crisis to recovery. ADUs were compared favourably to other forms of home- and hospital-based acute care, particularly in providing more therapeutic input and social contact. Some service users and staff thought ADU lengths of stay should be extended slightly, and staff described some ADUs being under-utilised or poorly-understood by referrers in local acute care systems.\n            \n            \n              Conclusions\n              Multi-site qualitative data suggests that ADUs provide a distinctive and valued contribution to acute care systems, and can avoid known problems associated with other forms of acute care, such as low user satisfaction, stressful ward environments, and little therapeutic input or positive peer contact. Findings suggest there may be grounds for recommending further development and more widespread implementation of ADUs to increase choice and effective support within local acute care systems.","container-title":"BMC Psychiatry","DOI":"10.1186/s12888-021-03140-2","ISSN":"1471-244X","issue":"1","journalAbbreviation":"BMC Psychiatry","language":"en","page":"146","source":"DOI.org (Crossref)","title":"Acute day units for mental health crises: a qualitative study of service user and staff views and experiences","title-short":"Acute day units for mental health crises","volume":"21","author":[{"family":"Morant","given":"Nicola"},{"family":"Davidson","given":"Michael"},{"family":"Wackett","given":"Jane"},{"family":"Lamb","given":"Danielle"},{"family":"Pinfold","given":"Vanessa"},{"family":"Smith","given":"Deb"},{"family":"Johnson","given":"Sonia"},{"family":"Lloyd-Evans","given":"Brynmor"},{"family":"Osborn","given":"David P. J."}],"issued":{"date-parts":[["2021",12]]}}}],"schema":"https://github.com/citation-style-language/schema/raw/master/csl-citation.json"}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(10)</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They can be part of step-down programmes, where people engage in brief intensive acute day unit treatment followed by a period of longer-term therapy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Htgs7UJy","properties":{"formattedCitation":"(12,13)","plainCitation":"(12,13)","noteIndex":0},"citationItems":[{"id":"pnuyFmyJ/cFmY3gsw","uris":["http://zotero.org/users/9548222/items/FWXXD6DS"],"itemData":{"id":861,"type":"article-journal","container-title":"American Journal of Psychiatry","DOI":"10.1176/ajp.156.10.1563","ISSN":"0002-953X, 1535-7228","issue":"10","journalAbbreviation":"AJP","language":"en","page":"1563-1569","source":"DOI.org (Crossref)","title":"Effectiveness of Partial Hospitalization in the Treatment of Borderline Personality Disorder: A Randomized Controlled Trial","title-short":"Effectiveness of Partial Hospitalization in the Treatment of Borderline Personality Disorder","volume":"156","author":[{"family":"Bateman","given":"Anthony"},{"family":"Fonagy","given":"Peter"}],"issued":{"date-parts":[["1999",10]]}}},{"id":325,"uris":["http://zotero.org/groups/5103846/items/4ZC2FMD5"],"itemData":{"id":325,"type":"article-journal","container-title":"BMC Psychiatry","DOI":"10.1186/1471-244X-14-119","ISSN":"1471-244X","issue":"1","journalAbbreviation":"BMC Psychiatry","language":"en","page":"119","source":"DOI.org (Crossref)","title":"Step-down versus outpatient psychotherapeutic treatment for personality disorders: 6-year follow-up of the Ullevål personality project","title-short":"Step-down versus outpatient psychotherapeutic treatment for personality disorders","volume":"14","author":[{"family":"Antonsen","given":"Bjørnar T"},{"family":"Klungsøyr","given":"Ole"},{"family":"Kamps","given":"Anne"},{"family":"Hummelen","given":"Benjamin"},{"family":"Johansen","given":"Merete S"},{"family":"Pedersen","given":"Geir"},{"family":"Urnes","given":"Øyvind"},{"family":"Kvarstein","given":"Elfrida H"},{"family":"Karterud","given":"Sigmund"},{"family":"Wilberg","given":"Theresa"}],"issued":{"date-parts":[["2014",12]]}}}],"schema":"https://github.com/citation-style-language/schema/raw/master/csl-citation.json"}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(12,13)</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w:t>
      </w:r>
    </w:p>
    <w:p w14:paraId="347F538A" w14:textId="77777777" w:rsidR="00693812" w:rsidRPr="00F472D7" w:rsidRDefault="00693812" w:rsidP="00693812">
      <w:pPr>
        <w:spacing w:after="0" w:line="480" w:lineRule="auto"/>
        <w:jc w:val="both"/>
        <w:rPr>
          <w:rFonts w:ascii="Arial" w:eastAsia="Segoe UI" w:hAnsi="Arial" w:cs="Arial"/>
          <w:color w:val="000000" w:themeColor="text1"/>
          <w:sz w:val="18"/>
          <w:szCs w:val="18"/>
          <w:lang w:val="en-GB"/>
        </w:rPr>
      </w:pPr>
    </w:p>
    <w:p w14:paraId="13B496EC" w14:textId="77777777" w:rsidR="00693812" w:rsidRPr="00F472D7" w:rsidRDefault="00693812" w:rsidP="00693812">
      <w:pPr>
        <w:spacing w:after="0" w:line="480" w:lineRule="auto"/>
        <w:jc w:val="both"/>
        <w:rPr>
          <w:rStyle w:val="normaltextrun"/>
          <w:rFonts w:ascii="Arial" w:eastAsia="Calibri" w:hAnsi="Arial" w:cs="Arial"/>
          <w:color w:val="000000" w:themeColor="text1"/>
          <w:u w:val="single"/>
          <w:lang w:val="en-GB"/>
        </w:rPr>
      </w:pPr>
      <w:r w:rsidRPr="00F472D7">
        <w:rPr>
          <w:rStyle w:val="normaltextrun"/>
          <w:rFonts w:ascii="Arial" w:eastAsia="Calibri" w:hAnsi="Arial" w:cs="Arial"/>
          <w:color w:val="000000" w:themeColor="text1"/>
          <w:u w:val="single"/>
          <w:lang w:val="en-GB"/>
        </w:rPr>
        <w:t>Home-based crisis services</w:t>
      </w:r>
    </w:p>
    <w:p w14:paraId="120EA1A5" w14:textId="2A7ECBAC" w:rsidR="00693812" w:rsidRPr="00F472D7" w:rsidRDefault="00693812" w:rsidP="00693812">
      <w:pPr>
        <w:spacing w:after="0" w:line="480" w:lineRule="auto"/>
        <w:jc w:val="both"/>
        <w:rPr>
          <w:rStyle w:val="normaltextrun"/>
          <w:rFonts w:ascii="Arial" w:eastAsia="Calibri" w:hAnsi="Arial" w:cs="Arial"/>
          <w:color w:val="000000" w:themeColor="text1"/>
          <w:lang w:val="en-GB"/>
        </w:rPr>
      </w:pPr>
      <w:r w:rsidRPr="00F472D7">
        <w:rPr>
          <w:rStyle w:val="normaltextrun"/>
          <w:rFonts w:ascii="Arial" w:eastAsia="Calibri" w:hAnsi="Arial" w:cs="Arial"/>
          <w:color w:val="000000" w:themeColor="text1"/>
          <w:lang w:val="en-GB"/>
        </w:rPr>
        <w:lastRenderedPageBreak/>
        <w:t xml:space="preserve">‘Home-based crisis models’ include ‘Crisis Resolution and Home Treatment Teams’ (CRHTTs) that provide intensive support and treatment to people in crisis, operate 24/7 and offer a rapid response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{"citationID":"kEk2H7EU","properties":{"formattedCitation":"(14)","plainCitation":"(14)","noteIndex":0},"citationItems":[{"id":532,"uris":["http://zotero.org/groups/5103846/items/JVNSUHE5"],"itemData":{"id":532,"type":"article-journal","abstract":"Summary\n            Crisis resolution and home treatment teams have been introduced throughout England as part of a transformation of the community mental healthcare system. They aim to assess all patients being considered for acute hospital admission, to offer intensive home treatment rather than hospital admission if feasible, and to facilitate early discharge from hospital. Key features include 24-hour availability and intensive contact in the community, with visits twice daily if needed. This article describes the main characteristics and core interventions of these teams, and reviews the impact of their nationwide introduction. The model has evolved as a pragmatic response to difficulties in the acute care system, and its adaptation continues. Key challenges include achieving close integration with the rest of the mental health system and delivering continuity of care and effective therapeutic relationships despite the involvement of multiple workers in each crisis.","container-title":"Advances in Psychiatric Treatment","DOI":"10.1192/apt.bp.107.004192","ISSN":"1355-5146, 1472-1481","issue":"2","journalAbbreviation":"Adv. psychiatr. treat","language":"en","page":"115-123","source":"DOI.org (Crossref)","title":"Crisis resolution and home treatment teams: an evolving model","title-short":"Crisis resolution and home treatment teams","volume":"19","author":[{"family":"Johnson","given":"Sonia"}],"issued":{"date-parts":[["2013",3]]}}}],"schema":"https://github.com/citation-style-language/schema/raw/master/csl-citation.json"}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(14)</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They often act as a gatekeeper for inpatient admissions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{"citationID":"yQekJdeH","properties":{"formattedCitation":"(14)","plainCitation":"(14)","noteIndex":0},"citationItems":[{"id":532,"uris":["http://zotero.org/groups/5103846/items/JVNSUHE5"],"itemData":{"id":532,"type":"article-journal","abstract":"Summary\n            Crisis resolution and home treatment teams have been introduced throughout England as part of a transformation of the community mental healthcare system. They aim to assess all patients being considered for acute hospital admission, to offer intensive home treatment rather than hospital admission if feasible, and to facilitate early discharge from hospital. Key features include 24-hour availability and intensive contact in the community, with visits twice daily if needed. This article describes the main characteristics and core interventions of these teams, and reviews the impact of their nationwide introduction. The model has evolved as a pragmatic response to difficulties in the acute care system, and its adaptation continues. Key challenges include achieving close integration with the rest of the mental health system and delivering continuity of care and effective therapeutic relationships despite the involvement of multiple workers in each crisis.","container-title":"Advances in Psychiatric Treatment","DOI":"10.1192/apt.bp.107.004192","ISSN":"1355-5146, 1472-1481","issue":"2","journalAbbreviation":"Adv. psychiatr. treat","language":"en","page":"115-123","source":"DOI.org (Crossref)","title":"Crisis resolution and home treatment teams: an evolving model","title-short":"Crisis resolution and home treatment teams","volume":"19","author":[{"family":"Johnson","given":"Sonia"}],"issued":{"date-parts":[["2013",3]]}}}],"schema":"https://github.com/citation-style-language/schema/raw/master/csl-citation.json"}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(14)</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They are intended to avoid inpatient admissions and facilitate earlier discharge from hospital. They are staffed by multidisciplinary teams which can provide medication management, safety planning and psychological and social interventions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{"citationID":"F67q4dUZ","properties":{"formattedCitation":"(15)","plainCitation":"(15)","noteIndex":0},"citationItems":[{"id":201,"uris":["http://zotero.org/groups/5103846/items/WYCBX38C"],"itemData":{"id":201,"type":"article-journal","container-title":"BMC Psychiatry","DOI":"10.1186/s12888-016-1139-4","ISSN":"1471-244X","issue":"1","journalAbbreviation":"BMC Psychiatry","language":"en","page":"427","source":"DOI.org (Crossref)","title":"Development of a measure of model fidelity for mental health Crisis Resolution Teams","volume":"16","author":[{"family":"Lloyd-Evans","given":"Brynmor"},{"family":"Bond","given":"Gary R."},{"family":"Ruud","given":"Torleif"},{"family":"Ivanecka","given":"Ada"},{"family":"Gray","given":"Richard"},{"family":"Osborn","given":"David"},{"family":"Nolan","given":"Fiona"},{"family":"Henderson","given":"Claire"},{"family":"Mason","given":"Oliver"},{"family":"Goater","given":"Nicky"},{"family":"Kelly","given":"Kathleen"},{"family":"Ambler","given":"Gareth"},{"family":"Morant","given":"Nicola"},{"family":"Onyett","given":"Steve"},{"family":"Lamb","given":"Danielle"},{"family":"Fahmy","given":"Sarah"},{"family":"Brown","given":"Ellie"},{"family":"Paterson","given":"Beth"},{"family":"Sweeney","given":"Angela"},{"family":"Hindle","given":"David"},{"family":"Fullarton","given":"Kate"},{"family":"Frerichs","given":"Johanna"},{"family":"Johnson","given":"Sonia"}],"issued":{"date-parts":[["2016",12]]}}}],"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(15)</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CRHTTs can provide both assessment and treatment, or these functions can be performed by separate teams. ‘Other intensive home treatment services’ can provide similar support, which may be staffed by psychiatrists, nurses, psychologists, social workers, therapists or peer workers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0PClHOgS","properties":{"formattedCitation":"(16\\uc0\\u8211{}21)","plainCitation":"(16–21)","noteIndex":0},"citationItems":[{"id":321,"uris":["http://zotero.org/groups/5103846/items/MAPC9YA9"],"itemData":{"id":321,"type":"article-journal","abstract":"Zusammenfassung. Fragestellung: Hometreatment war trotz ausreichend vorhandener Evidenz lange Jahre aufgrund klarer Sektorengrenzen zwischen ambulanten und stationären Maßnahmen keine Behandlungsoption für psychisch erkrankte Kinder und Jugendliche in Deutschland. Seit dem Inkrafttreten des „Gesetzes zur Weiterentwicklung der Versorgung und der Vergütung für psychiatrische und psychosomatische Leistungen“ (PsychVVG) am 01.01.2017 kann nun alternativ zu einer stationären Aufnahme eine stationsäquivalente Behandlung (StäB) mit täglichen Kontakten zu Hause angeboten werden. Ziel dieser Arbeit ist es, anhand einer systematischen Literaturrecherche zu Hometreatment von Kindern und Jugendlichen a) mittels bisheriger deutscher Studien die in Deutschland aufgezeigte Effektivität von Hometreatment darzulegen, b) mittels internationaler Reviews Kriterien für effektives Hometreatment zu definieren und c) beides mit dem Angebot StäB abzugleichen. Methode: Systematische Literaturrecherche in den Datenbanken PubMed, Cochrane Library, PsycINFO und Scopus mit den Suchbegriffen „hometreatment“ AND „children“ bzw. „hometreatment“ AND „adolesc*“. Ergebnisse: Flexibilität, Mobilität, Multidisziplinarität, breites Angebot an Interventionen, Zugang zu Möglichkeiten stationärer Behandlung, ständige Erreichbarkeit (24 Stunden an 7 Tagen in der Woche) sowie täglich ein Kontakt wurde in den Reviews für gelingendes Hometreatment definiert. Auch deutsche Studien zeigten Effektivität: Das Funktionsniveau der Patientinnen und Patienten stieg, die elterliche Kompetenz wuchs, Behandlungsergebnisse blieben stabil, Akzeptanz in Familien bestand. Als besonders effektiv wurde Hometreatment bei externalisierenden Störungen nachgewiesen. Schlussfolgerung: StäB hat mit den vorgegebenen Rahmenbedingungen gute Voraussetzungen, das breite Angebot der Kinder- und Jugendpsychiatrie und Psychotherapie in Deutschland mit einem effektiven Behandlungsangebot zu ergänzen.","container-title":"Zeitschrift für Kinder- und Jugendpsychiatrie und Psychotherapie","DOI":"10.1024/1422-4917/a000710","ISSN":"1422-4917, 1664-2880","issue":"5","journalAbbreviation":"Zeitschrift für Kinder- und Jugendpsychiatrie und Psychotherapie","language":"de","page":"393-406","source":"DOI.org (Crossref)","title":"Vom Hometreatment zur stationsäquivalenten Behandlung (StäB): Ein systematischer Review aufsuchender Behandlung in Deutschland","title-short":"Vom Hometreatment zur stationsäquivalenten Behandlung (StäB)","volume":"48","author":[{"family":"Boege","given":"Isabel"},{"family":"Schepker","given":"Renate"},{"family":"Fegert","given":"Jörg M."}],"issued":{"date-parts":[["2020",9,1]]}}},{"id":503,"uris":["http://zotero.org/groups/5103846/items/22VCP24U"],"itemData":{"id":503,"type":"article-journal","container-title":"European Child &amp; Adolescent Psychiatry","DOI":"10.1007/s007870170009","ISSN":"1018-8827, 1435-165X","issue":"S1","journalAbbreviation":"European Child &amp; Adolescent Psychiatry","language":"en","page":"S80-S90","source":"DOI.org (Crossref)","title":"Effectiveness of home treatment in children and adolescents with externalizing psychiatric disorders","volume":"10","author":[{"family":"Lay","given":"Barbara"},{"family":"Blanz","given":"Bernd"},{"family":"Schmidt","given":"Martin H."}],"issued":{"date-parts":[["2001",3]]}}},{"id":338,"uris":["http://zotero.org/groups/5103846/items/JE4V8VY5"],"itemData":{"id":338,"type":"article-journal","container-title":"Health &amp; Social Care in the Community","DOI":"10.1111/hsc.13731","ISSN":"0966-0410, 1365-2524","issue":"5","journalAbbreviation":"Health Social Care Comm","language":"en","page":"1665-1679","source":"DOI.org (Crossref)","title":"Re</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examining mental health crisis intervention: A rapid review comparing outcomes across police, co</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responder and non</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police models","title-short":"Re</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 xml:space="preserve">examining mental health crisis intervention","volume":"30","author":[{"family":"Marcus","given":"Natania"},{"family":"Stergiopoulos","given":"Vicky"}],"issued":{"date-parts":[["2022",9]]}}},{"id":501,"uris":["http://zotero.org/groups/5103846/items/KTLCYH8S"],"itemData":{"id":501,"type":"article-journal","container-title":"Social Work in Mental Health","DOI":"10.1080/15332985.2010.494557","ISSN":"1533-2985, 1533-2993","issue":"1","journalAbbreviation":"Social Work in Mental Health","language":"en","page":"1-21","source":"DOI.org (Crossref)","title":"Mental Health Outcomes of Children and Youth Accessing Residential Programs or a Home-Based Alternative","volume":"9","author":[{"family":"Preyde","given":"Michèle"},{"family":"Frensch","given":"Karen"},{"family":"Cameron","given":"Gary"},{"family":"Hazineh","given":"Lirondel"},{"family":"Riosa","given":"Priscilla Burnham"}],"issued":{"date-parts":[["2010",12,30]]}}},{"id":502,"uris":["http://zotero.org/groups/5103846/items/W8RDBPP6"],"itemData":{"id":502,"type":"article-journal","container-title":"Journal of Child and Family Studies","DOI":"10.1007/s10826-010-9442-z","ISSN":"1062-1024, 1573-2843","issue":"5","journalAbbreviation":"J Child Fam Stud","language":"en","page":"660-668","source":"DOI.org (Crossref)","title":"Long-term Outcomes of Children and Youth accessing Residential or Intensive Home-based Treatment: Three year follow up","title-short":"Long-term Outcomes of Children and Youth accessing Residential or Intensive Home-based Treatment","volume":"20","author":[{"family":"Preyde","given":"M."},{"family":"Frensch","given":"K."},{"family":"Cameron","given":"G."},{"family":"White","given":"S."},{"family":"Penny","given":"R."},{"family":"Lazure","given":"K."}],"issued":{"date-parts":[["2011",10]]}}},{"id":504,"uris":["http://zotero.org/groups/5103846/items/IJCFAF9F"],"itemData":{"id":504,"type":"article-journal","container-title":"European Child &amp; Adolescent Psychiatry","DOI":"10.1007/s00787-006-0531-x","ISSN":"1018-8827, 1435-165X","issue":"5","journalAbbreviation":"Eur Child Adolesc Psychiatry","language":"en","page":"265-276","source":"DOI.org (Crossref)","title":"Home treatment for children and adolescents with psychiatric disorders","volume":"15","author":[{"family":"Schmidt","given":"Martin H."},{"family":"Lay","given":"Barbara"},{"family":"Göpel","given":"Christopher"},{"family":"Naab","given":"Silke"},{"family":"Blanz","given":"Bernd"}],"issued":{"date-parts":[["2006",8]]}}}],"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(16–21)</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w:t>
      </w:r>
    </w:p>
    <w:p w14:paraId="565BFC79" w14:textId="77777777" w:rsidR="00693812" w:rsidRPr="00F472D7" w:rsidRDefault="00693812" w:rsidP="00693812">
      <w:pPr>
        <w:spacing w:after="0" w:line="480" w:lineRule="auto"/>
        <w:jc w:val="both"/>
        <w:rPr>
          <w:rFonts w:ascii="Arial" w:eastAsia="Segoe UI" w:hAnsi="Arial" w:cs="Arial"/>
          <w:color w:val="000000" w:themeColor="text1"/>
          <w:sz w:val="18"/>
          <w:szCs w:val="18"/>
          <w:lang w:val="en-GB"/>
        </w:rPr>
      </w:pPr>
    </w:p>
    <w:p w14:paraId="21F19D61"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Style w:val="normaltextrun"/>
          <w:rFonts w:ascii="Arial" w:eastAsia="Calibri" w:hAnsi="Arial" w:cs="Arial"/>
          <w:color w:val="000000" w:themeColor="text1"/>
          <w:u w:val="single"/>
          <w:lang w:val="en-GB"/>
        </w:rPr>
        <w:t>Emergency service linked models</w:t>
      </w:r>
      <w:r w:rsidRPr="00F472D7">
        <w:rPr>
          <w:rStyle w:val="eop"/>
          <w:rFonts w:ascii="Arial" w:eastAsia="Calibri" w:hAnsi="Arial" w:cs="Arial"/>
          <w:color w:val="000000" w:themeColor="text1"/>
          <w:lang w:val="en-GB"/>
        </w:rPr>
        <w:t> </w:t>
      </w:r>
    </w:p>
    <w:p w14:paraId="4D2F4989" w14:textId="62452914" w:rsidR="00693812" w:rsidRPr="00F472D7" w:rsidRDefault="00693812" w:rsidP="00693812">
      <w:pPr>
        <w:spacing w:after="0" w:line="480" w:lineRule="auto"/>
        <w:jc w:val="both"/>
        <w:rPr>
          <w:rStyle w:val="normaltextrun"/>
          <w:rFonts w:ascii="Arial" w:eastAsia="Calibri" w:hAnsi="Arial" w:cs="Arial"/>
          <w:color w:val="000000" w:themeColor="text1"/>
          <w:lang w:val="en-GB"/>
        </w:rPr>
      </w:pPr>
      <w:r w:rsidRPr="00F472D7">
        <w:rPr>
          <w:rStyle w:val="normaltextrun"/>
          <w:rFonts w:ascii="Arial" w:eastAsia="Calibri" w:hAnsi="Arial" w:cs="Arial"/>
          <w:color w:val="000000" w:themeColor="text1"/>
          <w:lang w:val="en-GB"/>
        </w:rPr>
        <w:t xml:space="preserve">‘Paramedic and/or ambulance street triage teams’ are specialised units staffed by mental health clinicians and emergency service staff. Sometimes peer workers are also integrated into these teams. They provide immediate assessment and intervention to people in crisis who come into contact with law enforcement or emergency services in community settings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{"citationID":"rMJjrNpf","properties":{"formattedCitation":"(7,18,22)","plainCitation":"(7,18,22)","noteIndex":0},"citationItems":[{"id":219,"uris":["http://zotero.org/groups/5103846/items/9DWXKA3J"],"itemData":{"id":219,"type":"article-journal","abstract":"Abstract\n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id":338,"uris":["http://zotero.org/groups/5103846/items/JE4V8VY5"],"itemData":{"id":338,"type":"article-journal","container-title":"Health &amp; Social Care in the Community","DOI":"10.1111/hsc.13731","ISSN":"0966-0410, 1365-2524","issue":"5","journalAbbreviation":"Health Social Care Comm","language":"en","page":"1665-1679","source":"DOI.org (Crossref)","title":"Re</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examining mental health crisis intervention: A rapid review comparing outcomes across police, co</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responder and non</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police models","title-short":"Re</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 xml:space="preserve">examining mental health crisis intervention","volume":"30","author":[{"family":"Marcus","given":"Natania"},{"family":"Stergiopoulos","given":"Vicky"}],"issued":{"date-parts":[["2022",9]]}}},{"id":205,"uris":["http://zotero.org/groups/5103846/items/ZCPVV2VV"],"itemData":{"id":205,"type":"article-journal","abstract":"Abstract\n            \n              Background\n              Mental health crisis requiring emergency access to psychiatric service can occur at any time. Psychiatric Emergency Service (PES) is described as one that provides an immediate response to an individual in crisis within the first 24 h. Presently, several types of PESs are available in the United Kingdom (UK) with the aim of providing prompt and effective assessment and management of patients. Therefore, this study aims to provide a detailed narrative literature review of the various types of Psychiatric Emergency Service (PES) currently available in the UK.\n            \n            \n              Method\n              Electronic search of five key databases (MEDLINE, PsychINFO, EMBASE, AMED and PUBMED) was conducted. Studies were included if it described a mental health service in the UK that provides immediate response in mental health crisis within the first 24 h. Excluded studies did not describe a PES, non-English, and were not conducted in UK.\n            \n            \n              Results\n              Nine types of PESs were found. Amongst the 9 services, more papers described crisis resolution home treatment. Majority of the papers reported services within England than other countries within the UK.\n            \n            \n              Conclusion\n              All types of PESs were described as beneficial, particularly to mental health service users, but not without some shortcomings. There is a need to continue carrying out methodological research that evaluate impact, cost-effectiveness as well as identify methods of optimising the beneficial outcomes of the various types of PESs. This may help inform researchers, policy makers and commissioners, service users and carers, service providers and many more on how to ensure current and future PESs meet the needs as well as aid recovery during crisis.","container-title":"BMC Psychiatry","DOI":"10.1186/s12888-020-02983-5","ISSN":"1471-244X","issue":"1","journalAbbreviation":"BMC Psychiatry","language":"en","page":"587","source":"DOI.org (Crossref)","title":"Typology of psychiatric emergency services in the United Kingdom: a narrative literature review","title-short":"Typology of psychiatric emergency services in the United Kingdom","volume":"20","author":[{"family":"Odejimi","given":"Opeyemi"},{"family":"Bagchi","given":"Dhruba"},{"family":"Tadros","given":"George"}],"issued":{"date-parts":[["2020",12]]}}}],"schema":"https://github.com/citation-style-language/schema/raw/master/csl-citation.json"}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(7,18,22)</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They aim to divert people from unnecessary arrest or incarceration. These teams can be ‘Police co-response teams’ or ‘Paramedic street triage teams’, and their formats can vary, with some providing in-person support from a mental health clinician during calls, and others where clinicians provide telephone advice only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{"citationID":"wqP5qKOs","properties":{"formattedCitation":"(7,18)","plainCitation":"(7,18)","noteIndex":0},"citationItems":[{"id":219,"uris":["http://zotero.org/groups/5103846/items/9DWXKA3J"],"itemData":{"id":219,"type":"article-journal","abstract":"Abstract\n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id":338,"uris":["http://zotero.org/groups/5103846/items/JE4V8VY5"],"itemData":{"id":338,"type":"article-journal","container-title":"Health &amp; Social Care in the Community","DOI":"10.1111/hsc.13731","ISSN":"0966-0410, 1365-2524","issue":"5","journalAbbreviation":"Health Social Care Comm","language":"en","page":"1665-1679","source":"DOI.org (Crossref)","title":"Re</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examining mental health crisis intervention: A rapid review comparing outcomes across police, co</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responder and non</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police models","title-short":"Re</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 xml:space="preserve">examining mental health crisis intervention","volume":"30","author":[{"family":"Marcus","given":"Natania"},{"family":"Stergiopoulos","given":"Vicky"}],"issued":{"date-parts":[["2022",9]]}}}],"schema":"https://github.com/citation-style-language/schema/raw/master/csl-citation.json"}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(7,18)</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‘Clinician-only mobile crisis units’ perform similar functions but are only staffed by mental and physical health clinicians. </w:t>
      </w:r>
    </w:p>
    <w:p w14:paraId="2A24E88F" w14:textId="77777777" w:rsidR="00693812" w:rsidRPr="00F472D7" w:rsidRDefault="00693812" w:rsidP="00693812">
      <w:pPr>
        <w:spacing w:after="0" w:line="480" w:lineRule="auto"/>
        <w:jc w:val="both"/>
        <w:rPr>
          <w:rStyle w:val="normaltextrun"/>
          <w:rFonts w:ascii="Arial" w:eastAsia="Calibri" w:hAnsi="Arial" w:cs="Arial"/>
          <w:color w:val="000000" w:themeColor="text1"/>
          <w:lang w:val="en-GB"/>
        </w:rPr>
      </w:pPr>
    </w:p>
    <w:p w14:paraId="64FA7CFB"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Style w:val="normaltextrun"/>
          <w:rFonts w:ascii="Arial" w:eastAsia="Calibri" w:hAnsi="Arial" w:cs="Arial"/>
          <w:color w:val="000000" w:themeColor="text1"/>
          <w:u w:val="single"/>
          <w:lang w:val="en-GB"/>
        </w:rPr>
        <w:t>Drop-in crisis services</w:t>
      </w:r>
      <w:r w:rsidRPr="00F472D7">
        <w:rPr>
          <w:rStyle w:val="eop"/>
          <w:rFonts w:ascii="Arial" w:eastAsia="Calibri" w:hAnsi="Arial" w:cs="Arial"/>
          <w:color w:val="000000" w:themeColor="text1"/>
          <w:lang w:val="en-GB"/>
        </w:rPr>
        <w:t> </w:t>
      </w:r>
    </w:p>
    <w:p w14:paraId="78998A83" w14:textId="77777777" w:rsidR="00693812" w:rsidRPr="00F472D7" w:rsidRDefault="00693812" w:rsidP="00693812">
      <w:pPr>
        <w:spacing w:after="0" w:line="480" w:lineRule="auto"/>
        <w:jc w:val="both"/>
        <w:rPr>
          <w:rStyle w:val="normaltextrun"/>
          <w:rFonts w:ascii="Arial" w:eastAsia="Calibri" w:hAnsi="Arial" w:cs="Arial"/>
          <w:color w:val="000000" w:themeColor="text1"/>
          <w:lang w:val="en-GB"/>
        </w:rPr>
      </w:pPr>
      <w:r w:rsidRPr="00F472D7">
        <w:rPr>
          <w:rStyle w:val="normaltextrun"/>
          <w:rFonts w:ascii="Arial" w:eastAsia="Calibri" w:hAnsi="Arial" w:cs="Arial"/>
          <w:color w:val="000000" w:themeColor="text1"/>
          <w:lang w:val="en-GB"/>
        </w:rPr>
        <w:t xml:space="preserve">‘Drop-in crisis services’ provide immediate support to people experiencing a mental health crisis without the need for an appointment, as well as signposting and triage to further crisis support for those requiring urgent care. Some operate during extended hours, including evenings and weekends. </w:t>
      </w:r>
    </w:p>
    <w:p w14:paraId="3563C1EC" w14:textId="77777777" w:rsidR="00693812" w:rsidRPr="00F472D7" w:rsidRDefault="00693812" w:rsidP="00693812">
      <w:pPr>
        <w:spacing w:after="0" w:line="480" w:lineRule="auto"/>
        <w:jc w:val="both"/>
        <w:rPr>
          <w:rStyle w:val="normaltextrun"/>
          <w:rFonts w:ascii="Arial" w:eastAsia="Calibri" w:hAnsi="Arial" w:cs="Arial"/>
          <w:color w:val="000000" w:themeColor="text1"/>
          <w:lang w:val="en-GB"/>
        </w:rPr>
      </w:pPr>
    </w:p>
    <w:p w14:paraId="4F1337CD" w14:textId="38DCE188" w:rsidR="00693812" w:rsidRPr="00F472D7" w:rsidRDefault="00693812" w:rsidP="00693812">
      <w:pPr>
        <w:spacing w:after="0" w:line="480" w:lineRule="auto"/>
        <w:jc w:val="both"/>
        <w:rPr>
          <w:rStyle w:val="normaltextrun"/>
          <w:rFonts w:ascii="Arial" w:eastAsia="Calibri" w:hAnsi="Arial" w:cs="Arial"/>
          <w:color w:val="000000" w:themeColor="text1"/>
          <w:lang w:val="en-GB"/>
        </w:rPr>
      </w:pPr>
      <w:r w:rsidRPr="00F472D7">
        <w:rPr>
          <w:rStyle w:val="normaltextrun"/>
          <w:rFonts w:ascii="Arial" w:eastAsia="Calibri" w:hAnsi="Arial" w:cs="Arial"/>
          <w:color w:val="000000" w:themeColor="text1"/>
          <w:lang w:val="en-GB"/>
        </w:rPr>
        <w:lastRenderedPageBreak/>
        <w:t xml:space="preserve">‘Crisis assessment services’ are designed to provide people in crisis with rapid assessment and referral on to other acute mental health services where deemed appropriate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{"citationID":"DpK9L3hh","properties":{"formattedCitation":"(7)","plainCitation":"(7)","noteIndex":0},"citationItems":[{"id":219,"uris":["http://zotero.org/groups/5103846/items/9DWXKA3J"],"itemData":{"id":219,"type":"article-journal","abstract":"Abstract\n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(7)</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‘Lifeguard Pharmacies’ offer people experiencing suicidal thoughts and/or domestic abuse discreet consultations with pharmacists, who can signpost them to appropriate community support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{"citationID":"VPmgANLJ","properties":{"formattedCitation":"(23)","plainCitation":"(23)","noteIndex":0},"citationItems":[{"id":462,"uris":["http://zotero.org/groups/5103846/items/RPQZIQPL"],"itemData":{"id":462,"type":"webpage","title":"Lifeguard Pharmacy: Supportive signposting for people in danger from themselves or others","URL":"https://lifeguardpharmacy.lincoln.ac.uk/","author":[{"family":"Lifeguard Pharmacy","given":""}],"issued":{"date-parts":[["2023"]]}}}],"schema":"https://github.com/citation-style-language/schema/raw/master/csl-citation.json"}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(23)</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w:t>
      </w:r>
    </w:p>
    <w:p w14:paraId="2F508EBD" w14:textId="77777777" w:rsidR="00693812" w:rsidRPr="00F472D7" w:rsidRDefault="00693812" w:rsidP="00693812">
      <w:pPr>
        <w:spacing w:after="0" w:line="480" w:lineRule="auto"/>
        <w:jc w:val="both"/>
        <w:rPr>
          <w:rStyle w:val="normaltextrun"/>
          <w:rFonts w:ascii="Arial" w:eastAsia="Calibri" w:hAnsi="Arial" w:cs="Arial"/>
          <w:color w:val="000000" w:themeColor="text1"/>
          <w:lang w:val="en-GB"/>
        </w:rPr>
      </w:pPr>
    </w:p>
    <w:p w14:paraId="4080A547" w14:textId="43D19053" w:rsidR="00693812" w:rsidRPr="00F472D7" w:rsidRDefault="00693812" w:rsidP="00693812">
      <w:pPr>
        <w:spacing w:after="0" w:line="480" w:lineRule="auto"/>
        <w:jc w:val="both"/>
        <w:rPr>
          <w:rFonts w:ascii="Arial" w:hAnsi="Arial" w:cs="Arial"/>
          <w:lang w:val="en-GB"/>
        </w:rPr>
      </w:pPr>
      <w:r w:rsidRPr="00F472D7">
        <w:rPr>
          <w:rStyle w:val="normaltextrun"/>
          <w:rFonts w:ascii="Arial" w:eastAsia="Calibri" w:hAnsi="Arial" w:cs="Arial"/>
          <w:color w:val="000000" w:themeColor="text1"/>
          <w:lang w:val="en-GB"/>
        </w:rPr>
        <w:t xml:space="preserve">‘Mental health crisis hubs’ focus on assessment, stabilisation and connecting individuals to appropriate support, while ‘Crisis cafés’, which are usually voluntary sector run and can be peer-led, provide informal spaces for support and connection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{"citationID":"RKrBKSN7","properties":{"formattedCitation":"(7,24)","plainCitation":"(7,24)","noteIndex":0},"citationItems":[{"id":219,"uris":["http://zotero.org/groups/5103846/items/9DWXKA3J"],"itemData":{"id":219,"type":"article-journal","abstract":"Abstract\n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id":425,"uris":["http://zotero.org/groups/5103846/items/B8GAN9GT"],"itemData":{"id":425,"type":"document","title":"Evaluating NHS Mental Health Crisis Hubs in London: Final Report","URL":"https://healthinnovationnetwork.com/wp-content/uploads/2022/11/MH-Crisis-Hubs-Evaluation-Final-Report.pdf","author":[{"family":"Health Innovation Network","given":""},{"family":"NHS England","given":""}],"issued":{"date-parts":[["2022",10]]}}}],"schema":"https://github.com/citation-style-language/schema/raw/master/csl-citation.json"}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(7,24)</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These walk-in services are intended to divert people from hospital emergency departments, which can be potentially distressing and unsuitable locations for assessment for people in crisis, associated with a higher risk of inpatient admission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{"citationID":"rgrovc5c","properties":{"formattedCitation":"(25,26)","plainCitation":"(25,26)","noteIndex":0},"citationItems":[{"id":485,"uris":["http://zotero.org/groups/5103846/items/ZYFZWSPP"],"itemData":{"id":485,"type":"article-journal","abstract":"Acute services for mental health crises are very important to service users and their supporters, and consume a substantial share of mental health resources in many countries. However, acute care is often unpopular and sometimes coercive, and the evidence on which models are best for patient experience and outcomes remains surprisingly limited, in part reflecting challenges in conducting studies with people in crisis. Evidence on best ap­proaches to initial assessment and immediate management is particularly lacking, but some innovative models involving extended assessment, brief interventions, and diversifying settings and strategies for providing support are potentially helpful. Acute wards continue to be central in the intensive treatment phase following a crisis, but new approaches need to be developed, evaluated and implemented to reducing coercion, addressing trauma, diversifying treatments and the inpatient workforce, and making decision</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making and care collaborative. Intensive home treatment services, acute day units, and community crisis services have supporting evidence in diverting some service users from hospital admission: a greater understanding of how best to implement them in a wide range of contexts and what works best for which service users would be valuable. Approaches to crisis management in the voluntary sector are more flexible and informal: such services have potential to complement and provide valuable learning for statutory sector services, especially for groups who tend to be underserved or disengaged. Such approaches often involve staff with personal experience of mental health crises, who have important potential roles in improving quality of acute care across sectors. Large gaps exist in many low</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 xml:space="preserve"> and middle</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income countries, fuelled by poor access to quality mental health care. Responses need to build on a foundation of existing community responses and contextually relevant evidence. The necessity of moving outside formal systems in low</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resource settings may lead to wider learning from locally embedded strategies.","container-title":"World Psychiatry","DOI":"10.1002/wps.20962","ISSN":"1723-8617, 2051-5545","issue":"2","journalAbbreviation":"World Psychiatry","language":"en","page":"220-236","source":"DOI.org (Crossref)","title":"Acute psychiatric care: approaches to increasing the range of services and improving access and quality of care","title-short":"Acute psychiatric care","volume":"21","author":[{"family":"Johnson","given":"Sonia"},{"family":"Dalton</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Locke","given":"Christian"},{"family":"Baker","given":"John"},{"family":"Hanlon","given":"Charlotte"},{"family":"Salisbury","given":"Tatiana Taylor"},{"family":"Fossey","given":"Matt"},{"family":"Newbigging","given":"Karen"},{"family":"Carr","given":"Sarah E."},{"family":"Hensel","given":"Jennifer"},{"family":"Carrà","given":"Giuseppe"},{"family":"Hepp","given":"Urs"},{"family":"Caneo","given":"Constanza"},{"family":"Needle","given":"Justin J."},{"family":"Lloyd</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 xml:space="preserve">Evans","given":"Brynmor"}],"issued":{"date-parts":[["2022",6]]}}},{"id":477,"uris":["http://zotero.org/groups/5103846/items/MEVXUF4H"],"itemData":{"id":477,"type":"article-journal","container-title":"BMC Psychiatry","DOI":"10.1186/1471-244X-7-52","ISSN":"1471-244X","issue":"1","journalAbbreviation":"BMC Psychiatry","language":"en","page":"52","source":"DOI.org (Crossref)","title":"An investigation of factors associated with psychiatric hospital admission despite the presence of crisis resolution teams","volume":"7","author":[{"family":"Cotton","given":"Mary-Anne"},{"family":"Johnson","given":"Sonia"},{"family":"Bindman","given":"Jonathan"},{"family":"Sandor","given":"Andrew"},{"family":"White","given":"Ian R"},{"family":"Thornicroft","given":"Graham"},{"family":"Nolan","given":"Fiona"},{"family":"Pilling","given":"Stephen"},{"family":"Hoult","given":"John"},{"family":"McKenzie","given":"Nigel"},{"family":"Bebbington","given":"Paul"}],"issued":{"date-parts":[["2007",12]]}}}],"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(25,26)</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w:t>
      </w:r>
    </w:p>
    <w:p w14:paraId="22516C9C" w14:textId="77777777" w:rsidR="00693812" w:rsidRPr="00F472D7" w:rsidRDefault="00693812" w:rsidP="00693812">
      <w:pPr>
        <w:spacing w:after="0" w:line="480" w:lineRule="auto"/>
        <w:jc w:val="both"/>
        <w:rPr>
          <w:rFonts w:ascii="Arial" w:hAnsi="Arial" w:cs="Arial"/>
          <w:lang w:val="en-GB"/>
        </w:rPr>
      </w:pPr>
    </w:p>
    <w:p w14:paraId="28C07204"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u w:val="single"/>
          <w:lang w:val="en-GB"/>
        </w:rPr>
        <w:t>Discharge transition support</w:t>
      </w:r>
    </w:p>
    <w:p w14:paraId="79E2D905" w14:textId="29142F1F"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‘Discharge transition support’ models aim to assist individuals with transitioning from inpatient care to the community, promoting recovery, independence, and reducing readmissions. The ‘Transition to Recovery Program’ includes psychosocial education, practical assistance, symptom management, social support and connecting individuals with appropriate services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{"citationID":"wPqMiTAf","properties":{"formattedCitation":"(27,28)","plainCitation":"(27,28)","noteIndex":0},"citationItems":[{"id":417,"uris":["http://zotero.org/groups/5103846/items/JTWYZHT2"],"itemData":{"id":417,"type":"webpage","title":"Evaluation of Transition to Recovery (TRec) Program.","URL":"https://www.wcs.org.au/services/mental-health/transition-to-recovery/anu-evaluation-of-the-transition-to-recovery-program/","author":[{"family":"Australian National University","given":""}],"issued":{"date-parts":[["2015"]]}}},{"id":424,"uris":["http://zotero.org/groups/5103846/items/27PYQF3P"],"itemData":{"id":424,"type":"webpage","title":"Woden Community Service","URL":"https://www.wcs.org.au","author":[{"family":"Woden Community Service","given":""}]}}],"schema":"https://github.com/citation-style-language/schema/raw/master/csl-citation.json"}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(27,28)</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The ‘Peer Bridger Project’ involves peer workers who offer goal setting, skills teaching, emotional support and advocacy through one-to-one interactions and support groups for an average of 12 months around the time of discharge from inpatient care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{"citationID":"k1Gx2LZE","properties":{"formattedCitation":"(29)","plainCitation":"(29)","noteIndex":0},"citationItems":[{"id":421,"uris":["http://zotero.org/groups/5103846/items/P2PZQETK"],"itemData":{"id":421,"type":"webpage","title":"Peer Bridger Project","URL":"https://www.nyaprs.org/peer-bridger","author":[{"family":"New York Association of Psychiatric Rehabilitation Services Inc","given":""}]}}],"schema":"https://github.com/citation-style-language/schema/raw/master/csl-citation.json"}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(29)</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p>
    <w:p w14:paraId="0EAC7F4B"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0A9C1812"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r w:rsidRPr="00F472D7">
        <w:rPr>
          <w:rFonts w:ascii="Arial" w:eastAsia="Calibri" w:hAnsi="Arial" w:cs="Arial"/>
          <w:color w:val="000000" w:themeColor="text1"/>
          <w:u w:val="single"/>
          <w:lang w:val="en-GB"/>
        </w:rPr>
        <w:t>Outpatient-based crisis services</w:t>
      </w:r>
    </w:p>
    <w:p w14:paraId="21542A61" w14:textId="0775F50D"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The ‘Whole-of-service stepped-care' model is a brief outpatient intervention approach for people with a “personality disorder” diagnosis. It offers immediate brief psychological intervention to people in crisis, followed by options for longer-term treatment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{"citationID":"jglxu9Zh","properties":{"formattedCitation":"(30)","plainCitation":"(30)","noteIndex":0},"citationItems":[{"id":286,"uris":["http://zotero.org/groups/5103846/items/7DGQZTQG"],"itemData":{"id":286,"type":"article-journal","container-title":"PLOS ONE","DOI":"10.1371/journal.pone.0206472","ISSN":"1932-6203","issue":"11","journalAbbreviation":"PLoS ONE","language":"en","page":"e0206472","source":"DOI.org (Crossref)","title":"Treatment of personality disorder using a whole of service stepped care approach: A cluster randomized controlled trial","title-short":"Treatment of personality disorder using a whole of service stepped care approach","volume":"13","author":[{"family":"Grenyer","given":"Brin F. S."},{"family":"Lewis","given":"Kate L."},{"family":"Fanaian","given":"Mahnaz"},{"family":"Kotze","given":"Beth"}],"editor":[{"family":"Wouwe","given":"Jacobus P.","non-dropping-particle":"van"}],"issued":{"date-parts":[["2018",11,6]]}}}],"schema":"https://github.com/citation-style-language/schema/raw/master/csl-citation.json"}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(30)</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34EA9BCA"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276751FA"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u w:val="single"/>
          <w:lang w:val="en-GB"/>
        </w:rPr>
        <w:lastRenderedPageBreak/>
        <w:t>Community services with crisis function</w:t>
      </w:r>
    </w:p>
    <w:p w14:paraId="41C0A323"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This category captures community-based mental health services which provide secondary mental health care generally and include some capacity for managing crises among people on their caseloads. </w:t>
      </w:r>
    </w:p>
    <w:p w14:paraId="163F3BDA"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12E7CE46"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i/>
          <w:iCs/>
          <w:color w:val="000000" w:themeColor="text1"/>
          <w:lang w:val="en-GB"/>
        </w:rPr>
        <w:t>Enhanced community mental health teams</w:t>
      </w:r>
    </w:p>
    <w:p w14:paraId="61E1101F" w14:textId="671DE2D3"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‘Enhanced community mental health teams’ (CMHT), also known as ‘extended hours’ teams, aim to proactively prevent crises and offer crisis intervention where needed, in addition to performing the standard ongoing case management functions typical of a standard CMHT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{"citationID":"X2H67ldf","properties":{"formattedCitation":"(31)","plainCitation":"(31)","noteIndex":0},"citationItems":[{"id":526,"uris":["http://zotero.org/groups/5103846/items/5YKWABFS"],"itemData":{"id":526,"type":"chapter","container-title":"Crisis Resolution and Home Treatment in Mental Health","edition":"1","ISBN":"978-0-521-67875-9","note":"DOI: 10.1017/CBO9780511543906.020","page":"235-250","publisher":"Cambridge University Press","source":"DOI.org (Crossref)","title":"Integration of the crisis resolution function within community mental health teams","URL":"https://www.cambridge.org/core/product/identifier/CBO9780511543906A033/type/book_part","editor":[{"family":"Johnson","given":"Sonia"},{"family":"Needle","given":"Justin"},{"family":"Bindman","given":"Jonathan P."},{"family":"Thornicroft","given":"Graham"}],"author":[{"family":"Rosen","given":"Alan"},{"family":"Clenaghan","given":"Paul"},{"family":"Emerton","given":"Feleena"},{"family":"Richards","given":"Simon"}],"accessed":{"date-parts":[["2023",8,8]]},"issued":{"date-parts":[["2008",7,31]]}}}],"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(31)</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1234540D" w14:textId="77777777" w:rsidR="00693812" w:rsidRPr="00F472D7" w:rsidRDefault="00693812" w:rsidP="00693812">
      <w:pPr>
        <w:spacing w:after="0" w:line="480" w:lineRule="auto"/>
        <w:jc w:val="both"/>
        <w:rPr>
          <w:rFonts w:ascii="Arial" w:eastAsia="Calibri" w:hAnsi="Arial" w:cs="Arial"/>
          <w:i/>
          <w:iCs/>
          <w:color w:val="000000" w:themeColor="text1"/>
          <w:lang w:val="en-GB"/>
        </w:rPr>
      </w:pPr>
    </w:p>
    <w:p w14:paraId="7C892194" w14:textId="77777777" w:rsidR="00693812" w:rsidRPr="00F472D7" w:rsidRDefault="00693812" w:rsidP="00693812">
      <w:pPr>
        <w:spacing w:after="0" w:line="480" w:lineRule="auto"/>
        <w:jc w:val="both"/>
        <w:rPr>
          <w:rFonts w:ascii="Arial" w:eastAsia="Calibri" w:hAnsi="Arial" w:cs="Arial"/>
          <w:i/>
          <w:iCs/>
          <w:color w:val="000000" w:themeColor="text1"/>
          <w:lang w:val="en-GB"/>
        </w:rPr>
      </w:pPr>
      <w:r w:rsidRPr="00F472D7">
        <w:rPr>
          <w:rFonts w:ascii="Arial" w:eastAsia="Calibri" w:hAnsi="Arial" w:cs="Arial"/>
          <w:i/>
          <w:iCs/>
          <w:color w:val="000000" w:themeColor="text1"/>
          <w:lang w:val="en-GB"/>
        </w:rPr>
        <w:t>Early intervention models</w:t>
      </w:r>
    </w:p>
    <w:p w14:paraId="33DA2713" w14:textId="49DAD2EA" w:rsidR="00693812" w:rsidRPr="00F472D7" w:rsidRDefault="00693812" w:rsidP="00693812">
      <w:pPr>
        <w:spacing w:after="0" w:line="480" w:lineRule="auto"/>
        <w:jc w:val="both"/>
        <w:rPr>
          <w:rFonts w:ascii="Arial" w:eastAsia="Calibri" w:hAnsi="Arial" w:cs="Arial"/>
          <w:color w:val="000000" w:themeColor="text1"/>
          <w:lang w:val="en-GB"/>
        </w:rPr>
      </w:pPr>
      <w:r w:rsidRPr="2CC5355C">
        <w:rPr>
          <w:rFonts w:ascii="Arial" w:eastAsia="Calibri" w:hAnsi="Arial" w:cs="Arial"/>
          <w:color w:val="000000" w:themeColor="text1"/>
          <w:lang w:val="en-GB"/>
        </w:rPr>
        <w:t>‘Early intervention models’ in mental health focus on specialist interventions, including detection, assessment, individualised treatment planning and psychosocial interventions, delivered by multidisciplinary teams. ‘Early intervention in psychosis’ (EIP) services support individuals aged 14-65 for up to three years after their first episode of psychosis. They offer assessment, pharmacological and psychological interventions, family support, employment/education assistance, help with social care issues, and crisis planning and intervention including rapid assessment, intensive home visits, and intensive case management</w:t>
      </w:r>
      <w:r>
        <w:rPr>
          <w:rFonts w:ascii="Arial" w:eastAsia="Calibri" w:hAnsi="Arial" w:cs="Arial"/>
          <w:color w:val="000000" w:themeColor="text1"/>
          <w:lang w:val="en-GB"/>
        </w:rPr>
        <w:t xml:space="preserve"> </w:t>
      </w:r>
      <w:r>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{"citationID":"H6Rb4Xhp","properties":{"formattedCitation":"(32,33)","plainCitation":"(32,33)","noteIndex":0},"citationItems":[{"id":1028,"uris":["http://zotero.org/groups/5103846/items/KUA9T97B"],"itemData":{"id":1028,"type":"article-journal","container-title":"Cochrane Database of Systematic Reviews","DOI":"10.1002/14651858.CD013288.pub2","ISSN":"14651858","issue":"2","language":"en","source":"DOI.org (Crossref)","title":"Specialised early intervention teams for recent-onset psychosis","URL":"http://doi.wiley.com/10.1002/14651858.CD013288.pub2","volume":"2021","editor":[{"literal":"Cochrane Schizophrenia Group"}],"author":[{"family":"Puntis","given":"Stephen"},{"family":"Minichino","given":"Amedeo"},{"family":"De Crescenzo","given":"Franco"},{"family":"Harrison","given":"Rachael"},{"family":"Cipriani","given":"Andrea"},{"family":"Lennox","given":"Belinda"}],"accessed":{"date-parts":[["2024",6,13]]},"issued":{"date-parts":[["2020",11,2]]}}},{"id":1027,"uris":["http://zotero.org/groups/5103846/items/JHPL4W3S"],"itemData":{"id":1027,"type":"article-journal","abstract":"Abstract\n            \n              Background\n              Early intervention in psychosis (EIP) services target the early manifestation of psychosis and provide multidisciplinary care. They demonstrate effectiveness and cost-effectiveness. Implementation of EIP services is inconsistent and piecemeal. This systematic review and narrative synthesis aims to identify barriers and facilitators to EIP service implementation.\n            \n            \n              Methods\n              We conducted an electronic search of databases (EMBASE, Medline, Web of Science, and PsychINFO) to detect papers reporting EIP service implementation findings and associated barriers and facilitators. The search occurred between June to August 2020, and again in January 2021. Articles meeting inclusion criteria were extracted and narratively synthesized. A quality assessment was conducted using the Mixed Methods Appraisal Tool.\n            \n            \n              Results\n              Twenty-three studies were selected. The most common study design was descriptive accounts of implementation. Patient age ranged varied from 14 to 35 years. We identified three barrier and facilitator domains: (a) system; (b) services; and (c) staff, and a range of subdomains. The most frequent subdomains were “funding” and “strength of collaboration and communication between EIP and outside groups and services”. Associations between domains and subdomains were evident, particularly between systems and services.\n            \n            \n              Conclusions\n              A range of barriers and facilitators to EIP implementation exist. Some of these are generic factors germane across health systems and services, while others are specific to EIP services. A thorough prior understanding of these challenges and enablers are necessary before implementation is attempted. Accounting for these issues within local and national contexts may help predict and increase the likelihood of services’ success, stability, and longevity.","container-title":"European Psychiatry","DOI":"10.1192/j.eurpsy.2021.2260","ISSN":"0924-9338, 1778-3585","issue":"1","journalAbbreviation":"Eur. Psychiatr.","language":"en","license":"http://creativecommons.org/licenses/by/4.0","page":"e2","source":"DOI.org (Crossref)","title":"Early Intervention in Psychosis services: A systematic review and narrative synthesis of the barriers and facilitators to implementation","title-short":"Early Intervention in Psychosis services","volume":"65","author":[{"family":"O’Connell","given":"N."},{"family":"O’Connor","given":"K."},{"family":"McGrath","given":"D."},{"family":"Vagge","given":"L."},{"family":"Mockler","given":"D."},{"family":"Jennings","given":"R."},{"family":"Darker","given":"C. D."}],"issued":{"date-parts":[["2022"]]}}}],"schema":"https://github.com/citation-style-language/schema/raw/master/csl-citation.json"} </w:instrText>
      </w:r>
      <w:r>
        <w:rPr>
          <w:rFonts w:ascii="Arial" w:eastAsia="Calibri" w:hAnsi="Arial" w:cs="Arial"/>
          <w:color w:val="000000" w:themeColor="text1"/>
          <w:lang w:val="en-GB"/>
        </w:rPr>
        <w:fldChar w:fldCharType="separate"/>
      </w:r>
      <w:r w:rsidR="00937ACD" w:rsidRPr="00937ACD">
        <w:rPr>
          <w:rFonts w:ascii="Arial" w:hAnsi="Arial" w:cs="Arial"/>
        </w:rPr>
        <w:t>(32,33)</w:t>
      </w:r>
      <w:r>
        <w:rPr>
          <w:rFonts w:ascii="Arial" w:eastAsia="Calibri" w:hAnsi="Arial" w:cs="Arial"/>
          <w:color w:val="000000" w:themeColor="text1"/>
          <w:lang w:val="en-GB"/>
        </w:rPr>
        <w:fldChar w:fldCharType="end"/>
      </w:r>
      <w:r w:rsidRPr="2CC5355C">
        <w:rPr>
          <w:rFonts w:ascii="Arial" w:eastAsia="Calibri" w:hAnsi="Arial" w:cs="Arial"/>
          <w:color w:val="000000" w:themeColor="text1"/>
          <w:lang w:val="en-GB"/>
        </w:rPr>
        <w:t>. They</w:t>
      </w:r>
      <w:r>
        <w:rPr>
          <w:rFonts w:ascii="Arial" w:eastAsia="Calibri" w:hAnsi="Arial" w:cs="Arial"/>
          <w:color w:val="000000" w:themeColor="text1"/>
          <w:lang w:val="en-GB"/>
        </w:rPr>
        <w:t xml:space="preserve"> </w:t>
      </w:r>
      <w:r w:rsidRPr="2CC5355C">
        <w:rPr>
          <w:rFonts w:ascii="Arial" w:eastAsia="Calibri" w:hAnsi="Arial" w:cs="Arial"/>
          <w:color w:val="000000" w:themeColor="text1"/>
          <w:lang w:val="en-GB"/>
        </w:rPr>
        <w:t>aim</w:t>
      </w:r>
      <w:r>
        <w:rPr>
          <w:rFonts w:ascii="Arial" w:eastAsia="Calibri" w:hAnsi="Arial" w:cs="Arial"/>
          <w:color w:val="000000" w:themeColor="text1"/>
          <w:lang w:val="en-GB"/>
        </w:rPr>
        <w:t xml:space="preserve"> </w:t>
      </w:r>
      <w:r w:rsidRPr="2CC5355C">
        <w:rPr>
          <w:rFonts w:ascii="Arial" w:eastAsia="Calibri" w:hAnsi="Arial" w:cs="Arial"/>
          <w:color w:val="000000" w:themeColor="text1"/>
          <w:lang w:val="en-GB"/>
        </w:rPr>
        <w:t xml:space="preserve">to reduce treatment delays, promote recovery, avoid hospitalisation and prevent relapse </w:t>
      </w:r>
      <w:r w:rsidRPr="2CC5355C">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4H7egHBK","properties":{"formattedCitation":"(34\\uc0\\u8211{}36)","plainCitation":"(34–36)","noteIndex":0},"citationItems":[{"id":639,"uris":["http://zotero.org/groups/5103846/items/SGXGM9PP"],"itemData":{"id":639,"type":"article-journal","container-title":"L'Encéphale","DOI":"10.1016/j.encep.2010.08.004","ISSN":"00137006","journalAbbreviation":"L'Encéphale","language":"fr","page":"S66-S76","source":"DOI.org (Crossref)","title":"Programmes pour premiers épisodes psychotiques : une revue systématique de la littérature","title-short":"Programmes pour premiers épisodes psychotiques","volume":"37","author":[{"family":"Skalli","given":"L."},{"family":"Nicole","given":"L."}],"issued":{"date-parts":[["2011",5]]}}},{"id":645,"uris":["http://zotero.org/groups/5103846/items/GPNY2X7Y"],"itemData":{"id":645,"type":"article-journal","container-title":"Archives of General Psychiatry","DOI":"10.1001/archpsyc.65.7.762","ISSN":"0003-990X","issue":"7","journalAbbreviation":"Arch Gen Psychiatry","language":"en","page":"762","source":"DOI.org (Crossref)","title":"Five-Year Follow-up of a Randomized Multicenter Trial of Intensive Early Intervention vs Standard Treatment for Patients With a First Episode of Psychotic Illness: The OPUS Trial","title-short":"Five-Year Follow-up of a Randomized Multicenter Trial of Intensive Early Intervention vs Standard Treatment for Patients With a First Episode of Psychotic Illness","volume":"65","author":[{"family":"Bertelsen","given":"Mette"},{"family":"Jeppesen","given":"Pia"},{"family":"Petersen","given":"Lone"},{"family":"Thorup","given":"Anne"},{"family":"Øhlenschlæger","given":"Johan"},{"family":"Quach","given":"Phuong","non-dropping-particle":"le"},{"family":"Christensen","given":"Torben Østergaard"},{"family":"Krarup","given":"Gertrud"},{"family":"Jørgensen","given":"Per"},{"family":"Nordentoft","given":"Merete"}],"issued":{"date-parts":[["2008",7,7]]}}},{"id":646,"uris":["http://zotero.org/groups/5103846/items/B5FD8W3F"],"itemData":{"id":646,"type":"article-journal","abstract":"Background\n              There is concern that delaying treatment for psychosis may have a negative impact on its long-term course. A number of countries have developed early intervention teams but there is limited evidence regarding their cost-effectiveness.\n            \n            \n              Aims\n              To compare the costs and cost-effectiveness of an early intervention service in London with standard care.\n            \n            \n              Method\n              Individuals in their first episode of psychosis (or those who had previously discontinued treatment) were recruited to the study. Clinical variables and costs were measured at baseline and then at 6- and 18-month follow-up. Information on quality of life and vocational outcomes were combined with costs to assess cost-effectiveness.\n            \n            \n              Results\n              A total of 144 people were randomised. Total mean costs were £11 685 in the early intervention group and £14 062 in the standard care group, with the difference not being significant (95% CI –£8128 to £3326). When costs were combined with improved vocational and quality of life outcomes it was shown that early intervention would have a very high likelihood of being cost-effective.\n            \n            \n              Conclusions\n              Early intervention did not increase costs and was highly likely to be cost-effective when compared with standard care.","container-title":"British Journal of Psychiatry","DOI":"10.1192/bjp.bp.109.065896","ISSN":"0007-1250, 1472-1465","issue":"5","journalAbbreviation":"Br J Psychiatry","language":"en","page":"377-382","source":"DOI.org (Crossref)","title":"Cost-effectiveness of an early intervention service for people with psychosis","volume":"196","author":[{"family":"McCrone","given":"Paul"},{"family":"Craig","given":"Tom K. J."},{"family":"Power","given":"Paddy"},{"family":"Garety","given":"Philippa A."}],"issued":{"date-parts":[["2010",5]]}}}],"schema":"https://github.com/citation-style-language/schema/raw/master/csl-citation.json"} </w:instrText>
      </w:r>
      <w:r w:rsidRPr="2CC5355C">
        <w:rPr>
          <w:rFonts w:ascii="Arial" w:eastAsia="Calibri" w:hAnsi="Arial" w:cs="Arial"/>
          <w:color w:val="000000" w:themeColor="text1"/>
          <w:lang w:val="en-GB"/>
        </w:rPr>
        <w:fldChar w:fldCharType="separate"/>
      </w:r>
      <w:r w:rsidR="00937ACD" w:rsidRPr="00937ACD">
        <w:rPr>
          <w:rFonts w:ascii="Arial" w:hAnsi="Arial" w:cs="Arial"/>
        </w:rPr>
        <w:t>(34–36)</w:t>
      </w:r>
      <w:r w:rsidRPr="2CC5355C">
        <w:rPr>
          <w:rFonts w:ascii="Arial" w:eastAsia="Calibri" w:hAnsi="Arial" w:cs="Arial"/>
          <w:color w:val="000000" w:themeColor="text1"/>
          <w:lang w:val="en-GB"/>
        </w:rPr>
        <w:fldChar w:fldCharType="end"/>
      </w:r>
      <w:r w:rsidRPr="2CC5355C">
        <w:rPr>
          <w:rFonts w:ascii="Arial" w:eastAsia="Calibri" w:hAnsi="Arial" w:cs="Arial"/>
          <w:color w:val="000000" w:themeColor="text1"/>
          <w:lang w:val="en-GB"/>
        </w:rPr>
        <w:t xml:space="preserve">. </w:t>
      </w:r>
    </w:p>
    <w:p w14:paraId="5319C491" w14:textId="77777777" w:rsidR="00693812" w:rsidRPr="00F472D7" w:rsidRDefault="00693812" w:rsidP="00693812">
      <w:pPr>
        <w:spacing w:after="0" w:line="480" w:lineRule="auto"/>
        <w:jc w:val="both"/>
        <w:rPr>
          <w:rFonts w:ascii="Arial" w:eastAsia="Calibri" w:hAnsi="Arial" w:cs="Arial"/>
          <w:i/>
          <w:iCs/>
          <w:color w:val="000000" w:themeColor="text1"/>
          <w:lang w:val="en-GB"/>
        </w:rPr>
      </w:pPr>
    </w:p>
    <w:p w14:paraId="1E96BF27" w14:textId="77777777" w:rsidR="00693812" w:rsidRPr="00F472D7" w:rsidRDefault="00693812" w:rsidP="00693812">
      <w:pPr>
        <w:spacing w:after="0" w:line="480" w:lineRule="auto"/>
        <w:jc w:val="both"/>
        <w:rPr>
          <w:rFonts w:ascii="Arial" w:eastAsia="Calibri" w:hAnsi="Arial" w:cs="Arial"/>
          <w:i/>
          <w:iCs/>
          <w:color w:val="000000" w:themeColor="text1"/>
          <w:lang w:val="en-GB"/>
        </w:rPr>
      </w:pPr>
      <w:r w:rsidRPr="00F472D7">
        <w:rPr>
          <w:rFonts w:ascii="Arial" w:eastAsia="Calibri" w:hAnsi="Arial" w:cs="Arial"/>
          <w:i/>
          <w:iCs/>
          <w:color w:val="000000" w:themeColor="text1"/>
          <w:lang w:val="en-GB"/>
        </w:rPr>
        <w:t>Enhanced case management models</w:t>
      </w:r>
    </w:p>
    <w:p w14:paraId="182FF1CB" w14:textId="51D354D1"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‘Enhanced case management’ models for adults include ‘Assertive community treatment’ (ACT), ‘Intensive case management’ (ICM), ‘Flexible assertive community treatment’ (FACT) and ‘Peer-delivered case management’. They focus on long-term care coordination to ensure individuals receive appropriate services, treatment adherence support and crisis management</w:t>
      </w:r>
      <w:r>
        <w:rPr>
          <w:rFonts w:ascii="Arial" w:eastAsia="Calibri" w:hAnsi="Arial" w:cs="Arial"/>
          <w:color w:val="000000" w:themeColor="text1"/>
          <w:lang w:val="en-GB"/>
        </w:rPr>
        <w:t xml:space="preserve">, including individualised crisis planning, emergency home visits, and on-call </w:t>
      </w:r>
      <w:r>
        <w:rPr>
          <w:rFonts w:ascii="Arial" w:eastAsia="Calibri" w:hAnsi="Arial" w:cs="Arial"/>
          <w:color w:val="000000" w:themeColor="text1"/>
          <w:lang w:val="en-GB"/>
        </w:rPr>
        <w:lastRenderedPageBreak/>
        <w:t xml:space="preserve">crisis support </w:t>
      </w:r>
      <w:r>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{"citationID":"weLH7ljW","properties":{"formattedCitation":"(37)","plainCitation":"(37)","noteIndex":0},"citationItems":[{"id":989,"uris":["http://zotero.org/groups/5103846/items/SXPH6Z28"],"itemData":{"id":989,"type":"book","call-number":"RC514 .P71893 2010","collection-title":"Clinician's guide to evidence-based practice series","event-place":"Hoboken, N.J","ISBN":"978-0-470-54218-7","note":"OCLC: ocn526098167","number-of-pages":"388","publisher":"John Wiley &amp; Sons","publisher-place":"Hoboken, N.J","source":"Library of Congress ISBN","title":"Psychosocial treatment of schizophrenia: clinician's guide to evidence-based practice","title-short":"Psychosocial treatment of schizophrenia","editor":[{"family":"Rubin","given":"Allen"},{"family":"Springer","given":"David W."},{"family":"Trawver","given":"Kathi"}],"issued":{"date-parts":[["2010"]]}}}],"schema":"https://github.com/citation-style-language/schema/raw/master/csl-citation.json"} </w:instrText>
      </w:r>
      <w:r>
        <w:rPr>
          <w:rFonts w:ascii="Arial" w:eastAsia="Calibri" w:hAnsi="Arial" w:cs="Arial"/>
          <w:color w:val="000000" w:themeColor="text1"/>
          <w:lang w:val="en-GB"/>
        </w:rPr>
        <w:fldChar w:fldCharType="separate"/>
      </w:r>
      <w:r w:rsidR="00937ACD" w:rsidRPr="00937ACD">
        <w:rPr>
          <w:rFonts w:ascii="Arial" w:hAnsi="Arial" w:cs="Arial"/>
        </w:rPr>
        <w:t>(37)</w:t>
      </w:r>
      <w:r>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These models involve multidisciplinary teams with small caseloads, providing </w:t>
      </w:r>
      <w:r>
        <w:rPr>
          <w:rFonts w:ascii="Arial" w:eastAsia="Calibri" w:hAnsi="Arial" w:cs="Arial"/>
          <w:color w:val="000000" w:themeColor="text1"/>
          <w:lang w:val="en-GB"/>
        </w:rPr>
        <w:t xml:space="preserve">intensive </w:t>
      </w:r>
      <w:r w:rsidRPr="00F472D7">
        <w:rPr>
          <w:rFonts w:ascii="Arial" w:eastAsia="Calibri" w:hAnsi="Arial" w:cs="Arial"/>
          <w:color w:val="000000" w:themeColor="text1"/>
          <w:lang w:val="en-GB"/>
        </w:rPr>
        <w:t xml:space="preserve">support in individuals’ home environments. In ACT, staff caseloads are shared whereas in ICM they are not. In FACT, care-coordinators manage individual caseloads but can also provide shared care at times of increased need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{"citationID":"AJJqPUjW","properties":{"formattedCitation":"(38,39)","plainCitation":"(38,39)","noteIndex":0},"citationItems":[{"id":558,"uris":["http://zotero.org/groups/5103846/items/U9WJAQD6"],"itemData":{"id":558,"type":"document","title":"Step by Step: A Comprehensive Approach to Case Management","URL":"https://www.air.org/sites/default/files/March%202011%20-%20Step%20by%20Step%20-%20A%20Comprehensive%20Approach%20to%20Case%20Management.pdf","author":[{"literal":"Conrad N. Hilton Foundation"},{"literal":"The National Center on Family Homelessness"},{"literal":"National Alliance to End Homelessness"},{"literal":"ZERO TO THREE: National Center for Infants, Toddlers and Families"}],"issued":{"date-parts":[["2011"]]}}},{"id":621,"uris":["http://zotero.org/groups/5103846/items/DJ2EYLIE"],"itemData":{"id":621,"type":"article-journal","abstract":"Aims and method\n              The impact of flexible assertive community treatment (FACT) has been observed in people previously supported by assertive community treatment (ACT) teams, but its effect on those previously with a community mental health team (CMHT) has not been studied in the UK. An observational study was conducted of 380 people from 3 CMHTs and 95 people from an ACT team, all with a history of psychosis, following service reconfiguration to 3 FACT teams.\n            \n            \n              Results\n              People previously with a CMHT required less time in hospital when the FACT model was introduced. A smaller reduction was observed in people coming from the ACT team. Both groups required less crisis resolution home treatment (CRHT) team input.\n            \n            \n              Clinical implications\n              FACT may be a better model than standard CMHT care for people with a history of psychosis, as a result of reduced need for acute (CRHT and inpatient) services.","container-title":"BJPsych Bulletin","DOI":"10.1192/pb.bp.116.053967","ISSN":"2056-4694, 2056-4708","issue":"4","journalAbbreviation":"BJPsych Bull","language":"en","page":"192-196","source":"DOI.org (Crossref)","title":"Flexible assertive community treatment (FACT) model in specialist psychosis teams: An evaluation","title-short":"Flexible assertive community treatment (FACT) model in specialist psychosis teams","volume":"41","author":[{"family":"Sood","given":"Loopinder"},{"family":"Owen","given":"Andy"},{"family":"Onyon","given":"Richard"},{"family":"Sharma","given":"Aarohi"},{"family":"Nigriello","given":"Jessica"},{"family":"Markham","given":"Dominic"},{"family":"Seabrook","given":"Hannah"}],"issued":{"date-parts":[["2017",8]]}}}],"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(38,39)</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r>
        <w:rPr>
          <w:rFonts w:ascii="Arial" w:eastAsia="Calibri" w:hAnsi="Arial" w:cs="Arial"/>
          <w:color w:val="000000" w:themeColor="text1"/>
          <w:lang w:val="en-GB"/>
        </w:rPr>
        <w:t xml:space="preserve"> ACT and FACT teams can provide 24/7 support, whilst ICM teams typically operate during standard business hours </w:t>
      </w:r>
      <w:r>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{"citationID":"Qfx6YJeX","properties":{"formattedCitation":"(37)","plainCitation":"(37)","noteIndex":0},"citationItems":[{"id":989,"uris":["http://zotero.org/groups/5103846/items/SXPH6Z28"],"itemData":{"id":989,"type":"book","call-number":"RC514 .P71893 2010","collection-title":"Clinician's guide to evidence-based practice series","event-place":"Hoboken, N.J","ISBN":"978-0-470-54218-7","note":"OCLC: ocn526098167","number-of-pages":"388","publisher":"John Wiley &amp; Sons","publisher-place":"Hoboken, N.J","source":"Library of Congress ISBN","title":"Psychosocial treatment of schizophrenia: clinician's guide to evidence-based practice","title-short":"Psychosocial treatment of schizophrenia","editor":[{"family":"Rubin","given":"Allen"},{"family":"Springer","given":"David W."},{"family":"Trawver","given":"Kathi"}],"issued":{"date-parts":[["2010"]]}}}],"schema":"https://github.com/citation-style-language/schema/raw/master/csl-citation.json"} </w:instrText>
      </w:r>
      <w:r>
        <w:rPr>
          <w:rFonts w:ascii="Arial" w:eastAsia="Calibri" w:hAnsi="Arial" w:cs="Arial"/>
          <w:color w:val="000000" w:themeColor="text1"/>
          <w:lang w:val="en-GB"/>
        </w:rPr>
        <w:fldChar w:fldCharType="separate"/>
      </w:r>
      <w:r w:rsidR="00937ACD" w:rsidRPr="00937ACD">
        <w:rPr>
          <w:rFonts w:ascii="Arial" w:hAnsi="Arial" w:cs="Arial"/>
        </w:rPr>
        <w:t>(37)</w:t>
      </w:r>
      <w:r>
        <w:rPr>
          <w:rFonts w:ascii="Arial" w:eastAsia="Calibri" w:hAnsi="Arial" w:cs="Arial"/>
          <w:color w:val="000000" w:themeColor="text1"/>
          <w:lang w:val="en-GB"/>
        </w:rPr>
        <w:fldChar w:fldCharType="end"/>
      </w:r>
      <w:r>
        <w:rPr>
          <w:rFonts w:ascii="Arial" w:eastAsia="Calibri" w:hAnsi="Arial" w:cs="Arial"/>
          <w:color w:val="000000" w:themeColor="text1"/>
          <w:lang w:val="en-GB"/>
        </w:rPr>
        <w:t>.</w:t>
      </w:r>
      <w:r w:rsidRPr="00F472D7">
        <w:rPr>
          <w:rFonts w:ascii="Arial" w:eastAsia="Calibri" w:hAnsi="Arial" w:cs="Arial"/>
          <w:color w:val="000000" w:themeColor="text1"/>
          <w:lang w:val="en-GB"/>
        </w:rPr>
        <w:t xml:space="preserve"> Peer-delivered case management involves peer workers alongside health care professionals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wF16C6eU","properties":{"formattedCitation":"(40\\uc0\\u8211{}43)","plainCitation":"(40–43)","noteIndex":0},"citationItems":[{"id":"pnuyFmyJ/Y93sDjiQ","uris":["http://zotero.org/users/9548222/items/NZQLTH8T"],"itemData":{"id":995,"type":"article-journal","abstract":"BACKGROUND: Assertive community treatment (ACT) is an evidence-based practice that provides intensive, in vivo services for adults with severe mental illness. Some ACT and intensive case management teams have integrated consumers as team members with varying results. METHODS: The authors reviewed the literature examining the outcomes of having consumer providers on case management teams, with attention devoted to randomized controlled trials (RCTs). RESULTS: Sixteen published studies were identified, including eight RCTs. Findings were mixed, with evidence supporting consumer-provided services for improving engagement and limited support for reduced hospitalizations. However, evidence was lacking for other outcomes areas such as symptom reduction or improved quality of life. CONCLUSION: Including a consumer provider on an ACT team could enhance the outreach mechanisms of ACT, using a more recovery-focused approach to bring consumers into services and help engage them over time. More rigorous research is needed to further evaluate integrating consumer providers on teams.","container-title":"Journal of the American Psychiatric Nurses Association","DOI":"10.1177/1078390310393283","ISSN":"1078-3903, 1532-5725","issue":"1","journalAbbreviation":"J Am Psychiatr Nurses Assoc","language":"en","page":"37-44","source":"DOI.org (Crossref)","title":"A Review of Consumer-Provided Services on Assertive Community Treatment and Intensive Case Management Teams: Implications for Future Research and Practice","title-short":"A Review of Consumer-Provided Services on Assertive Community Treatment and Intensive Case Management Teams","volume":"17","author":[{"family":"Wright-Berryman","given":"Jennifer L."},{"family":"McGuire","given":"Alan B."},{"family":"Salyers","given":"Michelle P."}],"issued":{"date-parts":[["2011",1]]}}},{"id":634,"uris":["http://zotero.org/groups/5103846/items/WINEAB77"],"itemData":{"id":634,"type":"article-journal","container-title":"Evaluation and Program Planning","DOI":"10.1016/0149-7189(95)00003-T","ISSN":"01497189","issue":"2","journalAbbreviation":"Evaluation and Program Planning","language":"en","page":"117-127","source":"DOI.org (Crossref)","title":"One-year outcomes of a randomized trial of consumer case management","volume":"18","author":[{"family":"Solomon","given":"Phyllis"},{"family":"Draine","given":"Jeffrey"}],"issued":{"date-parts":[["1995",4]]}}},{"id":630,"uris":["http://zotero.org/groups/5103846/items/X8A3LPWL"],"itemData":{"id":630,"type":"article-journal","container-title":"Psychiatric Services","DOI":"10.1176/ps.2006.57.8.1179","ISSN":"1075-2730, 1557-9700","issue":"8","journalAbbreviation":"PS","language":"en","page":"1179-1184","source":"DOI.org (Crossref)","title":"The Treatment Relationship in Peer-Based and Regular Case Management for Clients With Severe Mental Illness","volume":"57","author":[{"family":"Sells","given":"Dave"},{"family":"Davidson","given":"Larry"},{"family":"Jewell","given":"Chistopher"},{"family":"Falzer","given":"Paul"},{"family":"Rowe","given":"Michael"}],"issued":{"date-parts":[["2006",8]]}}},{"id":635,"uris":["http://zotero.org/groups/5103846/items/NHPC3FXQ"],"itemData":{"id":635,"type":"article-journal","container-title":"Mental Health Services Research","DOI":"10.1023/A:1010141826867","ISSN":"15223434","issue":"3","page":"155-164","source":"DOI.org (Crossref)","title":"Psychiatric hospitalizations, arrests, emergency room visits, and homelessness of clients with serious and persistent mental illness: findings from a randomized trial of two ACT programs vs. usual care.","volume":"2","author":[{"family":"Clarke","given":"Gregory N."},{"family":"Herinckx","given":"Heidi A."},{"family":"Kinney","given":"Ronald F."},{"family":"Paulson","given":"Robert I."},{"family":"Cutler","given":"David L."},{"family":"Lewis","given":"Karen"},{"family":"Oxman","given":"Evie"}],"issued":{"date-parts":[["2000"]]}}}],"schema":"https://github.com/citation-style-language/schema/raw/master/csl-citation.json"}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(40–43)</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025BBC30"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144F1CD6" w14:textId="7EF64F8D" w:rsidR="00693812" w:rsidRPr="00F472D7" w:rsidRDefault="00693812" w:rsidP="00693812">
      <w:pPr>
        <w:pStyle w:val="Heading3"/>
        <w:rPr>
          <w:rFonts w:eastAsia="Calibri Light"/>
          <w:lang w:val="en-GB"/>
        </w:rPr>
      </w:pPr>
      <w:r>
        <w:rPr>
          <w:lang w:val="en-GB"/>
        </w:rPr>
        <w:t>1.2</w:t>
      </w:r>
      <w:r w:rsidRPr="00F472D7">
        <w:rPr>
          <w:lang w:val="en-GB"/>
        </w:rPr>
        <w:t>. Hospital-based alternatives</w:t>
      </w:r>
    </w:p>
    <w:p w14:paraId="3A11F558" w14:textId="77777777" w:rsidR="00693812" w:rsidRPr="00F472D7" w:rsidRDefault="00693812" w:rsidP="00693812">
      <w:pPr>
        <w:spacing w:after="0" w:line="480" w:lineRule="auto"/>
        <w:jc w:val="both"/>
        <w:rPr>
          <w:rFonts w:ascii="Arial" w:eastAsia="Calibri Light" w:hAnsi="Arial" w:cs="Arial"/>
          <w:color w:val="1F3763"/>
          <w:sz w:val="24"/>
          <w:szCs w:val="24"/>
          <w:lang w:val="en-GB"/>
        </w:rPr>
      </w:pPr>
    </w:p>
    <w:p w14:paraId="5DFDF2E7"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r w:rsidRPr="00F472D7">
        <w:rPr>
          <w:rFonts w:ascii="Arial" w:eastAsia="Calibri" w:hAnsi="Arial" w:cs="Arial"/>
          <w:color w:val="000000" w:themeColor="text1"/>
          <w:u w:val="single"/>
          <w:lang w:val="en-GB"/>
        </w:rPr>
        <w:t>Models involving general hospital medical care</w:t>
      </w:r>
    </w:p>
    <w:p w14:paraId="725C8220" w14:textId="77777777" w:rsidR="00693812" w:rsidRPr="00F472D7" w:rsidRDefault="00693812" w:rsidP="00693812">
      <w:pPr>
        <w:spacing w:after="0" w:line="480" w:lineRule="auto"/>
        <w:jc w:val="both"/>
        <w:rPr>
          <w:rFonts w:ascii="Arial" w:eastAsia="Calibri Light" w:hAnsi="Arial" w:cs="Arial"/>
          <w:color w:val="1F3763"/>
          <w:sz w:val="24"/>
          <w:szCs w:val="24"/>
          <w:lang w:val="en-GB"/>
        </w:rPr>
      </w:pPr>
    </w:p>
    <w:p w14:paraId="61F8E947" w14:textId="77777777" w:rsidR="00693812" w:rsidRPr="00F472D7" w:rsidRDefault="00693812" w:rsidP="00693812">
      <w:pPr>
        <w:spacing w:after="0" w:line="480" w:lineRule="auto"/>
        <w:jc w:val="both"/>
        <w:rPr>
          <w:rFonts w:ascii="Arial" w:eastAsia="Calibri" w:hAnsi="Arial" w:cs="Arial"/>
          <w:i/>
          <w:iCs/>
          <w:color w:val="000000" w:themeColor="text1"/>
          <w:lang w:val="en-GB"/>
        </w:rPr>
      </w:pPr>
      <w:r w:rsidRPr="00F472D7">
        <w:rPr>
          <w:rFonts w:ascii="Arial" w:eastAsia="Calibri" w:hAnsi="Arial" w:cs="Arial"/>
          <w:i/>
          <w:iCs/>
          <w:color w:val="000000" w:themeColor="text1"/>
          <w:lang w:val="en-GB"/>
        </w:rPr>
        <w:t>Enhanced psychiatric liaison services</w:t>
      </w:r>
    </w:p>
    <w:p w14:paraId="251A391D" w14:textId="4C65CFF1"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‘Enhanced psychiatric liaison services’ aim to provide psychiatric assessment, treatment and support to people who are admitted to general hospitals or emergency departments with comorbid physical and mental health needs, including people in crisis. They ensure appropriate follow-up care post-discharge and are typically staffed by multidisciplinary teams. Enhanced models (including ‘Comprehensive’ and ‘Enhanced 24’ models e.g., ‘Rapid Assessment Interface Discharge’) offer more specialised care than standard psychiatric liaison services, increased psychiatric consultant input, and enhanced follow-up support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lRcVmPmK","properties":{"formattedCitation":"(22,44\\uc0\\u8211{}48)","plainCitation":"(22,44–48)","noteIndex":0},"citationItems":[{"id":205,"uris":["http://zotero.org/groups/5103846/items/ZCPVV2VV"],"itemData":{"id":205,"type":"article-journal","abstract":"Abstract\n            \n              Background\n              Mental health crisis requiring emergency access to psychiatric service can occur at any time. Psychiatric Emergency Service (PES) is described as one that provides an immediate response to an individual in crisis within the first 24 h. Presently, several types of PESs are available in the United Kingdom (UK) with the aim of providing prompt and effective assessment and management of patients. Therefore, this study aims to provide a detailed narrative literature review of the various types of Psychiatric Emergency Service (PES) currently available in the UK.\n            \n            \n              Method\n              Electronic search of five key databases (MEDLINE, PsychINFO, EMBASE, AMED and PUBMED) was conducted. Studies were included if it described a mental health service in the UK that provides immediate response in mental health crisis within the first 24 h. Excluded studies did not describe a PES, non-English, and were not conducted in UK.\n            \n            \n              Results\n              Nine types of PESs were found. Amongst the 9 services, more papers described crisis resolution home treatment. Majority of the papers reported services within England than other countries within the UK.\n            \n            \n              Conclusion\n              All types of PESs were described as beneficial, particularly to mental health service users, but not without some shortcomings. There is a need to continue carrying out methodological research that evaluate impact, cost-effectiveness as well as identify methods of optimising the beneficial outcomes of the various types of PESs. This may help inform researchers, policy makers and commissioners, service users and carers, service providers and many more on how to ensure current and future PESs meet the needs as well as aid recovery during crisis.","container-title":"BMC Psychiatry","DOI":"10.1186/s12888-020-02983-5","ISSN":"1471-244X","issue":"1","journalAbbreviation":"BMC Psychiatry","language":"en","page":"587","source":"DOI.org (Crossref)","title":"Typology of psychiatric emergency services in the United Kingdom: a narrative literature review","title-short":"Typology of psychiatric emergency services in the United Kingdom","volume":"20","author":[{"family":"Odejimi","given":"Opeyemi"},{"family":"Bagchi","given":"Dhruba"},{"family":"Tadros","given":"George"}],"issued":{"date-parts":[["2020",12]]}}},{"id":"pnuyFmyJ/yS0WnOPH","uris":["http://zotero.org/users/9548222/items/9ANMUACK"],"itemData":{"id":973,"type":"article-journal","container-title":"Journal of Psychosomatic Research","DOI":"10.1016/j.jpsychores.2019.01.013","ISSN":"00223999","journalAbbreviation":"Journal of Psychosomatic Research","language":"en","page":"53-64","source":"DOI.org (Crossref)","title":"The impact of different liaison psychiatry models on the emergency department: A systematic review of the international evidence","title-short":"The impact of different liaison psychiatry models on the emergency department","volume":"119","author":[{"family":"Evans","given":"Rachel"},{"family":"Connell","given":"Janice"},{"family":"Ablard","given":"Suzanne"},{"family":"Rimmer","given":"Melanie"},{"family":"O'Keeffe","given":"Colin"},{"family":"Mason","given":"Suzanne"}],"issued":{"date-parts":[["2019",4]]}}},{"id":652,"uris":["http://zotero.org/groups/5103846/items/6MVB3TBY"],"itemData":{"id":652,"type":"article-journal","abstract":"Objectives\n              To describe the current provision of hospital-based liaison psychiatry services in England, and to determine different models of liaison service that are currently operating in England.\n            \n            \n              Design\n              Cross-sectional observational study comprising an electronic survey followed by targeted telephone interviews.\n            \n            \n              Setting\n              All 179 acute hospitals with an emergency department in England.\n            \n            \n              Participants\n              168 hospitals that had a liaison psychiatry service completed an electronic survey. Telephone interviews were conducted for 57 hospitals that reported specialist liaison services additional to provision for acute care.\n            \n            \n              Measures\n              Data included the location, service structures and staffing, working practices, relations with other mental health service providers, policies such as response times and funding. Model 2-based clustering was used to characterise the services. Telephone interviews identified the range of additional liaison psychiatry services provided.\n            \n            \n              Results\n              Most hospitals (141, 79%) reported a 7-day service responding to acute referrals from the emergency department and wards. However, under half of hospitals had 24 hours access to the service (78, 44%). One-third of hospitals (57, 32%) provided non-acute liaison work including outpatient clinics and links to specialist hospital services. 156 hospitals (87%) had a multidisciplinary service including a psychiatrist and mental health nurses. We derived a four-cluster model of liaison psychiatry using variables resulting from the electronic survey; the salient features of clusters were staffing numbers, especially nursing; provision of rapid response 24 hours 7-day acute services; offering outpatient and other non-acute work, and containing age-specific teams for older adults.\n            \n            \n              Conclusions\n              This is the most comprehensive study to date of liaison psychiatry in England and demonstrates the wide availability of such services nationally. Although all services provide an acute assessment function, there is no uniformity about hours of coverage or expectation of response times. Most services were better characterised by the model we developed than by current classification systems for liaison psychiatry.","container-title":"BMJ Open","DOI":"10.1136/bmjopen-2018-023091","ISSN":"2044-6055, 2044-6055","issue":"8","journalAbbreviation":"BMJ Open","language":"en","page":"e023091","source":"DOI.org (Crossref)","title":"Organisation and delivery of liaison psychiatry services in general hospitals in England: results of a national survey","title-short":"Organisation and delivery of liaison psychiatry services in general hospitals in England","volume":"8","author":[{"family":"Walker","given":"Andrew"},{"family":"Barrett","given":"Jessica Rose"},{"family":"Lee","given":"William"},{"family":"West","given":"Robert M"},{"family":"Guthrie","given":"Elspeth"},{"family":"Trigwell","given":"Peter"},{"family":"Quirk","given":"Alan"},{"family":"Crawford","given":"Mike J"},{"family":"House","given":"Allan"}],"issued":{"date-parts":[["2018",8]]}}},{"id":658,"uris":["http://zotero.org/groups/5103846/items/CTM7KI4D"],"itemData":{"id":658,"type":"article-journal","container-title":"BMC Health Services Research","DOI":"10.1186/s12913-019-4356-y","ISSN":"1472-6963","issue":"1","journalAbbreviation":"BMC Health Serv Res","language":"en","page":"522","source":"DOI.org (Crossref)","title":"Integrated liaison psychiatry services in England: a qualitative study of the views of liaison practitioners and acute hospital staffs from four distinctly different kinds of liaison service","title-short":"Integrated liaison psychiatry services in England","volume":"19","author":[{"family":"Jasmin","given":"Keeble"},{"family":"Walker","given":"Andrew"},{"family":"Guthrie","given":"Elspeth"},{"family":"Trigwell","given":"Peter"},{"family":"Quirk","given":"Alan"},{"family":"Hewison","given":"Jenny"},{"family":"Murray","given":"Carolyn Czoski"},{"family":"House","given":"Allan"}],"issued":{"date-parts":[["2019",12]]}}},{"id":394,"uris":["http://zotero.org/groups/5103846/items/BC4FJ8BR"],"itemData":{"id":394,"type":"document","publisher":"UCL Partners","title":"The RAID model of liaison psychiatry. Report on the evaluation of four pilot services in east London","URL":"https://www.ucl.ac.uk/pals/sites/pals/files/uclp_raid_evaluation_report.pdf","author":[{"family":"Becker","given":"Lauren"},{"family":"Saunders","given":"Rob"},{"family":"Hardy","given":"Robert"},{"family":"Pilling","given":"Stephen"}],"issued":{"date-parts":[["2016"]]}}},{"id":415,"uris":["http://zotero.org/groups/5103846/items/YASGMFD2"],"itemData":{"id":415,"type":"webpage","title":"Liaison psychiatry services","URL":"https://www.rcpsych.ac.uk/mental-health/treatments-and-wellbeing/liaison-psychiatry-services","author":[{"family":"Royal College of Psychiatrists","given":""}],"issued":{"date-parts":[["2018"]],"season":"Reviewed"}}}],"schema":"https://github.com/citation-style-language/schema/raw/master/csl-citation.json"}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(22,44–48)</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in part aiming to prevent avoidable inpatient admissions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{"citationID":"XplQN0Rv","properties":{"formattedCitation":"(47)","plainCitation":"(47)","noteIndex":0},"citationItems":[{"id":394,"uris":["http://zotero.org/groups/5103846/items/BC4FJ8BR"],"itemData":{"id":394,"type":"document","publisher":"UCL Partners","title":"The RAID model of liaison psychiatry. Report on the evaluation of four pilot services in east London","URL":"https://www.ucl.ac.uk/pals/sites/pals/files/uclp_raid_evaluation_report.pdf","author":[{"family":"Becker","given":"Lauren"},{"family":"Saunders","given":"Rob"},{"family":"Hardy","given":"Robert"},{"family":"Pilling","given":"Stephen"}],"issued":{"date-parts":[["2016"]]}}}],"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(47)</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7A0DCBB9"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7E4D6F44" w14:textId="77777777" w:rsidR="00693812" w:rsidRPr="00F472D7" w:rsidRDefault="00693812" w:rsidP="00693812">
      <w:pPr>
        <w:spacing w:after="0" w:line="480" w:lineRule="auto"/>
        <w:jc w:val="both"/>
        <w:rPr>
          <w:rFonts w:ascii="Arial" w:eastAsia="Calibri" w:hAnsi="Arial" w:cs="Arial"/>
          <w:i/>
          <w:iCs/>
          <w:color w:val="000000" w:themeColor="text1"/>
          <w:lang w:val="en-GB"/>
        </w:rPr>
      </w:pPr>
      <w:r w:rsidRPr="00F472D7">
        <w:rPr>
          <w:rFonts w:ascii="Arial" w:eastAsia="Calibri" w:hAnsi="Arial" w:cs="Arial"/>
          <w:i/>
          <w:iCs/>
          <w:color w:val="000000" w:themeColor="text1"/>
          <w:lang w:val="en-GB"/>
        </w:rPr>
        <w:t>Time-limited admission to general medical wards with specialist community eating disorder team input</w:t>
      </w:r>
    </w:p>
    <w:p w14:paraId="7BB275AA" w14:textId="1A52DF68"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People with eating disorders may sometimes be admitted to general medical wards for medical stabilisation, with input from specialist community eating disorder teams. This </w:t>
      </w:r>
      <w:r w:rsidRPr="00F472D7">
        <w:rPr>
          <w:rFonts w:ascii="Arial" w:eastAsia="Calibri" w:hAnsi="Arial" w:cs="Arial"/>
          <w:color w:val="000000" w:themeColor="text1"/>
          <w:lang w:val="en-GB"/>
        </w:rPr>
        <w:lastRenderedPageBreak/>
        <w:t xml:space="preserve">approach is designed for people who have medical needs requiring inpatient care, including those who are too physically unwell for specialist eating disorder units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{"citationID":"XVXd2PLz","properties":{"formattedCitation":"(49,50)","plainCitation":"(49,50)","noteIndex":0},"citationItems":[{"id":386,"uris":["http://zotero.org/groups/5103846/items/D64FW4X8"],"itemData":{"id":386,"type":"document","title":"Adult eating disorders: community, inpatient and intensive day patient care. Guidance for commissioners and providers.","URL":"https://www.england.nhs.uk/wp-content/uploads/2019/08/aed-guidance.pdf","author":[{"family":"NHS England","given":""},{"family":"NICE","given":""},{"family":"National Collaborating Centre for Mental Health","given":""}],"issued":{"date-parts":[["2019"]]}}},{"id":384,"uris":["http://zotero.org/groups/5103846/items/PPHNAVJX"],"itemData":{"id":384,"type":"document","title":"Medical Emergencies in Eating Disorders: Guidance on Recognition and Management.","URL":"https://www.rcpsych.ac.uk/docs/default-source/improving-care/better-mh-policy/college-reports/college-report-cr233-medical-emergencies-in-eating-disorders-(meed)-guidance.pdf?sfvrsn=2d327483_55","author":[{"family":"Royal College of Psychiatrists","given":""}],"issued":{"date-parts":[["2023"]]}}}],"schema":"https://github.com/citation-style-language/schema/raw/master/csl-citation.json"}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(49,50)</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0859059B"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5A38AEC0"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r w:rsidRPr="00F472D7">
        <w:rPr>
          <w:rFonts w:ascii="Arial" w:eastAsia="Calibri" w:hAnsi="Arial" w:cs="Arial"/>
          <w:color w:val="000000" w:themeColor="text1"/>
          <w:u w:val="single"/>
          <w:lang w:val="en-GB"/>
        </w:rPr>
        <w:t>Brief-stay crisis units</w:t>
      </w:r>
    </w:p>
    <w:p w14:paraId="4B94D25E" w14:textId="3FA0002E"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‘Brief-stay crisis units’ offer assessment, short-term treatment, and stabilisation for people in crisis outside of an inpatient setting</w:t>
      </w:r>
      <w:r>
        <w:rPr>
          <w:rFonts w:ascii="Arial" w:eastAsia="Calibri" w:hAnsi="Arial" w:cs="Arial"/>
          <w:color w:val="000000" w:themeColor="text1"/>
          <w:lang w:val="en-GB"/>
        </w:rPr>
        <w:t>, aiming to avoid inpatient mental health service admissions</w:t>
      </w:r>
      <w:r w:rsidRPr="00F472D7">
        <w:rPr>
          <w:rFonts w:ascii="Arial" w:eastAsia="Calibri" w:hAnsi="Arial" w:cs="Arial"/>
          <w:color w:val="000000" w:themeColor="text1"/>
          <w:lang w:val="en-GB"/>
        </w:rPr>
        <w:t xml:space="preserve">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{"citationID":"2bytsIQo","properties":{"formattedCitation":"(51)","plainCitation":"(51)","noteIndex":0},"citationItems":[{"id":654,"uris":["http://zotero.org/groups/5103846/items/C7U8THLR"],"itemData":{"id":654,"type":"article-journal","abstract":"Background\n              Internationally, an increasing proportion of emergency department visits are mental health related. Concurrently, psychiatric wards are often occupied above capacity. Healthcare providers have introduced short-stay, hospital-based crisis units offering a therapeutic space for stabilisation, assessment and appropriate referral. Research lags behind roll-out, and a review of the evidence is urgently needed to inform policy and further introduction of similar units.\n            \n            \n              Aims\n              This systematic review aims to evaluate the effectiveness of short-stay, hospital-based mental health crisis units.\n            \n            \n              Method\n              We searched EMBASE, Medline, CINAHL and PsycINFO up to March 2021. All designs incorporating a control or comparison group were eligible for inclusion, and all effect estimates with a comparison group were extracted and combined meta-analytically where appropriate. We assessed study risk of bias with Risk of Bias in Non-Randomized Studies – of Interventions and Risk of Bias in Randomized Trials.\n            \n            \n              Results\n              \n                Data from twelve studies across six countries (Australia, Belgium, Canada, The Netherlands, UK and USA) and 67 505 participants were included. Data indicated that units delivered benefits on many outcomes. Units could reduce psychiatric holds (42% after intervention compared with 49.8% before intervention; difference = 7.8%;\n                P\n                &lt; 0.0001) and increase out-patient follow-up care (χ\n                2\n                = 37.42, d.f. = 1;\n                P\n                &lt; 0.001). Meta-analysis indicated a significant reduction in length of emergency department stay (by 164.24 min; 95% CI −261.24 to −67.23 min;\n                P\n                &lt; 0.001) and number of in-patient admissions (odds ratio 0.55, 95% CI 0.43–0.68;\n                P\n                &lt; 0.001).\n              \n            \n            \n              Conclusions\n              Short-stay mental health crisis units are effective for reducing emergency department wait times and in-patient admissions. Further research should investigate the impact of units on patient experience, and clinical and social outcomes.","container-title":"BJPsych Open","DOI":"10.1192/bjo.2022.534","ISSN":"2056-4724","issue":"4","journalAbbreviation":"BJPsych open","language":"en","page":"e144","source":"DOI.org (Crossref)","title":"Short-stay crisis units for mental health patients on crisis care pathways: systematic review and meta-analysis","title-short":"Short-stay crisis units for mental health patients on crisis care pathways","volume":"8","author":[{"family":"Anderson","given":"Katie"},{"family":"Goldsmith","given":"Lucy P."},{"family":"Lomani","given":"Jo"},{"family":"Ali","given":"Zena"},{"family":"Clarke","given":"Geraldine"},{"family":"Crowe","given":"Chloe"},{"family":"Jarman","given":"Heather"},{"family":"Johnson","given":"Sonia"},{"family":"McDaid","given":"David"},{"family":"Pariza","given":"Paris"},{"family":"Park","given":"A-La"},{"family":"Smith","given":"Jared A."},{"family":"Stovold","given":"Elizabeth"},{"family":"Turner","given":"Kati"},{"family":"Gillard","given":"Steve"}],"issued":{"date-parts":[["2022",7]]}}}],"schema":"https://github.com/citation-style-language/schema/raw/master/csl-citation.json"}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(51)</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They are generally linked to hospital emergency departments. The environment is less restrictive than inpatient psychiatric units, and length of stay typically ranges from a few hours to a few days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{"citationID":"MvxoFJvs","properties":{"formattedCitation":"(51)","plainCitation":"(51)","noteIndex":0},"citationItems":[{"id":654,"uris":["http://zotero.org/groups/5103846/items/C7U8THLR"],"itemData":{"id":654,"type":"article-journal","abstract":"Background\n              Internationally, an increasing proportion of emergency department visits are mental health related. Concurrently, psychiatric wards are often occupied above capacity. Healthcare providers have introduced short-stay, hospital-based crisis units offering a therapeutic space for stabilisation, assessment and appropriate referral. Research lags behind roll-out, and a review of the evidence is urgently needed to inform policy and further introduction of similar units.\n            \n            \n              Aims\n              This systematic review aims to evaluate the effectiveness of short-stay, hospital-based mental health crisis units.\n            \n            \n              Method\n              We searched EMBASE, Medline, CINAHL and PsycINFO up to March 2021. All designs incorporating a control or comparison group were eligible for inclusion, and all effect estimates with a comparison group were extracted and combined meta-analytically where appropriate. We assessed study risk of bias with Risk of Bias in Non-Randomized Studies – of Interventions and Risk of Bias in Randomized Trials.\n            \n            \n              Results\n              \n                Data from twelve studies across six countries (Australia, Belgium, Canada, The Netherlands, UK and USA) and 67 505 participants were included. Data indicated that units delivered benefits on many outcomes. Units could reduce psychiatric holds (42% after intervention compared with 49.8% before intervention; difference = 7.8%;\n                P\n                &lt; 0.0001) and increase out-patient follow-up care (χ\n                2\n                = 37.42, d.f. = 1;\n                P\n                &lt; 0.001). Meta-analysis indicated a significant reduction in length of emergency department stay (by 164.24 min; 95% CI −261.24 to −67.23 min;\n                P\n                &lt; 0.001) and number of in-patient admissions (odds ratio 0.55, 95% CI 0.43–0.68;\n                P\n                &lt; 0.001).\n              \n            \n            \n              Conclusions\n              Short-stay mental health crisis units are effective for reducing emergency department wait times and in-patient admissions. Further research should investigate the impact of units on patient experience, and clinical and social outcomes.","container-title":"BJPsych Open","DOI":"10.1192/bjo.2022.534","ISSN":"2056-4724","issue":"4","journalAbbreviation":"BJPsych open","language":"en","page":"e144","source":"DOI.org (Crossref)","title":"Short-stay crisis units for mental health patients on crisis care pathways: systematic review and meta-analysis","title-short":"Short-stay crisis units for mental health patients on crisis care pathways","volume":"8","author":[{"family":"Anderson","given":"Katie"},{"family":"Goldsmith","given":"Lucy P."},{"family":"Lomani","given":"Jo"},{"family":"Ali","given":"Zena"},{"family":"Clarke","given":"Geraldine"},{"family":"Crowe","given":"Chloe"},{"family":"Jarman","given":"Heather"},{"family":"Johnson","given":"Sonia"},{"family":"McDaid","given":"David"},{"family":"Pariza","given":"Paris"},{"family":"Park","given":"A-La"},{"family":"Smith","given":"Jared A."},{"family":"Stovold","given":"Elizabeth"},{"family":"Turner","given":"Kati"},{"family":"Gillard","given":"Steve"}],"issued":{"date-parts":[["2022",7]]}}}],"schema":"https://github.com/citation-style-language/schema/raw/master/csl-citation.json"}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(51)</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They include ‘Psychiatric observation units’, ‘Psychiatric decision units’, ‘Emergency psychiatric assessment, treating and healing (</w:t>
      </w:r>
      <w:proofErr w:type="spellStart"/>
      <w:r w:rsidRPr="00F472D7">
        <w:rPr>
          <w:rFonts w:ascii="Arial" w:eastAsia="Calibri" w:hAnsi="Arial" w:cs="Arial"/>
          <w:color w:val="000000" w:themeColor="text1"/>
          <w:lang w:val="en-GB"/>
        </w:rPr>
        <w:t>EmPATH</w:t>
      </w:r>
      <w:proofErr w:type="spellEnd"/>
      <w:r w:rsidRPr="00F472D7">
        <w:rPr>
          <w:rFonts w:ascii="Arial" w:eastAsia="Calibri" w:hAnsi="Arial" w:cs="Arial"/>
          <w:color w:val="000000" w:themeColor="text1"/>
          <w:lang w:val="en-GB"/>
        </w:rPr>
        <w:t xml:space="preserve">) units’, ‘Psychiatric emergency service centres’, ‘23-hour crisis stabilisation units’ and ‘Behavioural assessment </w:t>
      </w:r>
      <w:proofErr w:type="gramStart"/>
      <w:r w:rsidRPr="00F472D7">
        <w:rPr>
          <w:rFonts w:ascii="Arial" w:eastAsia="Calibri" w:hAnsi="Arial" w:cs="Arial"/>
          <w:color w:val="000000" w:themeColor="text1"/>
          <w:lang w:val="en-GB"/>
        </w:rPr>
        <w:t>units’</w:t>
      </w:r>
      <w:proofErr w:type="gramEnd"/>
      <w:r w:rsidRPr="00F472D7">
        <w:rPr>
          <w:rFonts w:ascii="Arial" w:eastAsia="Calibri" w:hAnsi="Arial" w:cs="Arial"/>
          <w:color w:val="000000" w:themeColor="text1"/>
          <w:lang w:val="en-GB"/>
        </w:rPr>
        <w:t xml:space="preserve">. </w:t>
      </w:r>
    </w:p>
    <w:p w14:paraId="27573917"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5835F222"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r w:rsidRPr="00F472D7">
        <w:rPr>
          <w:rFonts w:ascii="Arial" w:eastAsia="Calibri" w:hAnsi="Arial" w:cs="Arial"/>
          <w:color w:val="000000" w:themeColor="text1"/>
          <w:u w:val="single"/>
          <w:lang w:val="en-GB"/>
        </w:rPr>
        <w:t>Inpatient psychiatric services</w:t>
      </w:r>
    </w:p>
    <w:p w14:paraId="2896E6D5"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p>
    <w:p w14:paraId="4022431C" w14:textId="77777777" w:rsidR="00693812" w:rsidRPr="00F472D7" w:rsidRDefault="00693812" w:rsidP="00693812">
      <w:pPr>
        <w:spacing w:after="0" w:line="480" w:lineRule="auto"/>
        <w:jc w:val="both"/>
        <w:rPr>
          <w:rFonts w:ascii="Arial" w:eastAsia="Calibri" w:hAnsi="Arial" w:cs="Arial"/>
          <w:i/>
          <w:iCs/>
          <w:color w:val="000000" w:themeColor="text1"/>
          <w:lang w:val="en-GB"/>
        </w:rPr>
      </w:pPr>
      <w:r w:rsidRPr="00F472D7">
        <w:rPr>
          <w:rFonts w:ascii="Arial" w:eastAsia="Calibri" w:hAnsi="Arial" w:cs="Arial"/>
          <w:i/>
          <w:iCs/>
          <w:color w:val="000000" w:themeColor="text1"/>
          <w:lang w:val="en-GB"/>
        </w:rPr>
        <w:t>Short-stay acute inpatient wards</w:t>
      </w:r>
    </w:p>
    <w:p w14:paraId="7D7558D1" w14:textId="4BF043BC"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‘Short-stay acute inpatient psychiatric wards’ provide assessment, stabilisation and intensive interventions for people requiring intensive psychiatric care for a limited period of time, usually ranging from a day up to a week, with the aim of facilitating discharge home within the admission time period wherever possible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{"citationID":"bYWKVwbk","properties":{"formattedCitation":"(1,7)","plainCitation":"(1,7)","noteIndex":0},"citationItems":[{"id":204,"uris":["http://zotero.org/groups/5103846/items/QPTRTHQL"],"itemData":{"id":204,"type":"article-journal","abstract":"Background\n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id":219,"uris":["http://zotero.org/groups/5103846/items/9DWXKA3J"],"itemData":{"id":219,"type":"article-journal","abstract":"Abstract\n            \n              Background\n              Inpatient psychiatric care is unpopular and expensive, and development and evaluation of alternatives is a long-standing policy and research priority around the world. In England, the three main models documented over the past fifty years (teams offering crisis assessment and treatment at home; acute day units; and residential crisis services in the community) have recently been augmented by several new service models. These are intended to enhance choice and flexibility within catchment area acute care systems, but remain largely undocumented in the research literature. We therefore aimed to describe the types and distribution of crisis care models across England through a national survey.\n            \n            \n              Methods\n              We carried out comprehensive mapping of crisis resolution teams (CRTs) using previous surveys, websites and multiple official data sources. Managers of CRTs were invited to participate as key informants who were familiar with the provision and organisation of crisis care services within their catchment area. The survey could be completed online or via telephone interview with a researcher, and elicited details about types of crisis care delivered in the local catchment area.\n            \n            \n              Results\n              We mapped a total of 200 adult CRTs and completed the survey with 184 (92%). Of the 200 mapped adult CRTs, there was a local (i.e., within the adult CRT catchment area) children and young persons CRT for 84 (42%), and an older adults CRT for 73 (37%). While all but one health region in England provided CRTs for working age adults, there was high variability regarding provision of all other community crisis service models and system configurations. Crisis cafes, street triage teams and separate crisis assessment services have all proliferated since a similar survey in 2016, while provision of acute day units has reduced.\n            \n            \n              Conclusions\n              The composition of catchment area crisis systems varies greatly across England and popularity of models seems unrelated to strength of evidence. A group of emerging crisis care models with varying functions within service systems are increasingly prevalent: they have potential to offer greater choice and flexibility in managing crises, but an evidence base regarding impact on service user experiences and outcomes is yet to be established.","container-title":"BMC Health Services Research","DOI":"10.1186/s12913-021-07181-x","ISSN":"1472-6963","issue":"1","journalAbbreviation":"BMC Health Serv Res","language":"en","page":"1174","source":"DOI.org (Crossref)","title":"Emerging models and trends in mental health crisis care in England: a national investigation of crisis care systems","title-short":"Emerging models and trends in mental health crisis care in England","volume":"21","author":[{"family":"Dalton-Locke","given":"Christian"},{"family":"Johnson","given":"Sonia"},{"family":"Harju-Seppänen","given":"Jasmine"},{"family":"Lyons","given":"Natasha"},{"family":"Sheridan Rains","given":"Luke"},{"family":"Stuart","given":"Ruth"},{"family":"Campbell","given":"Amelia"},{"family":"Clark","given":"Jeremy"},{"family":"Clifford","given":"Aisling"},{"family":"Courtney","given":"Laura"},{"family":"Dare","given":"Ceri"},{"family":"Kelly","given":"Kathleen"},{"family":"Lynch","given":"Chris"},{"family":"McCrone","given":"Paul"},{"family":"Nairi","given":"Shilpa"},{"family":"Newbigging","given":"Karen"},{"family":"Nyikavaranda","given":"Patrick"},{"family":"Osborn","given":"David"},{"family":"Persaud","given":"Karen"},{"family":"Stefan","given":"Martin"},{"family":"Lloyd-Evans","given":"Brynmor"}],"issued":{"date-parts":[["2021",12]]}}}],"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(1,7)</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r>
        <w:rPr>
          <w:rFonts w:ascii="Arial" w:eastAsia="Calibri" w:hAnsi="Arial" w:cs="Arial"/>
          <w:color w:val="000000" w:themeColor="text1"/>
          <w:lang w:val="en-GB"/>
        </w:rPr>
        <w:t xml:space="preserve"> These contrast to standard inpatient mental health wards, which do not typically have a fixed length of stay </w:t>
      </w:r>
      <w:r>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{"citationID":"DQ47YBt4","properties":{"formattedCitation":"(1)","plainCitation":"(1)","noteIndex":0},"citationItems":[{"id":204,"uris":["http://zotero.org/groups/5103846/items/QPTRTHQL"],"itemData":{"id":204,"type":"article-journal","abstract":"Background\n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schema":"https://github.com/citation-style-language/schema/raw/master/csl-citation.json"} </w:instrText>
      </w:r>
      <w:r>
        <w:rPr>
          <w:rFonts w:ascii="Arial" w:eastAsia="Calibri" w:hAnsi="Arial" w:cs="Arial"/>
          <w:color w:val="000000" w:themeColor="text1"/>
          <w:lang w:val="en-GB"/>
        </w:rPr>
        <w:fldChar w:fldCharType="separate"/>
      </w:r>
      <w:r w:rsidR="00937ACD" w:rsidRPr="00937ACD">
        <w:rPr>
          <w:rFonts w:ascii="Arial" w:hAnsi="Arial" w:cs="Arial"/>
        </w:rPr>
        <w:t>(1)</w:t>
      </w:r>
      <w:r>
        <w:rPr>
          <w:rFonts w:ascii="Arial" w:eastAsia="Calibri" w:hAnsi="Arial" w:cs="Arial"/>
          <w:color w:val="000000" w:themeColor="text1"/>
          <w:lang w:val="en-GB"/>
        </w:rPr>
        <w:fldChar w:fldCharType="end"/>
      </w:r>
      <w:r>
        <w:rPr>
          <w:rFonts w:ascii="Arial" w:eastAsia="Calibri" w:hAnsi="Arial" w:cs="Arial"/>
          <w:color w:val="000000" w:themeColor="text1"/>
          <w:lang w:val="en-GB"/>
        </w:rPr>
        <w:t>.</w:t>
      </w:r>
    </w:p>
    <w:p w14:paraId="19DD4D5A"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59ED403F"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i/>
          <w:iCs/>
          <w:color w:val="000000" w:themeColor="text1"/>
          <w:lang w:val="en-GB"/>
        </w:rPr>
        <w:t>Inpatient psychiatric services with a specific therapeutic model</w:t>
      </w:r>
    </w:p>
    <w:p w14:paraId="7DC6A6D2" w14:textId="68A92F45"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w:t>
      </w:r>
      <w:proofErr w:type="spellStart"/>
      <w:r w:rsidRPr="00F472D7">
        <w:rPr>
          <w:rFonts w:ascii="Arial" w:eastAsia="Calibri" w:hAnsi="Arial" w:cs="Arial"/>
          <w:color w:val="000000" w:themeColor="text1"/>
          <w:lang w:val="en-GB"/>
        </w:rPr>
        <w:t>Safewards</w:t>
      </w:r>
      <w:proofErr w:type="spellEnd"/>
      <w:r w:rsidRPr="00F472D7">
        <w:rPr>
          <w:rFonts w:ascii="Arial" w:eastAsia="Calibri" w:hAnsi="Arial" w:cs="Arial"/>
          <w:color w:val="000000" w:themeColor="text1"/>
          <w:lang w:val="en-GB"/>
        </w:rPr>
        <w:t>’, ‘Star Wards’, ‘Talk 1</w:t>
      </w:r>
      <w:r w:rsidRPr="00F472D7">
        <w:rPr>
          <w:rFonts w:ascii="Arial" w:eastAsia="Calibri" w:hAnsi="Arial" w:cs="Arial"/>
          <w:color w:val="000000" w:themeColor="text1"/>
          <w:vertAlign w:val="superscript"/>
          <w:lang w:val="en-GB"/>
        </w:rPr>
        <w:t>st</w:t>
      </w:r>
      <w:r w:rsidRPr="00F472D7">
        <w:rPr>
          <w:rFonts w:ascii="Arial" w:eastAsia="Calibri" w:hAnsi="Arial" w:cs="Arial"/>
          <w:color w:val="000000" w:themeColor="text1"/>
          <w:lang w:val="en-GB"/>
        </w:rPr>
        <w:t xml:space="preserve">, the ‘Tidal Model’, the ‘Bradford Refocusing Model’, ‘Six Core Strategies’ and the ‘HOPES model’ are specific therapeutic models aimed at improving care in inpatient mental health settings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2PyZypi4","properties":{"formattedCitation":"(1,52\\uc0\\u8211{}64)","plainCitation":"(1,52–64)","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id":"pnuyFmyJ/YbZM33A4","uris":["http://zotero.org/users/9548222/items/TQF7F9UZ"],"itemData":{"id":1106,"type":"article-journal","container-title":"Journal of Psychiatric and Mental Health Nursing","DOI":"10.1111/jpm.12129","ISSN":"13510126","issue":"6","journalAbbreviation":"J Psychiatr Ment Health Nurs","language":"en","page":"499-508","source":"DOI.org (Crossref)","title":"Safewards: a new model of conflict and containment on psychiatric wards: Safewards: description of the model","title-short":"Safewards","volume":"21","author":[{"family":"Bowers","given":"L."}],"issued":{"date-parts":[["2014",8]]}},"label":"page"},{"id":563,"uris":["http://zotero.org/groups/5103846/items/K5BC29BC"],"itemData":{"id":563,"type":"document","publisher":"National Association of State Mental Health Program Directors (NASMHPD)","title":"Six Core Strategies for Reducing Seclusion and Restraint Use","URL":"https://www.nasmhpd.org/sites/default/files/2022-08/Consolidated%2520Six%2520Core%2520Strategies%2520Document.pdf","author":[{"family":"Huckshorn","given":"Kevin"}],"issued":{"date-parts":[["2006"]]}}},{"id":562,"uris":["http://zotero.org/groups/5103846/items/QJNSNK2U"],"itemData":{"id":562,"type":"document","publisher":"City Research Online","title":"Star Wards Survey Report 2009/10","URL":"https://openaccess.city.ac.uk/id/eprint/7246/1/Star%20Wards%20Survey%20Report%20_Final%2005052010_V2.pdf","author":[{"family":"Simpson","given":"Alan"},{"family":"Janner","given":"M"}],"issued":{"date-parts":[["2019"]]}}},{"id":123,"uris":["http://zotero.org/groups/5103846/items/QPBGGGMG"],"itemData":{"id":123,"type":"article-journal","container-title":"Issues in Mental Health Nursing","DOI":"10.1080/01612840.2021.1967533","ISSN":"0161-2840, 1096-4673","issue":"2","journalAbbreviation":"Issues in Mental Health Nursing","language":"en","page":"119-136","source":"DOI.org (Crossref)","title":"A Systematic Review of the Effectiveness of Safewards: Has Enthusiasm Exceeded Evidence?","title-short":"A Systematic Review of the Effectiveness of Safewards","volume":"43","author":[{"family":"Finch","given":"Katie"},{"family":"Lawrence","given":"Daniel"},{"family":"Williams","given":"Marc O."},{"family":"Thompson","given":"Andrew R."},{"family":"Hartwright","given":"Christopher"}],"issued":{"date-parts":[["2022",2,1]]}}},{"id":119,"uris":["http://zotero.org/groups/5103846/items/LR54TQ63"],"itemData":{"id":119,"type":"article-journal","container-title":"International Journal of Mental Health Nursing","DOI":"10.1111/inm.12950","ISSN":"1445-8330, 1447-0349","issue":"1","journalAbbreviation":"Int J Mental Health Nurs","language":"en","page":"199-221","source":"DOI.org (Crossref)","title":"Effect of Safewards on reducing conflict and containment and the experiences of staff and consumers: A mixed</w:instrText>
      </w:r>
      <w:r w:rsidR="00937ACD">
        <w:rPr>
          <w:rFonts w:ascii="Cambria Math" w:eastAsia="Calibri" w:hAnsi="Cambria Math" w:cs="Cambria Math"/>
          <w:color w:val="000000" w:themeColor="text1"/>
          <w:lang w:val="en-GB"/>
        </w:rPr>
        <w:instrText>‐</w:instrText>
      </w:r>
      <w:r w:rsidR="00937ACD">
        <w:rPr>
          <w:rFonts w:ascii="Arial" w:eastAsia="Calibri" w:hAnsi="Arial" w:cs="Arial"/>
          <w:color w:val="000000" w:themeColor="text1"/>
          <w:lang w:val="en-GB"/>
        </w:rPr>
        <w:instrText>methods systematic review","title-short":"Effect of Safewards on reducing conflict and containment and the experiences of staff and consumers","volume":"31","author":[{"family":"Ward</w:instrText>
      </w:r>
      <w:r w:rsidR="00937ACD">
        <w:rPr>
          <w:rFonts w:ascii="Cambria Math" w:eastAsia="Calibri" w:hAnsi="Cambria Math" w:cs="Cambria Math"/>
          <w:color w:val="000000" w:themeColor="text1"/>
          <w:lang w:val="en-GB"/>
        </w:rPr>
        <w:instrText>‐</w:instrText>
      </w:r>
      <w:r w:rsidR="00937ACD">
        <w:rPr>
          <w:rFonts w:ascii="Arial" w:eastAsia="Calibri" w:hAnsi="Arial" w:cs="Arial"/>
          <w:color w:val="000000" w:themeColor="text1"/>
          <w:lang w:val="en-GB"/>
        </w:rPr>
        <w:instrText xml:space="preserve">Stockham","given":"Kristel"},{"family":"Kapp","given":"Suzanne"},{"family":"Jarden","given":"Rebecca"},{"family":"Gerdtz","given":"Marie"},{"family":"Daniel","given":"Catherine"}],"issued":{"date-parts":[["2022",2]]}}},{"id":124,"uris":["http://zotero.org/groups/5103846/items/ZH3VGBKX"],"itemData":{"id":124,"type":"article-journal","container-title":"International Journal of Mental Health Nursing","DOI":"10.1111/inm.13001","ISSN":"1445-8330, 1447-0349","issue":"5","journalAbbreviation":"Int J Mental Health Nurs","language":"en","page":"1090-1108","source":"DOI.org (Crossref)","title":"Safewards: An integrative review of the literature within inpatient and forensic mental health units","title-short":"Safewards","volume":"31","author":[{"family":"Mullen","given":"Antony"},{"family":"Browne","given":"Graeme"},{"family":"Hamilton","given":"Bridget"},{"family":"Skinner","given":"Stephanie"},{"family":"Happell","given":"Brenda"}],"issued":{"date-parts":[["2022",10]]}}},{"id":133,"uris":["http://zotero.org/groups/5103846/items/J6CBQHEH"],"itemData":{"id":133,"type":"article-journal","container-title":"Journal of Psychiatric and Mental Health Nursing","DOI":"10.1111/j.1365-2850.2005.00901.x","ISSN":"13510126","issue":"6","language":"en","page":"703-712","source":"DOI.org (Crossref)","title":"Launching the Tidal Model: evaluating the evidence: Launching the Tidal Model","title-short":"Launching the Tidal Model","volume":"12","author":[{"family":"Gordon","given":"W."},{"family":"Morton","given":"T."},{"family":"Brooks","given":"G."}],"issued":{"date-parts":[["2005",12]]}}},{"id":135,"uris":["http://zotero.org/groups/5103846/items/CD5IELRU"],"itemData":{"id":135,"type":"article-journal","container-title":"Journal of Psychiatric and Mental Health Nursing","DOI":"10.1111/j.1365-2850.2006.01007.x","ISSN":"1351-0126, 1365-2850","issue":"4","journalAbbreviation":"J Psychiatr Ment Health Nurs","language":"en","page":"464-467","source":"DOI.org (Crossref)","title":"Incorporation of the tidal model into the interdisciplinary plan of care - a program quality improvement project","volume":"13","author":[{"family":"Berger","given":"J. L."}],"issued":{"date-parts":[["2006",8]]}}},{"id":141,"uris":["http://zotero.org/groups/5103846/items/JXUCESUS"],"itemData":{"id":141,"type":"article-journal","container-title":"Mental Health Practice","DOI":"10.7748/mhp2002.05.5.8.29.c1721","ISSN":"1465-8720, 2047-895X","issue":"8","journalAbbreviation":"Mental Health Practice","language":"en","page":"29-37","source":"DOI.org (Crossref)","title":"The Tidal Model: the questions answered","title-short":"The Tidal Model","volume":"5","author":[{"family":"Stevenson","given":"Chris"},{"family":"Fletcher","given":"Elaine"}],"issued":{"date-parts":[["2002",5]]}}},{"id":140,"uris":["http://zotero.org/groups/5103846/items/F9QTTBKR"],"itemData":{"id":140,"type":"article-journal","container-title":"Journal of Psychiatric and Mental Health Nursing","DOI":"10.1111/j.1365-2850.2005.00872.x","ISSN":"1351-0126, 1365-2850","issue":"5","journalAbbreviation":"J Psychiatr Ment Health Nurs","language":"en","page":"536-540","source":"DOI.org (Crossref)","title":"The tidal model as experienced by patients and nurses in a regional forensic unit","volume":"12","author":[{"family":"Cook","given":"N. R."},{"family":"Phillips","given":"B. N."},{"family":"Sadler","given":"D."}],"issued":{"date-parts":[["2005",10]]}}},{"id":382,"uris":["http://zotero.org/groups/5103846/items/E23GFN5V"],"itemData":{"id":382,"type":"article-journal","container-title":"Nursing Times","issue":"22","page":"44-45","title":"The use of refocusing in acute psychiatric care.","volume":"98","author":[{"family":"Bowles","given":"N"},{"family":"Dodds","given":"P."}],"issued":{"date-parts":[["2002"]]}}},{"id":525,"uris":["http://zotero.org/groups/5103846/items/RP7BMDWV"],"itemData":{"id":525,"type":"article-journal","abstract":"Abstract\n            Experiences of trauma in childhood and adulthood are highly prevalent among service users accessing acute, crisis, emergency, and residential mental health services. These settings, and restraint and seclusion practices used, can be extremely traumatic, leading to a growing awareness for the need for trauma informed care (TIC). The aim of TIC is to acknowledge the prevalence and impact of trauma and create a safe environment to prevent re-traumatisation. This scoping review maps the TIC approaches delivered in these settings and reports related service user and staff experiences and attitudes, staff wellbeing, and service use outcomes.\n            We searched seven databases (EMBASE; PsycINFO; MEDLINE; Web of Science; Social Policy and Practice; Maternity and Infant Care Database; Cochrane Library Trials Register) between 24/02/2022-10/03/2022, used backwards and forwards citation tracking, and consulted academic and lived experience experts, identifying 4244 potentially relevant studies. Thirty-one studies were included.\n            Most studies (n = 23) were conducted in the USA and were based in acute mental health services (n = 16). We identified few trials, limiting inferences that can be drawn from the findings. The Six Core Strategies (n = 7) and the Sanctuary Model (n = 6) were the most commonly reported approaches. Rates of restraint and seclusion reportedly decreased. Some service users reported feeling trusted and cared for, while staff reported feeling empathy for service users and having a greater understanding of trauma. Staff reported needing training to deliver TIC effectively.\n            TIC principles should be at the core of all mental health service delivery. Implementing TIC approaches may integrate best practice into mental health care, although significant time and financial resources are required to implement organisational change at scale. Most evidence is preliminary in nature, and confined to acute and residential services, with little evidence on community crisis or emergency services. Clinical and research developments should prioritise lived experience expertise in addressing these gaps.","container-title":"BMC Psychiatry","DOI":"10.1186/s12888-023-05016-z","ISSN":"1471-244X","issue":"1","journalAbbreviation":"BMC Psychiatry","language":"en","page":"567","source":"DOI.org (Crossref)","title":"A scoping review of trauma informed approaches in acute, crisis, emergency, and residential mental health care","volume":"23","author":[{"family":"Saunders","given":"Katherine R. K."},{"family":"McGuinness","given":"Elizabeth"},{"family":"Barnett","given":"Phoebe"},{"family":"Foye","given":"Una"},{"family":"Sears","given":"Jessica"},{"family":"Carlisle","given":"Sophie"},{"family":"Allman","given":"Felicity"},{"family":"Tzouvara","given":"Vasiliki"},{"family":"Schlief","given":"Merle"},{"family":"Vera San Juan","given":"Norha"},{"family":"Stuart","given":"Ruth"},{"family":"Griffiths","given":"Jessica"},{"family":"Appleton","given":"Rebecca"},{"family":"McCrone","given":"Paul"},{"family":"Rowan Olive","given":"Rachel"},{"family":"Nyikavaranda","given":"Patrick"},{"family":"Jeynes","given":"Tamar"},{"family":"K","given":"T."},{"family":"Mitchell","given":"Lizzie"},{"family":"Simpson","given":"Alan"},{"family":"Johnson","given":"Sonia"},{"family":"Trevillion","given":"Kylee"}],"issued":{"date-parts":[["2023",8,7]]}}},{"id":566,"uris":["http://zotero.org/groups/5103846/items/HB4UK3X3"],"itemData":{"id":566,"type":"webpage","title":"Mersey Care NHS Foundation Trust website","URL":"https://www.merseycare.nhs.uk/hopes-model","issued":{"literal":"n.d."}}}],"schema":"https://github.com/citation-style-language/schema/raw/master/csl-citation.json"}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(1,52–64)</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They prioritise person-centred care, collaboration, prevention of crises and minimisation of risk. These models emphasise </w:t>
      </w:r>
      <w:r w:rsidRPr="00F472D7">
        <w:rPr>
          <w:rFonts w:ascii="Arial" w:eastAsia="Calibri" w:hAnsi="Arial" w:cs="Arial"/>
          <w:color w:val="000000" w:themeColor="text1"/>
          <w:lang w:val="en-GB"/>
        </w:rPr>
        <w:lastRenderedPageBreak/>
        <w:t xml:space="preserve">therapeutic relationships, recovery-oriented environments and staff training. ‘Drug-free and minimal medication wards’ in Norway also offer an alternative therapeutic approach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{"citationID":"TJXOj70d","properties":{"formattedCitation":"(65)","plainCitation":"(65)","noteIndex":0},"citationItems":[{"id":148,"uris":["http://zotero.org/groups/5103846/items/WUYHJZLC"],"itemData":{"id":148,"type":"article-journal","abstract":"Introduction:\n              Debates about coercive practices have challenged a traditional biomedical hegemony in mental health care. The perspectives of service user organizations have gained considerable ground, such as in the development of the Convention on the Rights of Persons with Disabilities. Such changes are often contested, and might in practice be a result of (implicit) negotiation between stakeholders with different discursive positions. To improve understanding of such processes, and how discursive positions may manifest and interact, we analyzed texts published over a 10 year period related to the introduction of medication-free inpatient services in Norway.\n            \n            \n              Methods:\n              We conducted qualitative analyses of 36 policy documents related to the introduction of medication-free services and 75 opinion pieces from a subsequent debate. We examined discursive practices in these texts as expressions of what is perceived as legitimate knowledge upon which to base mental health care from the standpoints of government, user organizations and representatives of the psychiatric profession. We paid particular attention to how standpoints were framed in different discourse surrounding mental health care, and how these interacted and changed during the study period (2008–2018).\n            \n            \n              Results:\n              The analysis shows how elements from the discourse promoted by service user organizations—most notably the legitimacy of personal experiences as a legitimate source of knowledge—entered the mainstream by being incorporated into public policy. Strong reactions to this shift, firmly based in biomedical discourse, endorsed evidence-based medicine as the authoritative source of knowledge to ensure quality care, although accepting patient involvement. Involuntary medication, and how best to help those with non-response to antipsychotic medication represented a point at which discursive positions seemed irreconcilable.\n            \n            \n              Conclusion:\n              The relative authorities of different sources of knowledge remain an area of contention, and especially in determining how best to help patients who do not benefit from antipsychotics. Future non-inferiority trials of medication-free services may go some way to break this discursive deadlock.","container-title":"Frontiers in Psychiatry","DOI":"10.3389/fpsyt.2021.685024","ISSN":"1664-0640","journalAbbreviation":"Front. Psychiatry","page":"685024","source":"DOI.org (Crossref)","title":"The Introduction of Medication-Free Mental Health Services in Norway: An Analysis of the Framing and Impact of Arguments From Different Standpoints","title-short":"The Introduction of Medication-Free Mental Health Services in Norway","volume":"12","author":[{"family":"Nyttingnes","given":"Olav"},{"family":"Rugkåsa","given":"Jorun"}],"issued":{"date-parts":[["2021",7,19]]}}}],"schema":"https://github.com/citation-style-language/schema/raw/master/csl-citation.json"}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(65)</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p>
    <w:p w14:paraId="48FAC2BF"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570DE7FC" w14:textId="0506C183"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‘Brief Admission’ (BA) and ‘Preventative Admission’ (PA) are two distinct models which have been implemented on standard psychiatric wards, which aim to proactively reduce crises and inpatient admissions through contracting admissions. The BA self-referral model allows individuals with emotional instability and/or a history of repeated self-harm to hospitalise themselves in a pre-negotiated way, in line with a contract created with clinicians at a time of non-crisis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{"citationID":"gctfHsKA","properties":{"formattedCitation":"(66)","plainCitation":"(66)","noteIndex":0},"citationItems":[{"id":149,"uris":["http://zotero.org/groups/5103846/items/WMQLWRLP"],"itemData":{"id":149,"type":"article-journal","container-title":"JAMA Network Open","DOI":"10.1001/jamanetworkopen.2019.5463","ISSN":"2574-3805","issue":"6","journalAbbreviation":"JAMA Netw Open","language":"en","page":"e195463","source":"DOI.org (Crossref)","title":"Effect of Brief Admission to Hospital by Self-referral for Individuals Who Self-harm and Are at Risk of Suicide: A Randomized Clinical Trial","title-short":"Effect of Brief Admission to Hospital by Self-referral for Individuals Who Self-harm and Are at Risk of Suicide","volume":"2","author":[{"family":"Westling","given":"Sofie"},{"family":"Daukantaite","given":"Daiva"},{"family":"Liljedahl","given":"Sophie I."},{"family":"Oh","given":"Youngha"},{"family":"Westrin","given":"Åsa"},{"family":"Flyckt","given":"Lena"},{"family":"Helleman","given":"Marjolein"}],"issued":{"date-parts":[["2019",6,7]]}}}],"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(66)</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In contrast, the PA model involves pre-arranged admissions over a longer period of time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{"citationID":"RLFSKc3S","properties":{"formattedCitation":"(67)","plainCitation":"(67)","noteIndex":0},"citationItems":[{"id":153,"uris":["http://zotero.org/groups/5103846/items/N93BX4J5"],"itemData":{"id":153,"type":"article-journal","container-title":"Perspectives in Psychiatric Care","DOI":"10.1111/j.1744-6163.2010.00248.x","ISSN":"00315990, 17446163","issue":"2","language":"en","page":"127-134","source":"DOI.org (Crossref)","title":"Preventive Psychiatric Admission for Patients With Borderline Personality Disorder: A Pilot Study","title-short":"Preventive Psychiatric Admission for Patients With Borderline Personality Disorder","volume":"46","author":[{"family":"Koekkoek","given":"Bauke"},{"family":"Snoek","given":"René","non-dropping-particle":"van der"},{"family":"Oosterwijk","given":"Kees"},{"family":"Meijel","given":"Berno","non-dropping-particle":"van"}],"issued":{"date-parts":[["2010",4]]}}}],"schema":"https://github.com/citation-style-language/schema/raw/master/csl-citation.json"}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(67)</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As such, these two service models are distinct from ‘short stay acute inpatient wards’ (described above). </w:t>
      </w:r>
    </w:p>
    <w:p w14:paraId="4B899D24"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795E4BCF"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i/>
          <w:iCs/>
          <w:color w:val="000000" w:themeColor="text1"/>
          <w:lang w:val="en-GB"/>
        </w:rPr>
        <w:t>Inpatient wards for specific groups</w:t>
      </w:r>
    </w:p>
    <w:p w14:paraId="318F4D52" w14:textId="0DA03852"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Specialist inpatient services are designed to meet the needs of specific groups such as people who are deaf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{"citationID":"viXVtjjC","properties":{"formattedCitation":"(68)","plainCitation":"(68)","noteIndex":0},"citationItems":[{"id":506,"uris":["http://zotero.org/groups/5103846/items/IF7VM62D"],"itemData":{"id":506,"type":"document","publisher":"The Royal College of Psychiatrists","title":"Standards for Adult Inpatient Mental Health Services for Deaf People","URL":"https://www.rcpsych.ac.uk/docs/default-source/improving-care/ccqi/quality-networks/deaf-services-qnmhd/qnmhd_standards_2nd_edition_2015.pdf?sfvrsn=b9b9be33_2","editor":[{"family":"Souza","given":"Renata"},{"family":"Palmer","given":"Lucy"},{"family":"Tarant","given":"Eryna"},{"family":"Kaselionyte","given":"Justina"}],"issued":{"date-parts":[["2015"]]}}}],"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(68)</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or people with specific psychiatric diagnoses (e.g., eating disorders, “personality disorders”, early psychosis). </w:t>
      </w:r>
      <w:r>
        <w:rPr>
          <w:rFonts w:ascii="Arial" w:eastAsia="Calibri" w:hAnsi="Arial" w:cs="Arial"/>
          <w:color w:val="000000" w:themeColor="text1"/>
          <w:lang w:val="en-GB"/>
        </w:rPr>
        <w:t xml:space="preserve">These services aim to provide specialised care to these groups, compared to the more generic care provided by standard inpatient wards. </w:t>
      </w:r>
      <w:r w:rsidRPr="00F472D7">
        <w:rPr>
          <w:rFonts w:ascii="Arial" w:eastAsia="Calibri" w:hAnsi="Arial" w:cs="Arial"/>
          <w:color w:val="000000" w:themeColor="text1"/>
          <w:lang w:val="en-GB"/>
        </w:rPr>
        <w:t xml:space="preserve">Inpatient services for people diagnosed with a “personality disorder” employ therapies like dialectical behavioural therapy or mentalisation-based treatment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{"citationID":"O6hOY5dy","properties":{"formattedCitation":"(69\\uc0\\u8211{}71)","plainCitation":"(69–71)","noteIndex":0},"citationItems":[{"id":371,"uris":["http://zotero.org/groups/5103846/items/9HCA4FIK"],"itemData":{"id":371,"type":"webpage","title":"Cygnet Health Website","URL":"https://www.cygnethealth.co.uk/services/personality-disorder/","issued":{"literal":"n.d."}}},{"id":147,"uris":["http://zotero.org/groups/5103846/items/DUMLTLTK"],"itemData":{"id":147,"type":"article-journal","container-title":"Cureus","DOI":"10.7759/cureus.33935","ISSN":"2168-8184","language":"en","source":"DOI.org (Crossref)","title":"The Impact of Stopping Risk Assessment Checklists at a Specialist Personality Disorder Unit","URL":"https://www.cureus.com/articles/106062-the-impact-of-stopping-risk-assessment-checklists-at-a-specialist-personality-disorder-unit","author":[{"family":"Yue","given":"Adelaide C"},{"family":"Philbey","given":"Alasdair W"},{"family":"Crawford","given":"Owen A"},{"family":"Zimbron","given":"Jorge"}],"accessed":{"date-parts":[["2023",6,23]]},"issued":{"date-parts":[["2023",1,18]]}}},{"id":370,"uris":["http://zotero.org/groups/5103846/items/K7QP8CE2"],"itemData":{"id":370,"type":"webpage","title":"West London NHS Trust Website","URL":"https://www.westlondon.nhs.uk/our-services/adult/mental-health-services/cassel-hospital","issued":{"literal":"n.d."}}}],"schema":"https://github.com/citation-style-language/schema/raw/master/csl-citation.json"}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(69–71)</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Specialist eating disorder wards focus on medical stabilisation, nutritional rehabilitation, psychotherapy and developing effective coping skills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{"citationID":"blPNsLnt","properties":{"formattedCitation":"(11,72)","plainCitation":"(11,72)","noteIndex":0},"citationItems":[{"id":344,"uris":["http://zotero.org/groups/5103846/items/Y8KQNLQJ"],"itemData":{"id":344,"type":"article-journal","container-title":"World Journal of Psychiatry","DOI":"10.5498/wjp.v5.i1.147","ISSN":"2220-3206","issue":"1","journalAbbreviation":"WJP","language":"en","page":"147","source":"DOI.org (Crossref)","title":"Systematic review of evidence for different treatment settings in anorexia nervosa","volume":"5","author":[{"family":"Madden","given":"Sloane"},{"family":"Hay","given":"P"},{"family":"Touyz","given":"S"}],"issued":{"date-parts":[["2015"]]}}},{"id":340,"uris":["http://zotero.org/groups/5103846/items/MLXQTSMK"],"itemData":{"id":340,"type":"article-journal","container-title":"International Journal of Eating Disorders","DOI":"10.1002/eat.23322","ISSN":"0276-3478, 1098-108X","issue":"8","journalAbbreviation":"Int J Eat Disord","language":"en","page":"1280-1302","source":"DOI.org (Crossref)","title":"Treatment interventions for Severe and Enduring Eating Disorders: Systematic review","title-short":"Treatment interventions for Severe and Enduring Eating Disorders","volume":"53","author":[{"family":"Kotilahti","given":"Emilia"},{"family":"West","given":"Madeline"},{"family":"Isomaa","given":"Rasmus"},{"family":"Karhunen","given":"Leila"},{"family":"Rocks","given":"Tetyana"},{"family":"Ruusunen","given":"Anu"}],"issued":{"date-parts":[["2020",8]]}}}],"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(11,72)</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Early psychosis wards aim to provide timely intervention and comprehensive treatment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{"citationID":"Yda9oeA4","properties":{"formattedCitation":"(73,74)","plainCitation":"(73,74)","noteIndex":0},"citationItems":[{"id":159,"uris":["http://zotero.org/groups/5103846/items/XJMUUZN2"],"itemData":{"id":159,"type":"article-journal","abstract":"Abstract\n            \n              The objective of the study was to investigate the development of clinical outcomes of young people with early psychosis in a specialized inpatient treatment and assess the feasibility of such an intervention in an inpatient setting. The study was a prospective cohort study of patients with early psychosis treated at the specialized inpatient treatment “Fühinterventions-und Therapiezentrum, FRITZ” (early intervention and therapy center) in Berlin, Germany. The primary outcomes were attitudes towards psychiatric medication and patient satisfaction with treatment after 6 weeks. Secondary outcomes were clinical symptoms, functioning, remission, recovery, all-cause treatment discontinuation, and rehospitalisation at 6 and 12 months after inpatient treatment. We recruited 95 inpatients with early psychosis. Attitudes towards psychiatric medication (Δ\n              6weeks\n               = 3.00,\n              d\n              6weeks\n               = 0.55; Δ\n              6mo\n               = 2.15,\n              d\n              6mo\n               = 0.35; Δ\n              12mo\n               = 3.03,\n              d\n              12mo\n               = 0.52) and patient satisfaction (Δ\n              6weeks\n               = 0.21,\n              d\n              6weeks\n               = 0.40; Δ\n              6mo\n               = 0.32,\n              d\n              6mo\n               = 0.43; Δ\n              12mo\n               = 0.13,\n              d\n              12mo\n               = 0.17) changed with medium effect sizes at six weeks up to a 6- and 12-month follow-up. Clinical outcomes changed significantly with medium-to-large-effect sizes over 12 months CGI\n              Δ12mo\n               = 1.64,\n              d\n              12mo\n               = −1.12; PANSS total\n              Δ12mo\n               = 20.10,\n              d\n              12mo\n               = −0.76; GAF\n              Δ12mo\n               = 19.58,\n              d\n              12mo\n               = 1.25). The all-cause treatment discontinuation rate was 13.69% (\n              n\n               = 13) at a 6-month and 35.79% (\n              n\n               = 34) at a 12-month follow-up. The rehospitalization rate was 30.53% (\n              n\n               = 29) at a 6-month and 43.16% (\n              n\n               = 41) at a 12-month follow-up. Patients with specialized inpatient treatment for early psychosis showed improvements in attitude towards psychiatric medication, patient satisfaction, symptoms, and functioning for up to 12 months.\n            \n            \n              Trial registration\n              : DRKS00024351, 2021/02/11 retrospectively registered.","container-title":"European Archives of Psychiatry and Clinical Neuroscience","DOI":"10.1007/s00406-022-01379-8","ISSN":"0940-1334, 1433-8491","issue":"7","journalAbbreviation":"Eur Arch Psychiatry Clin Neurosci","language":"en","page":"1-14","source":"DOI.org (Crossref)","title":"Specialized inpatient treatment for young people with early psychosis: acute-treatment and 12-month results","title-short":"Specialized inpatient treatment for young people with early psychosis","volume":"272","author":[{"family":"Siebert","given":"Stefan"},{"family":"Leopold","given":"Karolina"},{"family":"Baumgardt","given":"Johanna"},{"family":"Hardenberg","given":"Laura-Sophie","non-dropping-particle":"von"},{"family":"Burkhardt","given":"Eva"},{"family":"Bechdolf","given":"Andreas"}],"issued":{"date-parts":[["2022",10]]}}},{"id":509,"uris":["http://zotero.org/groups/5103846/items/CN2SGX88"],"itemData":{"id":509,"type":"webpage","title":"Crisis and Critical Care Unit 5 Early Psychosis Unit (EPU - CCC5)","URL":"https://www.camh.ca/en/your-care/programs-and-services/crisis-and-critical-care-unit-5#:~:text=The%20Early%20Psychosis%20Unit%20(EPU)%20is%20a%20specialist%20inpatient%20unit,mental%20health%20issues%20with%20psychosis.","author":[{"family":"CAMH","given":""}],"issued":{"literal":"n.d."}}}],"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(73,74)</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r>
        <w:rPr>
          <w:rFonts w:ascii="Arial" w:eastAsia="Calibri" w:hAnsi="Arial" w:cs="Arial"/>
          <w:color w:val="000000" w:themeColor="text1"/>
          <w:lang w:val="en-GB"/>
        </w:rPr>
        <w:t xml:space="preserve"> </w:t>
      </w:r>
    </w:p>
    <w:p w14:paraId="619605D9"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536B4579" w14:textId="317D79D8" w:rsidR="00693812" w:rsidRPr="00F472D7" w:rsidRDefault="00693812" w:rsidP="00693812">
      <w:pPr>
        <w:pStyle w:val="Heading3"/>
        <w:rPr>
          <w:lang w:val="en-GB"/>
        </w:rPr>
      </w:pPr>
      <w:r>
        <w:rPr>
          <w:lang w:val="en-GB"/>
        </w:rPr>
        <w:t>1.3.</w:t>
      </w:r>
      <w:r w:rsidRPr="00F472D7">
        <w:rPr>
          <w:lang w:val="en-GB"/>
        </w:rPr>
        <w:t xml:space="preserve"> Cross-setting approaches</w:t>
      </w:r>
    </w:p>
    <w:p w14:paraId="55552585" w14:textId="77777777" w:rsidR="00693812" w:rsidRPr="00F472D7" w:rsidRDefault="00693812" w:rsidP="00693812">
      <w:pPr>
        <w:spacing w:after="0" w:line="480" w:lineRule="auto"/>
        <w:jc w:val="both"/>
        <w:rPr>
          <w:rFonts w:ascii="Arial" w:eastAsiaTheme="majorEastAsia" w:hAnsi="Arial" w:cs="Arial"/>
          <w:color w:val="1F3763"/>
          <w:sz w:val="24"/>
          <w:szCs w:val="24"/>
          <w:lang w:val="en-GB"/>
        </w:rPr>
      </w:pPr>
    </w:p>
    <w:p w14:paraId="3E8D551B" w14:textId="77777777" w:rsidR="00693812" w:rsidRPr="00F472D7" w:rsidRDefault="00693812" w:rsidP="00693812">
      <w:pPr>
        <w:spacing w:after="0" w:line="480" w:lineRule="auto"/>
        <w:jc w:val="both"/>
        <w:rPr>
          <w:rFonts w:ascii="Arial" w:eastAsiaTheme="minorEastAsia" w:hAnsi="Arial" w:cs="Arial"/>
          <w:lang w:val="en-GB"/>
        </w:rPr>
      </w:pPr>
      <w:r w:rsidRPr="00F472D7">
        <w:rPr>
          <w:rFonts w:ascii="Arial" w:eastAsiaTheme="minorEastAsia" w:hAnsi="Arial" w:cs="Arial"/>
          <w:lang w:val="en-GB"/>
        </w:rPr>
        <w:t xml:space="preserve">These approaches can be applied across a range of settings and stages in care pathways and include elements that are expected to reduce dependence on acute care. </w:t>
      </w:r>
    </w:p>
    <w:p w14:paraId="4F06B4F7" w14:textId="77777777" w:rsidR="00693812" w:rsidRPr="00F472D7" w:rsidRDefault="00693812" w:rsidP="00693812">
      <w:pPr>
        <w:spacing w:after="0" w:line="480" w:lineRule="auto"/>
        <w:jc w:val="both"/>
        <w:rPr>
          <w:rFonts w:ascii="Arial" w:eastAsiaTheme="minorEastAsia" w:hAnsi="Arial" w:cs="Arial"/>
          <w:lang w:val="en-GB"/>
        </w:rPr>
      </w:pPr>
    </w:p>
    <w:p w14:paraId="4F593E7F" w14:textId="0E0815F9"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lang w:val="en-GB"/>
        </w:rPr>
        <w:t>‘The Sanctuary model’, ‘Enabling Environments’, ‘Therapeutic C</w:t>
      </w:r>
      <w:r w:rsidRPr="00F472D7">
        <w:rPr>
          <w:rFonts w:ascii="Arial" w:eastAsia="Calibri" w:hAnsi="Arial" w:cs="Arial"/>
          <w:color w:val="000000" w:themeColor="text1"/>
          <w:lang w:val="en-GB"/>
        </w:rPr>
        <w:t xml:space="preserve">ommunities’ and ‘Democratic Therapeutic Communities’ (DTCs) are approaches that aim to create supportive environments for people experiencing mental health difficulties, including those in crisis. The ‘Sanctuary Model’ focuses on creating trauma-informed environments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{"citationID":"Oo5EjmOh","properties":{"formattedCitation":"(63,75)","plainCitation":"(63,75)","noteIndex":0},"citationItems":[{"id":381,"uris":["http://zotero.org/groups/5103846/items/VTKCFTII"],"itemData":{"id":381,"type":"webpage","title":"The Sanctuary Institute","URL":"https://www.thesanctuaryinstitute.org/about-us/the-sanctuary-model/"}},{"id":525,"uris":["http://zotero.org/groups/5103846/items/RP7BMDWV"],"itemData":{"id":525,"type":"article-journal","abstract":"Abstract\n            Experiences of trauma in childhood and adulthood are highly prevalent among service users accessing acute, crisis, emergency, and residential mental health services. These settings, and restraint and seclusion practices used, can be extremely traumatic, leading to a growing awareness for the need for trauma informed care (TIC). The aim of TIC is to acknowledge the prevalence and impact of trauma and create a safe environment to prevent re-traumatisation. This scoping review maps the TIC approaches delivered in these settings and reports related service user and staff experiences and attitudes, staff wellbeing, and service use outcomes.\n            We searched seven databases (EMBASE; PsycINFO; MEDLINE; Web of Science; Social Policy and Practice; Maternity and Infant Care Database; Cochrane Library Trials Register) between 24/02/2022-10/03/2022, used backwards and forwards citation tracking, and consulted academic and lived experience experts, identifying 4244 potentially relevant studies. Thirty-one studies were included.\n            Most studies (n = 23) were conducted in the USA and were based in acute mental health services (n = 16). We identified few trials, limiting inferences that can be drawn from the findings. The Six Core Strategies (n = 7) and the Sanctuary Model (n = 6) were the most commonly reported approaches. Rates of restraint and seclusion reportedly decreased. Some service users reported feeling trusted and cared for, while staff reported feeling empathy for service users and having a greater understanding of trauma. Staff reported needing training to deliver TIC effectively.\n            TIC principles should be at the core of all mental health service delivery. Implementing TIC approaches may integrate best practice into mental health care, although significant time and financial resources are required to implement organisational change at scale. Most evidence is preliminary in nature, and confined to acute and residential services, with little evidence on community crisis or emergency services. Clinical and research developments should prioritise lived experience expertise in addressing these gaps.","container-title":"BMC Psychiatry","DOI":"10.1186/s12888-023-05016-z","ISSN":"1471-244X","issue":"1","journalAbbreviation":"BMC Psychiatry","language":"en","page":"567","source":"DOI.org (Crossref)","title":"A scoping review of trauma informed approaches in acute, crisis, emergency, and residential mental health care","volume":"23","author":[{"family":"Saunders","given":"Katherine R. K."},{"family":"McGuinness","given":"Elizabeth"},{"family":"Barnett","given":"Phoebe"},{"family":"Foye","given":"Una"},{"family":"Sears","given":"Jessica"},{"family":"Carlisle","given":"Sophie"},{"family":"Allman","given":"Felicity"},{"family":"Tzouvara","given":"Vasiliki"},{"family":"Schlief","given":"Merle"},{"family":"Vera San Juan","given":"Norha"},{"family":"Stuart","given":"Ruth"},{"family":"Griffiths","given":"Jessica"},{"family":"Appleton","given":"Rebecca"},{"family":"McCrone","given":"Paul"},{"family":"Rowan Olive","given":"Rachel"},{"family":"Nyikavaranda","given":"Patrick"},{"family":"Jeynes","given":"Tamar"},{"family":"K","given":"T."},{"family":"Mitchell","given":"Lizzie"},{"family":"Simpson","given":"Alan"},{"family":"Johnson","given":"Sonia"},{"family":"Trevillion","given":"Kylee"}],"issued":{"date-parts":[["2023",8,7]]}}}],"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(63,75)</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whilst ‘Therapeutic Communities’ are structured environments based on shared values such as attachment and respect, promoting recovery through social relationships and activities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{"citationID":"feVmZnGI","properties":{"formattedCitation":"(76)","plainCitation":"(76)","noteIndex":0},"citationItems":[{"id":430,"uris":["http://zotero.org/groups/5103846/items/JUEK2H4W"],"itemData":{"id":430,"type":"webpage","title":"The Consortium for Therapeutic Communities","URL":"https://therapeuticcommunities.org/","author":[{"family":"The Consortium for Therapeutic Communities","given":""}],"issued":{"date-parts":[["2022"]]}}}],"schema":"https://github.com/citation-style-language/schema/raw/master/csl-citation.json"}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(76)</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DTCs are a type of therapeutic community based on the principles of democratic decision making, communal sharing, permissiveness with consequences, and reality confrontation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{"citationID":"rkjZsdqO","properties":{"formattedCitation":"(77,78)","plainCitation":"(77,78)","noteIndex":0},"citationItems":[{"id":115,"uris":["http://zotero.org/groups/5103846/items/PIXG88W7"],"itemData":{"id":115,"type":"chapter","container-title":"The Cambridge Handbook of Forensic Psychology","edition":"1","ISBN":"978-0-511-73029-0","note":"DOI: 10.1017/CBO9780511730290.053","page":"423-433","publisher":"Cambridge University Press","source":"DOI.org (Crossref)","title":"Therapeutic communities","URL":"https://www.cambridge.org/core/product/identifier/9780511730290%23c87809-6482/type/book_part","editor":[{"family":"Brown","given":"Jennifer M."},{"family":"Campbell","given":"Elizabeth A."}],"author":[{"family":"Warren","given":"Fiona"}],"accessed":{"date-parts":[["2023",6,23]]},"issued":{"date-parts":[["2010",4,29]]}}},{"id":476,"uris":["http://zotero.org/groups/5103846/items/PG45LERI"],"itemData":{"id":476,"type":"article-journal","container-title":"Psychiatric Quarterly","DOI":"10.1023/B:PSAQ.0000031795.54790.26","ISSN":"0033-2720","issue":"3","journalAbbreviation":"Psychiatr Q","language":"en","page":"249-261","source":"DOI.org (Crossref)","title":"The Art and Challenges of Long-Term and Short-Term Democratic Therapeutic Communities","volume":"75","author":[{"family":"Norton","given":"Kingsley"},{"family":"Bloom","given":"Sandra L."}],"issued":{"date-parts":[["2004"]]}}}],"schema":"https://github.com/citation-style-language/schema/raw/master/csl-citation.json"}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(77,78)</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‘Enabling Environments’ similarly aim to prioritise positive social environments for recovery and community integration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{"citationID":"tKufpgGX","properties":{"formattedCitation":"(79)","plainCitation":"(79)","noteIndex":0},"citationItems":[{"id":427,"uris":["http://zotero.org/groups/5103846/items/NTKBD45C"],"itemData":{"id":427,"type":"webpage","title":"Enabling Environments (EE)","URL":"https://www.rcpsych.ac.uk/improving-care/ccqi/quality-networks-accreditation/enabling-environments-network-ee","author":[{"family":"Royal College of Psychiatrists","given":""}],"issued":{"date-parts":[["2023"]]}}}],"schema":"https://github.com/citation-style-language/schema/raw/master/csl-citation.json"}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(79)</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Each of these approaches can be applied in a range of settings, including acute inpatient settings. </w:t>
      </w:r>
    </w:p>
    <w:p w14:paraId="2DBF7504"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24F8DCFE" w14:textId="695FEC53"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‘Need-adapted treatment’ focuses on providing personalised care tailored to individuals’ needs, guided by a psychotherapeutic and family-centred approach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{"citationID":"mvzWMH5A","properties":{"formattedCitation":"(80)","plainCitation":"(80)","noteIndex":0},"citationItems":[{"id":578,"uris":["http://zotero.org/groups/5103846/items/6S2ZRJGL"],"itemData":{"id":578,"type":"article-journal","container-title":"Acta Psychiatrica Scandinavica","DOI":"10.1111/j.1600-0447.1991.tb05557.x","ISSN":"0001-690X, 1600-0447","issue":"5","journalAbbreviation":"Acta Psychiatr Scand","language":"en","page":"363-372","source":"DOI.org (Crossref)","title":"Need-adapted treatment of new schizophrenic patients: experiences and results of the Turku Project","title-short":"Need-adapted treatment of new schizophrenic patients","volume":"83","author":[{"family":"Alanen","given":"Y. O."},{"family":"Lehtinen","given":"K."},{"family":"Räkköläinen","given":"V."},{"family":"Aaltonen","given":"J."}],"issued":{"date-parts":[["1991",5]]}}}],"schema":"https://github.com/citation-style-language/schema/raw/master/csl-citation.json"}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(80)</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It can be applied across different contexts</w:t>
      </w:r>
      <w:r>
        <w:rPr>
          <w:rFonts w:ascii="Arial" w:eastAsia="Calibri" w:hAnsi="Arial" w:cs="Arial"/>
          <w:color w:val="000000" w:themeColor="text1"/>
          <w:lang w:val="en-GB"/>
        </w:rPr>
        <w:t>, including those providing crisis support</w:t>
      </w:r>
      <w:r w:rsidRPr="00F472D7">
        <w:rPr>
          <w:rFonts w:ascii="Arial" w:eastAsia="Calibri" w:hAnsi="Arial" w:cs="Arial"/>
          <w:color w:val="000000" w:themeColor="text1"/>
          <w:lang w:val="en-GB"/>
        </w:rPr>
        <w:t xml:space="preserve">. Two examples of its implementation were identified - the ‘Swedish Parachute Project’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I7q0bLpF","properties":{"formattedCitation":"(81\\uc0\\u8211{}83)","plainCitation":"(81–83)","noteIndex":0},"citationItems":[{"id":"pnuyFmyJ/qDzc5SPc","uris":["http://zotero.org/users/9548222/items/F8V3ET4U"],"itemData":{"id":1052,"type":"article-journal","abstract":"Every first episode functional psychosis patient (DSM-IV), age 18-45, with no dominating abuse, and living in an inner city area of 95,000 inhabitants have been treated as far as possible in accordance with the concept of \"need adapted treatment\" as formulated by Alanen et al 1991. Today about 70 patients have been treated and followed up with different clinical, psychological, and medical methods. The project group to be considered here consists of the first 32 patients, followed up during approximately 3 years. A retrospective comparison group was collected from the same area and from 2 more areas, with the same inclusion criteria. Their first psychotic episode was actualized 1-2 years before the project group was started and 72 cases were collected via records, personal questioning and databases. The outcome regarding in patient care and neuroleptic consumption, work and sickness data could be assessed for this group.\nRESULTS: In the project group 7/18 patients with schizophrenia diagnoses were free of positive or negative symptoms at follow up. In the non-schizophrenia psychosis group 11/14 had no psychotic symptoms. The mean in patient care consumption was considerably lower than that of the comparison group. 45% of the patients in the project group were on a neuroleptic prescription at the 3-year follow up vs. 71% of the comparison group. For those on a neuroleptic prescription the mean dosage at follow-up was 62 mgm chlorpromazine-eqv/day, vs. 192 mgm for comparison group. All the differences are significant. One conclusion to be made is that, provided a psychosocial support, neuroleptic consumption and in patient care can be considerably lowered with no detrimental effects. This is a pilot study lying behind the so-called \"Parachute project\", a Swedish multicenter study, which aims at deepening and broadening the clinical and methodological issues for the care of first episode psychosis patients.","container-title":"Medicinski Arhiv","issue":"3","journalAbbreviation":"Med Arh","language":"eng","note":"PMID: 10546453","page":"167-170","source":"PubMed","title":"Integrating intensive psychosocial therapy and low dose medical treatment in a total material of first episode psychotic patients compared to \"treatment as usual\" a 3 year follow-up","volume":"53","author":[{"family":"Cullberg","given":"J."}],"issued":{"date-parts":[["1999"]]}}},{"id":575,"uris":["http://zotero.org/groups/5103846/items/PUJ32NZX"],"itemData":{"id":575,"type":"article-journal","container-title":"Acta Psychiatrica Scandinavica","DOI":"10.1034/j.1600-0447.2002.02376.x","ISSN":"0001690X","issue":"4","language":"en","page":"276-285","source":"DOI.org (Crossref)","title":"One-year outcome in first episode psychosis patients in the Swedish Parachute project: One-year outcome in first episode psychosis patients","title-short":"One-year outcome in first episode psychosis patients in the Swedish Parachute project","volume":"106","author":[{"family":"Cullberg","given":"J."},{"family":"Levander","given":"S."},{"family":"Holmqvist","given":"R."},{"family":"Mattsson","given":"M."},{"family":"Wieselgren","given":"I.-M."}],"issued":{"date-parts":[["2002",10]]}}},{"id":577,"uris":["http://zotero.org/groups/5103846/items/GHQHIPHV"],"itemData":{"id":577,"type":"article-journal","container-title":"Acta Psychiatrica Scandinavica","DOI":"10.1111/j.1600-0447.2006.00788.x","ISSN":"0001-690X, 1600-0447","issue":"4","journalAbbreviation":"Acta Psychiatr Scand","language":"en","page":"274-281","source":"DOI.org (Crossref)","title":"Treatment costs and clinical outcome for first episode schizophrenia patients: a 3-year follow-up of the Swedish 'Parachute Project' and Two Comparison Groups","title-short":"Treatment costs and clinical outcome for first episode schizophrenia patients","volume":"114","author":[{"family":"Cullberg","given":"J."},{"family":"Mattsson","given":"M."},{"family":"Levander","given":"S."},{"family":"Holmqvist","given":"R."},{"family":"Tomsmark","given":"L."},{"family":"Elingfors","given":"C."},{"family":"Wieselgren","given":"I.-M."}],"issued":{"date-parts":[["2006",10]]}}}],"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(81–83)</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and ‘Acute Psychosis Integrated Treatment’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{"citationID":"8DnckdgW","properties":{"formattedCitation":"(84,85)","plainCitation":"(84,85)","noteIndex":0},"citationItems":[{"id":573,"uris":["http://zotero.org/groups/5103846/items/BAN6MLHA"],"itemData":{"id":573,"type":"article-journal","container-title":"Acta Psychiatrica Scandinavica","DOI":"10.1111/j.1600-0447.1993.tb03337.x","ISSN":"0001-690X, 1600-0447","issue":"2","journalAbbreviation":"Acta Psychiatr Scand","language":"en","page":"96-101","source":"DOI.org (Crossref)","title":"Need-adapted treatment of schizophrenia: a five-year follow-up study from the Turku project","title-short":"Need-adapted treatment of schizophrenia","volume":"87","author":[{"family":"Lehtinen","given":"K."}],"issued":{"date-parts":[["1993",2]]}}},{"id":579,"uris":["http://zotero.org/groups/5103846/items/EWRSR6VU"],"itemData":{"id":579,"type":"article-journal","abstract":"Summary\n            \n              In this multicentre study the two-year outcome of two groups of consecutive patients (total\n              N\n               = 106) with first-episode functional non-affective psychosis, both treated according to the ‘need-specific Finnish model’, which stresses teamwork, patient and family participation and basic psychotherapeutic attitudes, was compared. No alternative treatment facilities were available in the study sites. The two study groups differed in the use of neuroleptics: three of the sites (the experimental group) used a minimal neuroleptic regime whilst the other three (the control group) used neuroleptics according to the usual practice. Total time spent in hospital, occurrence of psychotic symptoms during the last follow-up year, employment, GAS score and the Grip on Life assessment were used as outcome measures. In the experimental group 42.9% of the patients did not receive neuroleptics at all during the whole two-year period, while the corresponding proportion in the control group was 5.9%. The overall outcome of the whole group could be seen as rather favourable. The main result was that the outcome of the experimental group was equal or even somewhat better than that of the control group, also after controlling for age, gender and diagnosis. This indicates that an integrated approach, stressing intensive psychosocial measures, is recommended in the treatment of acute first-episode psychosis.","container-title":"European Psychiatry","DOI":"10.1016/S0924-9338(00)00400-4","ISSN":"0924-9338, 1778-3585","issue":"5","journalAbbreviation":"Eur. psychiatr.","language":"en","page":"312-320","source":"DOI.org (Crossref)","title":"Two-year outcome in first-episode psychosis treated according to an integrated model. Is immediate neuroleptisation always needed?","volume":"15","author":[{"family":"Lehtinen","given":"V."},{"family":"Aaltonen","given":"J."},{"family":"Koffert","given":"T."},{"family":"Räkköläinen","given":"V."},{"family":"Syvälahti","given":"E."}],"issued":{"date-parts":[["2000",8]]}}}],"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(84,85)</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7A42BB23"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6D1216C3" w14:textId="4B0AB568"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‘Open Dialogue’, developed from need-adapted treatment, is a person-centred and network-centred approach to mental health care that involves systemic family therapy and psychodynamic principles. It emphasises open and transparent relationships between staff and service users as well as involving families and support networks, and there is a peer-supported variant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{"citationID":"1FP9LhhZ","properties":{"formattedCitation":"(86,87)","plainCitation":"(86,87)","noteIndex":0},"citationItems":[{"id":572,"uris":["http://zotero.org/groups/5103846/items/F2N4YC4X"],"itemData":{"id":572,"type":"article-journal","abstract":"The need to transform mental health care toward person-centered, recovery-based, and network-oriented care is recognized worldwide. Open Dialogue (OD) is seen as a hopeful approach in the context of this transformation and is introduced in countries around the globe. Five Dutch mental health care organizations spread over the Netherlands introduced the Peer-supported Open Dialogue (POD) approach, which adds an explicit role of peer-support workers to the OD approach. It appeared that (P)OD-trained professionals face issues in introducing the (P)OD approach in existing MHC settings. One of the reasons, which is the focus of this study, may be that they encounter difficulties in explaining to non-(P)OD-trained professionals what (P)OD entails. The main objective of this study is to provide guidance to and contribute to making (P)OD better understandable for non-(P)OD-trained professionals. In this study, we used a qualitative design and conducted 23 semi-structured interviews with POD-trained professionals with various backgrounds, to cultivate a rich understanding of which aspects could contribute to a better understanding of POD for non-POD-trained professionals. We used a hybrid approach to analyze the data, meaning that the technique of both inductive and deductive thematic analyses has been applied. From these analyses, six aspects emerged that could give guidance to and contribute to making (P)OD more understandable for non-(P)OD-trained professionals: (1) Experiencing (P)OD by attending treatment network sessions, (2) a coherent and profound narrative about (P)OD, (3) adjusting terminology to better fit the context, such as the two terms “principles” and “responsibility” in this study, (4) the order in which (P)OD elements are introduced in the narrative, (5) bringing the elements “presence,” “reflecting,” and “expertise by experience” more to the foreground, and (6) conceptualizing the main elements in a “talking paper.” A better understanding of (P)OD might be one of the building blocks for improving (P)OD adoption in existing MHC practices, which are on their way toward person-centered, recovery-based, and network-oriented care.","container-title":"Frontiers in Psychology","DOI":"10.3389/fpsyg.2022.1056071","ISSN":"1664-1078","journalAbbreviation":"Front. Psychol.","page":"1056071","source":"DOI.org (Crossref)","title":"Introducing Peer-supported Open Dialogue in changing mental health care","volume":"13","author":[{"family":"Lorenz-Artz","given":"Karin"},{"family":"Bierbooms","given":"Joyce"},{"family":"Bongers","given":"Inge"}],"issued":{"date-parts":[["2023",1,18]]}}},{"id":163,"uris":["http://zotero.org/groups/5103846/items/WSETHUBF"],"itemData":{"id":163,"type":"article-journal","container-title":"Contemporary Clinical Trials","DOI":"10.1016/j.cct.2021.106664","ISSN":"15517144","journalAbbreviation":"Contemporary Clinical Trials","language":"en","page":"106664","source":"DOI.org (Crossref)","title":"Open Dialogue compared to treatment as usual for adults experiencing a mental health crisis: Protocol for the ODDESSI multi-site cluster randomised controlled trial","title-short":"Open Dialogue compared to treatment as usual for adults experiencing a mental health crisis","volume":"113","author":[{"family":"Pilling","given":"Stephen"},{"family":"Clarke","given":"Katherine"},{"family":"Parker","given":"Georgie"},{"family":"James","given":"Kirsty"},{"family":"Landau","given":"Sabine"},{"family":"Weaver","given":"Timothy"},{"family":"Razzaque","given":"Russell"},{"family":"Craig","given":"Thomas"}],"issued":{"date-parts":[["2022",2]]}}}],"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(86,87)</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r>
        <w:rPr>
          <w:rFonts w:ascii="Arial" w:eastAsia="Calibri" w:hAnsi="Arial" w:cs="Arial"/>
          <w:color w:val="000000" w:themeColor="text1"/>
          <w:lang w:val="en-GB"/>
        </w:rPr>
        <w:t xml:space="preserve">It has been implemented in a variety of contexts, including inpatient mental health settings </w:t>
      </w:r>
      <w:r>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{"citationID":"yYnUN5WW","properties":{"formattedCitation":"(87)","plainCitation":"(87)","noteIndex":0},"citationItems":[{"id":163,"uris":["http://zotero.org/groups/5103846/items/WSETHUBF"],"itemData":{"id":163,"type":"article-journal","container-title":"Contemporary Clinical Trials","DOI":"10.1016/j.cct.2021.106664","ISSN":"15517144","journalAbbreviation":"Contemporary Clinical Trials","language":"en","page":"106664","source":"DOI.org (Crossref)","title":"Open Dialogue compared to treatment as usual for adults experiencing a mental health crisis: Protocol for the ODDESSI multi-site cluster randomised controlled trial","title-short":"Open Dialogue compared to treatment as usual for adults experiencing a mental health crisis","volume":"113","author":[{"family":"Pilling","given":"Stephen"},{"family":"Clarke","given":"Katherine"},{"family":"Parker","given":"Georgie"},{"family":"James","given":"Kirsty"},{"family":"Landau","given":"Sabine"},{"family":"Weaver","given":"Timothy"},{"family":"Razzaque","given":"Russell"},{"family":"Craig","given":"Thomas"}],"issued":{"date-parts":[["2022",2]]}}}],"schema":"https://github.com/citation-style-language/schema/raw/master/csl-citation.json"} </w:instrText>
      </w:r>
      <w:r>
        <w:rPr>
          <w:rFonts w:ascii="Arial" w:eastAsia="Calibri" w:hAnsi="Arial" w:cs="Arial"/>
          <w:color w:val="000000" w:themeColor="text1"/>
          <w:lang w:val="en-GB"/>
        </w:rPr>
        <w:fldChar w:fldCharType="separate"/>
      </w:r>
      <w:r w:rsidR="00937ACD" w:rsidRPr="00937ACD">
        <w:rPr>
          <w:rFonts w:ascii="Arial" w:hAnsi="Arial" w:cs="Arial"/>
        </w:rPr>
        <w:t>(87)</w:t>
      </w:r>
      <w:r>
        <w:rPr>
          <w:rFonts w:ascii="Arial" w:eastAsia="Calibri" w:hAnsi="Arial" w:cs="Arial"/>
          <w:color w:val="000000" w:themeColor="text1"/>
          <w:lang w:val="en-GB"/>
        </w:rPr>
        <w:fldChar w:fldCharType="end"/>
      </w:r>
      <w:r>
        <w:rPr>
          <w:rFonts w:ascii="Arial" w:eastAsia="Calibri" w:hAnsi="Arial" w:cs="Arial"/>
          <w:color w:val="000000" w:themeColor="text1"/>
          <w:lang w:val="en-GB"/>
        </w:rPr>
        <w:t>.</w:t>
      </w:r>
    </w:p>
    <w:p w14:paraId="6A002A27"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235E08FD" w14:textId="1A87AA95"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‘Wraparound with intensive services’ similarly aims to engage multiple systems (e.g., health, social, education and youth justice services) to support and empower people aged 0-20 </w:t>
      </w:r>
      <w:r w:rsidRPr="00F472D7">
        <w:rPr>
          <w:rFonts w:ascii="Arial" w:eastAsia="Calibri" w:hAnsi="Arial" w:cs="Arial"/>
          <w:color w:val="000000" w:themeColor="text1"/>
          <w:lang w:val="en-GB"/>
        </w:rPr>
        <w:lastRenderedPageBreak/>
        <w:t>years old with complex needs and their families</w:t>
      </w:r>
      <w:r>
        <w:rPr>
          <w:rFonts w:ascii="Arial" w:eastAsia="Calibri" w:hAnsi="Arial" w:cs="Arial"/>
          <w:color w:val="000000" w:themeColor="text1"/>
          <w:lang w:val="en-GB"/>
        </w:rPr>
        <w:t xml:space="preserve"> in the community, aiming to avoid out-of-home placements</w:t>
      </w:r>
      <w:r w:rsidRPr="00F472D7">
        <w:rPr>
          <w:rFonts w:ascii="Arial" w:eastAsia="Calibri" w:hAnsi="Arial" w:cs="Arial"/>
          <w:color w:val="000000" w:themeColor="text1"/>
          <w:lang w:val="en-GB"/>
        </w:rPr>
        <w:t xml:space="preserve">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JTYqseUI","properties":{"formattedCitation":"(88\\uc0\\u8211{}90)","plainCitation":"(88–90)","noteIndex":0},"citationItems":[{"id":596,"uris":["http://zotero.org/groups/5103846/items/UX76AB78"],"itemData":{"id":596,"type":"article-journal","container-title":"Journal of the American Academy of Child &amp; Adolescent Psychiatry","DOI":"10.1097/00004583-199911000-00006","ISSN":"08908567","issue":"11","journalAbbreviation":"Journal of the American Academy of Child &amp; Adolescent Psychiatry","language":"en","page":"1331-1339","source":"DOI.org (Crossref)","title":"Home-Based Multisystemic Therapy as an Alternative to the Hospitalization of Youths in Psychiatric Crisis: Clinical Outcomes","title-short":"Home-Based Multisystemic Therapy as an Alternative to the Hospitalization of Youths in Psychiatric Crisis","volume":"38","author":[{"family":"Henggeler","given":"Scott W."},{"family":"Rowland","given":"Melisa D."},{"family":"Randall","given":"Jeff"},{"family":"Ward","given":"David M."},{"family":"Pickrel","given":"Susan G."},{"family":"Cunningham","given":"Phillippe B."},{"family":"Miller","given":"Stacey L."},{"family":"Edwards","given":"James"},{"family":"Zealberg","given":"Joseph J."},{"family":"Hand","given":"Lisa D."},{"family":"Santos","given":"Alberto B."}],"issued":{"date-parts":[["1999",11]]}}},{"id":591,"uris":["http://zotero.org/groups/5103846/items/8V9USWQ3"],"itemData":{"id":591,"type":"article-journal","container-title":"Journal of the American Academy of Child &amp; Adolescent Psychiatry","DOI":"10.1097/01.CHI.0000046834.09750.5F","ISSN":"08908567","issue":"5","journalAbbreviation":"Journal of the American Academy of Child &amp; Adolescent Psychiatry","language":"en","page":"543-551","source":"DOI.org (Crossref)","title":"One</w:instrText>
      </w:r>
      <w:r w:rsidR="00937ACD">
        <w:rPr>
          <w:rFonts w:ascii="Cambria Math" w:eastAsia="Calibri" w:hAnsi="Cambria Math" w:cs="Cambria Math"/>
          <w:color w:val="000000" w:themeColor="text1"/>
          <w:lang w:val="en-GB"/>
        </w:rPr>
        <w:instrText>‐</w:instrText>
      </w:r>
      <w:r w:rsidR="00937ACD">
        <w:rPr>
          <w:rFonts w:ascii="Arial" w:eastAsia="Calibri" w:hAnsi="Arial" w:cs="Arial"/>
          <w:color w:val="000000" w:themeColor="text1"/>
          <w:lang w:val="en-GB"/>
        </w:rPr>
        <w:instrText>Year Follow</w:instrText>
      </w:r>
      <w:r w:rsidR="00937ACD">
        <w:rPr>
          <w:rFonts w:ascii="Cambria Math" w:eastAsia="Calibri" w:hAnsi="Cambria Math" w:cs="Cambria Math"/>
          <w:color w:val="000000" w:themeColor="text1"/>
          <w:lang w:val="en-GB"/>
        </w:rPr>
        <w:instrText>‐</w:instrText>
      </w:r>
      <w:r w:rsidR="00937ACD">
        <w:rPr>
          <w:rFonts w:ascii="Arial" w:eastAsia="Calibri" w:hAnsi="Arial" w:cs="Arial"/>
          <w:color w:val="000000" w:themeColor="text1"/>
          <w:lang w:val="en-GB"/>
        </w:rPr>
        <w:instrText>up of Multisystemic Therapy as an Alternative to the Hospitalization of Youths in Psychiatric Crisis","volume":"42","author":[{"family":"Henggeler","given":"Scott W."},{"family":"Rowland","given":"Melisa D."},{"family":"Halliday</w:instrText>
      </w:r>
      <w:r w:rsidR="00937ACD">
        <w:rPr>
          <w:rFonts w:ascii="Cambria Math" w:eastAsia="Calibri" w:hAnsi="Cambria Math" w:cs="Cambria Math"/>
          <w:color w:val="000000" w:themeColor="text1"/>
          <w:lang w:val="en-GB"/>
        </w:rPr>
        <w:instrText>‐</w:instrText>
      </w:r>
      <w:r w:rsidR="00937ACD">
        <w:rPr>
          <w:rFonts w:ascii="Arial" w:eastAsia="Calibri" w:hAnsi="Arial" w:cs="Arial"/>
          <w:color w:val="000000" w:themeColor="text1"/>
          <w:lang w:val="en-GB"/>
        </w:rPr>
        <w:instrText xml:space="preserve">Boykins","given":"Colleen"},{"family":"Sheidow","given":"Ashli J."},{"family":"Ward","given":"David M."},{"family":"Randall","given":"Jeff"},{"family":"Pickrel","given":"Susan G."},{"family":"Cunningham","given":"Phillippe B."},{"family":"Edwards","given":"James"}],"issued":{"date-parts":[["2003",5]]}}},{"id":585,"uris":["http://zotero.org/groups/5103846/items/R8BLWSZU"],"itemData":{"id":585,"type":"article-journal","container-title":"Administration and Policy in Mental Health and Mental Health Services Research","DOI":"10.1007/s10488-014-0571-3","ISSN":"0894-587X, 1573-3289","issue":"3","journalAbbreviation":"Adm Policy Ment Health","language":"en","page":"309-322","source":"DOI.org (Crossref)","title":"Effectiveness of Wraparound Versus Case Management for Children and Adolescents: Results of a Randomized Study","title-short":"Effectiveness of Wraparound Versus Case Management for Children and Adolescents","volume":"42","author":[{"family":"Bruns","given":"Eric J."},{"family":"Pullmann","given":"Michael D."},{"family":"Sather","given":"April"},{"family":"Brinson","given":"Ramona Denby"},{"family":"Ramey","given":"Michelle"}],"issued":{"date-parts":[["2015",5]]}}}],"schema":"https://github.com/citation-style-language/schema/raw/master/csl-citation.json"}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(88–90)</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p>
    <w:p w14:paraId="698B9E2F"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2C406DD5" w14:textId="3C5A4010"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The ‘Trieste model’ in Italy </w:t>
      </w:r>
      <w:r>
        <w:rPr>
          <w:rFonts w:ascii="Arial" w:eastAsia="Calibri" w:hAnsi="Arial" w:cs="Arial"/>
          <w:color w:val="000000" w:themeColor="text1"/>
          <w:lang w:val="en-GB"/>
        </w:rPr>
        <w:t>is a</w:t>
      </w:r>
      <w:r w:rsidRPr="00F472D7">
        <w:rPr>
          <w:rFonts w:ascii="Arial" w:eastAsia="Calibri" w:hAnsi="Arial" w:cs="Arial"/>
          <w:color w:val="000000" w:themeColor="text1"/>
          <w:lang w:val="en-GB"/>
        </w:rPr>
        <w:t xml:space="preserve"> whole-system approaches to organising care. </w:t>
      </w:r>
      <w:r>
        <w:rPr>
          <w:rFonts w:ascii="Arial" w:eastAsia="Calibri" w:hAnsi="Arial" w:cs="Arial"/>
          <w:color w:val="000000" w:themeColor="text1"/>
          <w:lang w:val="en-GB"/>
        </w:rPr>
        <w:t>It</w:t>
      </w:r>
      <w:r w:rsidRPr="00F472D7">
        <w:rPr>
          <w:rFonts w:ascii="Arial" w:eastAsia="Calibri" w:hAnsi="Arial" w:cs="Arial"/>
          <w:color w:val="000000" w:themeColor="text1"/>
          <w:lang w:val="en-GB"/>
        </w:rPr>
        <w:t xml:space="preserve"> is a community-based approach to mental health care</w:t>
      </w:r>
      <w:r>
        <w:rPr>
          <w:rFonts w:ascii="Arial" w:eastAsia="Calibri" w:hAnsi="Arial" w:cs="Arial"/>
          <w:color w:val="000000" w:themeColor="text1"/>
          <w:lang w:val="en-GB"/>
        </w:rPr>
        <w:t>, including crisis support</w:t>
      </w:r>
      <w:r w:rsidRPr="00F472D7">
        <w:rPr>
          <w:rFonts w:ascii="Arial" w:eastAsia="Calibri" w:hAnsi="Arial" w:cs="Arial"/>
          <w:color w:val="000000" w:themeColor="text1"/>
          <w:lang w:val="en-GB"/>
        </w:rPr>
        <w:t xml:space="preserve">. It prioritises human rights, social inclusion and recovery. There are no locked doors and restrictive care is avoided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{"citationID":"LnNNktr4","properties":{"formattedCitation":"(91,92)","plainCitation":"(91,92)","noteIndex":0},"citationItems":[{"id":618,"uris":["http://zotero.org/groups/5103846/items/D4SXJNUL"],"itemData":{"id":618,"type":"article-journal","abstract":"Trieste mental health service is considered as one of the best mental healthcare systems in the world. This service is now under threat from right-wing politicians in the local region. We argue that this is a threat to progressive community psychiatry beyond Trieste and Italy. It is important for us to join forces with international colleagues and organisations in the campaign to defend and preserve the current service model in Trieste.","container-title":"The British Journal of Psychiatry","DOI":"10.1192/bjp.2021.149","ISSN":"0007-1250, 1472-1465","issue":"2","journalAbbreviation":"Br J Psychiatry","language":"en","page":"52-53","source":"DOI.org (Crossref)","title":"Why Trieste matters","volume":"220","author":[{"family":"Sashidharan","given":"S. P."}],"issued":{"date-parts":[["2022",2]]}}},{"id":433,"uris":["http://zotero.org/groups/5103846/items/YKRGZJV2"],"itemData":{"id":433,"type":"webpage","title":"Community Mental Healthcare: TRIESTE, ITALY","URL":"https://www.livingwellsystems.uk/trieste","author":[{"family":"Living Well UK","given":""}],"issued":{"date-parts":[["2022"]]}}}],"schema":"https://github.com/citation-style-language/schema/raw/master/csl-citation.json"}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(91,92)</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3EC2486A"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3E60E1A6" w14:textId="6C48F949"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Finally, there are </w:t>
      </w:r>
      <w:proofErr w:type="gramStart"/>
      <w:r w:rsidRPr="00F472D7">
        <w:rPr>
          <w:rFonts w:ascii="Arial" w:eastAsia="Calibri" w:hAnsi="Arial" w:cs="Arial"/>
          <w:color w:val="000000" w:themeColor="text1"/>
          <w:lang w:val="en-GB"/>
        </w:rPr>
        <w:t>a number of</w:t>
      </w:r>
      <w:proofErr w:type="gramEnd"/>
      <w:r w:rsidRPr="00F472D7">
        <w:rPr>
          <w:rFonts w:ascii="Arial" w:eastAsia="Calibri" w:hAnsi="Arial" w:cs="Arial"/>
          <w:color w:val="000000" w:themeColor="text1"/>
          <w:lang w:val="en-GB"/>
        </w:rPr>
        <w:t xml:space="preserve"> ‘Specialist consultancy’ models in operation that aim to promote alternative approaches to standard inpatient care and reduce inpatient admissions by offering consultation to relevant organisations. This consultancy may be provided by survivor-led, not-for-profit, statutory or private organisations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{"citationID":"YXu4kR3r","properties":{"formattedCitation":"(93\\uc0\\u8211{}98)","plainCitation":"(93–98)","noteIndex":0},"citationItems":[{"id":419,"uris":["http://zotero.org/groups/5103846/items/VLMLKV9R"],"itemData":{"id":419,"type":"webpage","title":"Beam Consultancy: Clinical Expertise and Lived Experience in the areas of potentially lethal self harm, suicidality and complex interpersonal dynamics, often described as ‘personality disorder’","URL":"https://www.beamconsultancy.co.uk","author":[{"family":"Beam Consultancy","given":""}],"issued":{"date-parts":[["2023"]]}}},{"id":493,"uris":["http://zotero.org/groups/5103846/items/YIQYZCQW"],"itemData":{"id":493,"type":"document","publisher":"Leeds Survivor Led Crisis Services","title":"Leeds Survivor Led Crisis Services: Trustees' Report and Financial Statements for the Year Ended 31 March 2018","URL":"https://register-of-charities.charitycommission.gov.uk/charity-search?p_p_id=uk_gov_ccew_onereg_charitydetails_web_portlet_CharityDetailsPortlet&amp;p_p_lifecycle=2&amp;p_p_state=maximized&amp;p_p_mode=view&amp;p_p_resource_id=%2Faccounts-resource&amp;p_p_cacheability=cacheLevelPage&amp;_uk_gov_ccew_onereg_charitydetails_web_portlet_CharityDetailsPortlet_objectiveId=A9335399&amp;_uk_gov_ccew_onereg_charitydetails_web_portlet_CharityDetailsPortlet_priv_r_p_mvcRenderCommandName=%2Faccounts-and-annual-returns&amp;_uk_gov_ccew_onereg_charitydetails_web_portlet_CharityDetailsPortlet_priv_r_p_organisationNumber=3956536","issued":{"date-parts":[["2018"]]}}},{"id":490,"uris":["http://zotero.org/groups/5103846/items/N7VICLTL"],"itemData":{"id":490,"type":"webpage","container-title":"University of Oxford website","title":"Co-PACT summary","URL":"https://www.psych.ox.ac.uk/research/chimes/co-pact/co-pact_summary"}},{"id":489,"uris":["http://zotero.org/groups/5103846/items/R4HX83XT"],"itemData":{"id":489,"type":"webpage","title":"ImROC","URL":"https://imroc.org/resource/co-production-sharing-our-experiences-reflecting-on-our-learning/","issued":{"literal":"n.d."}}},{"id":488,"uris":["http://zotero.org/groups/5103846/items/FP4RBMZM"],"itemData":{"id":488,"type":"article-journal","container-title":"Journal of Mental Health","DOI":"10.1080/09638230701879235","ISSN":"0963-8237, 1360-0567","issue":"2","journalAbbreviation":"Journal of Mental Health","language":"en","page":"111-120","source":"DOI.org (Crossref)","title":"A comparison of service users placed out of their local area and local rehabilitation service users","volume":"18","author":[{"family":"Killaspy","given":"Helen"},{"family":"Rambarran","given":"Dolly"},{"family":"Harden","given":"Cressida"},{"family":"Fearon","given":"Dave"},{"family":"Caren","given":"Graham"},{"family":"McClinton","given":"Kath"}],"issued":{"date-parts":[["2009",1]]}}},{"id":491,"uris":["http://zotero.org/groups/5103846/items/GLH3RV9X"],"itemData":{"id":491,"type":"article-journal","container-title":"International Review of Psychiatry","DOI":"10.3109/09540261.2014.992303","ISSN":"0954-0261, 1369-1627","issue":"1","journalAbbreviation":"International Review of Psychiatry","language":"en","page":"11-22","source":"DOI.org (Crossref)","title":"A cultural consultation service in East London: Experiences and outcomes from implementation of an innovative service","title-short":"A cultural consultation service in East London","volume":"27","author":[{"family":"Bhui","given":"Kamaldeep S."},{"family":"Owiti","given":"John A."},{"family":"Palinski","given":"Andrea"},{"family":"Ascoli","given":"Micol"},{"family":"De Jongh","given":"Bertine"},{"family":"Archer","given":"Jane"},{"family":"Staples","given":"Pat"},{"family":"Ahmed","given":"Nilu"},{"family":"Ajaz","given":"Ali"}],"issued":{"date-parts":[["2015",1,2]]}}}],"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(93–98)</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25BD80A9"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71FDA7B0" w14:textId="113908AE" w:rsidR="00693812" w:rsidRPr="00693812" w:rsidRDefault="00693812" w:rsidP="00693812">
      <w:pPr>
        <w:pStyle w:val="Heading2"/>
      </w:pPr>
      <w:r>
        <w:t>2</w:t>
      </w:r>
      <w:r w:rsidRPr="00693812">
        <w:t>. Adult long-term inpatient care alternatives</w:t>
      </w:r>
    </w:p>
    <w:p w14:paraId="2B16F20A" w14:textId="77777777" w:rsidR="00693812" w:rsidRPr="00F472D7" w:rsidRDefault="00693812" w:rsidP="00693812">
      <w:pPr>
        <w:spacing w:after="0" w:line="480" w:lineRule="auto"/>
        <w:jc w:val="both"/>
        <w:rPr>
          <w:rFonts w:ascii="Arial" w:eastAsia="Calibri Light" w:hAnsi="Arial" w:cs="Arial"/>
          <w:sz w:val="25"/>
          <w:szCs w:val="25"/>
          <w:lang w:val="en-GB"/>
        </w:rPr>
      </w:pPr>
    </w:p>
    <w:p w14:paraId="2A504113" w14:textId="19D820AC" w:rsidR="00693812" w:rsidRPr="00F472D7" w:rsidRDefault="00693812" w:rsidP="00693812">
      <w:pPr>
        <w:spacing w:after="0" w:line="480" w:lineRule="auto"/>
        <w:jc w:val="both"/>
        <w:rPr>
          <w:rFonts w:ascii="Arial" w:hAnsi="Arial" w:cs="Arial"/>
          <w:lang w:val="en-GB"/>
        </w:rPr>
      </w:pPr>
      <w:r w:rsidRPr="1848F519">
        <w:rPr>
          <w:rFonts w:ascii="Arial" w:hAnsi="Arial" w:cs="Arial"/>
          <w:lang w:val="en-GB"/>
        </w:rPr>
        <w:t xml:space="preserve">Along with the array of services we identified which aim to offer support in times of acute crisis, service models were also identified that offer an alternative to standard long-term term hospital wards, including inpatient rehabilitation or forensic mental health care (see </w:t>
      </w:r>
      <w:r w:rsidR="00B83BB9">
        <w:rPr>
          <w:rFonts w:ascii="Arial" w:hAnsi="Arial" w:cs="Arial"/>
          <w:lang w:val="en-GB"/>
        </w:rPr>
        <w:t xml:space="preserve">Supplementary </w:t>
      </w:r>
      <w:r w:rsidR="00026BE1">
        <w:rPr>
          <w:rFonts w:ascii="Arial" w:hAnsi="Arial" w:cs="Arial"/>
          <w:lang w:val="en-GB"/>
        </w:rPr>
        <w:t>Material</w:t>
      </w:r>
      <w:r w:rsidR="00B83BB9">
        <w:rPr>
          <w:rFonts w:ascii="Arial" w:hAnsi="Arial" w:cs="Arial"/>
          <w:lang w:val="en-GB"/>
        </w:rPr>
        <w:t xml:space="preserve"> 4</w:t>
      </w:r>
      <w:r w:rsidRPr="1848F519">
        <w:rPr>
          <w:rFonts w:ascii="Arial" w:hAnsi="Arial" w:cs="Arial"/>
          <w:lang w:val="en-GB"/>
        </w:rPr>
        <w:t>). These services largely aim to reduce the length of hospitalisation, support people to reside in the community, or offer a therapeutic approach that differs substantially from standard long-term inpatient care. Though most secondary community mental health models have a role in avoidance of long-term hospitalisation, the focus here is on models that are more obviously intensive forms of support that could substitute for an inpatient admission. These service models were similarly categorised into community-based, hospital-based and cross-setting approaches. F</w:t>
      </w:r>
      <w:r w:rsidRPr="1848F519">
        <w:rPr>
          <w:rStyle w:val="normaltextrun"/>
          <w:rFonts w:ascii="Arial" w:eastAsia="Calibri" w:hAnsi="Arial" w:cs="Arial"/>
          <w:color w:val="000000" w:themeColor="text1"/>
          <w:lang w:val="en-GB"/>
        </w:rPr>
        <w:t xml:space="preserve">urther information, and associated outcome evidence identified, is provided for each model in </w:t>
      </w:r>
      <w:r w:rsidR="00B83BB9">
        <w:rPr>
          <w:rStyle w:val="normaltextrun"/>
          <w:rFonts w:ascii="Arial" w:eastAsia="Calibri" w:hAnsi="Arial" w:cs="Arial"/>
          <w:color w:val="000000" w:themeColor="text1"/>
          <w:lang w:val="en-GB"/>
        </w:rPr>
        <w:t>Supplementary</w:t>
      </w:r>
      <w:r w:rsidRPr="1848F519">
        <w:rPr>
          <w:rStyle w:val="normaltextrun"/>
          <w:rFonts w:ascii="Arial" w:eastAsia="Calibri" w:hAnsi="Arial" w:cs="Arial"/>
          <w:color w:val="000000" w:themeColor="text1"/>
          <w:lang w:val="en-GB"/>
        </w:rPr>
        <w:t xml:space="preserve"> </w:t>
      </w:r>
      <w:r w:rsidR="00026BE1">
        <w:rPr>
          <w:rFonts w:ascii="Arial" w:eastAsia="Calibri" w:hAnsi="Arial" w:cs="Arial"/>
          <w:color w:val="000000" w:themeColor="text1"/>
          <w:lang w:val="en-GB"/>
        </w:rPr>
        <w:t>Material</w:t>
      </w:r>
      <w:r w:rsidRPr="1848F519">
        <w:rPr>
          <w:rFonts w:ascii="Arial" w:eastAsia="Calibri" w:hAnsi="Arial" w:cs="Arial"/>
          <w:color w:val="000000" w:themeColor="text1"/>
          <w:lang w:val="en-GB"/>
        </w:rPr>
        <w:t xml:space="preserve"> 2 and </w:t>
      </w:r>
      <w:r w:rsidR="00B83BB9">
        <w:rPr>
          <w:rFonts w:ascii="Arial" w:eastAsia="Calibri" w:hAnsi="Arial" w:cs="Arial"/>
          <w:color w:val="000000" w:themeColor="text1"/>
          <w:lang w:val="en-GB"/>
        </w:rPr>
        <w:t>Supplementary</w:t>
      </w:r>
      <w:r w:rsidRPr="1848F519">
        <w:rPr>
          <w:rFonts w:ascii="Arial" w:eastAsia="Calibri" w:hAnsi="Arial" w:cs="Arial"/>
          <w:color w:val="000000" w:themeColor="text1"/>
          <w:lang w:val="en-GB"/>
        </w:rPr>
        <w:t xml:space="preserve"> </w:t>
      </w:r>
      <w:r w:rsidR="00026BE1">
        <w:rPr>
          <w:rFonts w:ascii="Arial" w:eastAsia="Calibri" w:hAnsi="Arial" w:cs="Arial"/>
          <w:color w:val="000000" w:themeColor="text1"/>
          <w:lang w:val="en-GB"/>
        </w:rPr>
        <w:t>Material</w:t>
      </w:r>
      <w:r w:rsidRPr="1848F519">
        <w:rPr>
          <w:rFonts w:ascii="Arial" w:eastAsia="Calibri" w:hAnsi="Arial" w:cs="Arial"/>
          <w:color w:val="000000" w:themeColor="text1"/>
          <w:lang w:val="en-GB"/>
        </w:rPr>
        <w:t xml:space="preserve"> </w:t>
      </w:r>
      <w:r w:rsidR="00B83BB9">
        <w:rPr>
          <w:rFonts w:ascii="Arial" w:eastAsia="Calibri" w:hAnsi="Arial" w:cs="Arial"/>
          <w:color w:val="000000" w:themeColor="text1"/>
          <w:lang w:val="en-GB"/>
        </w:rPr>
        <w:t>7</w:t>
      </w:r>
      <w:r w:rsidRPr="1848F519">
        <w:rPr>
          <w:rStyle w:val="normaltextrun"/>
          <w:rFonts w:ascii="Arial" w:eastAsia="Calibri" w:hAnsi="Arial" w:cs="Arial"/>
          <w:color w:val="000000" w:themeColor="text1"/>
          <w:lang w:val="en-GB"/>
        </w:rPr>
        <w:t>.</w:t>
      </w:r>
    </w:p>
    <w:p w14:paraId="63DD4EC4" w14:textId="77777777" w:rsidR="00693812" w:rsidRPr="00F472D7" w:rsidRDefault="00693812" w:rsidP="00693812">
      <w:pPr>
        <w:keepNext/>
        <w:keepLines/>
        <w:spacing w:after="0" w:line="480" w:lineRule="auto"/>
        <w:jc w:val="both"/>
        <w:rPr>
          <w:rFonts w:ascii="Arial" w:hAnsi="Arial" w:cs="Arial"/>
          <w:b/>
          <w:bCs/>
          <w:lang w:val="en-GB"/>
        </w:rPr>
      </w:pPr>
    </w:p>
    <w:p w14:paraId="3C239F61" w14:textId="2CBDD5E4" w:rsidR="00693812" w:rsidRPr="00F472D7" w:rsidRDefault="00693812" w:rsidP="00693812">
      <w:pPr>
        <w:pStyle w:val="Heading3"/>
        <w:rPr>
          <w:rFonts w:eastAsia="Calibri Light"/>
          <w:lang w:val="en-GB"/>
        </w:rPr>
      </w:pPr>
      <w:r>
        <w:rPr>
          <w:rFonts w:eastAsia="Calibri Light"/>
          <w:lang w:val="en-GB"/>
        </w:rPr>
        <w:t>2.</w:t>
      </w:r>
      <w:r w:rsidRPr="00F472D7">
        <w:rPr>
          <w:rFonts w:eastAsia="Calibri Light"/>
          <w:lang w:val="en-GB"/>
        </w:rPr>
        <w:t>1. Community-based alternatives</w:t>
      </w:r>
      <w:r w:rsidRPr="00F472D7">
        <w:rPr>
          <w:lang w:val="en-GB"/>
        </w:rPr>
        <w:br/>
      </w:r>
    </w:p>
    <w:p w14:paraId="3DA60E7A"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u w:val="single"/>
          <w:lang w:val="en-GB"/>
        </w:rPr>
        <w:t>Intensive residential services</w:t>
      </w:r>
      <w:r w:rsidRPr="00F472D7">
        <w:rPr>
          <w:rFonts w:ascii="Arial" w:eastAsia="Calibri" w:hAnsi="Arial" w:cs="Arial"/>
          <w:color w:val="000000" w:themeColor="text1"/>
          <w:lang w:val="en-GB"/>
        </w:rPr>
        <w:t xml:space="preserve"> </w:t>
      </w:r>
    </w:p>
    <w:p w14:paraId="268627AD" w14:textId="2A0E03E4"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This category encompasses ‘Residential rehabilitation services’, and ‘Intensive supported housing’ models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{"citationID":"gm1jREIU","properties":{"formattedCitation":"(99)","plainCitation":"(99)","noteIndex":0},"citationItems":[{"id":"pnuyFmyJ/V7JczUos","uris":["http://zotero.org/users/9548222/items/A6YX89HX"],"itemData":{"id":1030,"type":"article-journal","container-title":"World Psychiatry","DOI":"10.1002/wps.20278","ISSN":"17238617","issue":"1","journalAbbreviation":"World Psychiatry","language":"en","page":"74-75","source":"DOI.org (Crossref)","title":"Supported accommodation for people with mental health problems","volume":"15","author":[{"family":"Killaspy","given":"Helen"}],"issued":{"date-parts":[["2016",2]]}}}],"schema":"https://github.com/citation-style-language/schema/raw/master/csl-citation.json"}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(99)</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Individuals typically move through the components of this pathway with the </w:t>
      </w:r>
      <w:proofErr w:type="gramStart"/>
      <w:r w:rsidRPr="00F472D7">
        <w:rPr>
          <w:rFonts w:ascii="Arial" w:eastAsia="Calibri" w:hAnsi="Arial" w:cs="Arial"/>
          <w:color w:val="000000" w:themeColor="text1"/>
          <w:lang w:val="en-GB"/>
        </w:rPr>
        <w:t>ultimate aim</w:t>
      </w:r>
      <w:proofErr w:type="gramEnd"/>
      <w:r w:rsidRPr="00F472D7">
        <w:rPr>
          <w:rFonts w:ascii="Arial" w:eastAsia="Calibri" w:hAnsi="Arial" w:cs="Arial"/>
          <w:color w:val="000000" w:themeColor="text1"/>
          <w:lang w:val="en-GB"/>
        </w:rPr>
        <w:t xml:space="preserve"> of successfully managing an independent tenancy and avoiding re-hospitalisation.</w:t>
      </w:r>
    </w:p>
    <w:p w14:paraId="03ACEB06"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1BC0EA1F" w14:textId="46A20420"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‘Residential rehabilitation services’ offer communal residential living for adults with chronic mental health conditions and significant impairment in social functioning whose needs cannot be well-served in the community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{"citationID":"GBjmpiho","properties":{"formattedCitation":"(100,101)","plainCitation":"(100,101)","noteIndex":0},"citationItems":[{"id":554,"uris":["http://zotero.org/groups/5103846/items/PPRC3SN8"],"itemData":{"id":554,"type":"document","publisher":"The National Institute for Health and Care Excellence","title":"Rehabilitation in adults with complex psychosis and related severe mental health conditions [A] Identifying people who would benefit most from mental health rehabilitation services [NICE Guideline NG181 Evidence Review]","URL":"https://www.nice.org.uk/guidance/ng181/evidence/a-identifying-people-who-would-benefit-most-from-mental-health-rehabilitation-services-pdf-8833147166","author":[{"literal":"National Guideline Alliance"}],"issued":{"date-parts":[["2020"]]}}},{"id":374,"uris":["http://zotero.org/groups/5103846/items/IKT9WSH2"],"itemData":{"id":374,"type":"document","publisher":"The National Institute for Health and Care Excellence","title":"Rehabilitation in adults with complex psychosis and related severe mental health conditions [P] The features of supported accommodation and housing that promote successful community living [NICE Guideline No. 181 Evidence Review]","URL":"https://www.nice.org.uk/guidance/ng181/evidence/p-the-features-of-supported-accommodation-and-housing-that-promote-successful-community-living-pdf-317993297947","author":[{"literal":"National Guideline Alliance"}],"issued":{"date-parts":[["2020"]]}}}],"schema":"https://github.com/citation-style-language/schema/raw/master/csl-citation.json"}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(100,101)</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r>
        <w:rPr>
          <w:rFonts w:ascii="Arial" w:eastAsia="Calibri" w:hAnsi="Arial" w:cs="Arial"/>
          <w:color w:val="000000" w:themeColor="text1"/>
          <w:lang w:val="en-GB"/>
        </w:rPr>
        <w:t xml:space="preserve">They represent a step-down from long-term inpatient mental health services. </w:t>
      </w:r>
      <w:r w:rsidRPr="00F472D7">
        <w:rPr>
          <w:rFonts w:ascii="Arial" w:eastAsia="Calibri" w:hAnsi="Arial" w:cs="Arial"/>
          <w:color w:val="000000" w:themeColor="text1"/>
          <w:lang w:val="en-GB"/>
        </w:rPr>
        <w:t>Residential rehabilitation services are staffed 24-hours a day and provide people with a high level of support</w:t>
      </w:r>
      <w:r>
        <w:rPr>
          <w:rFonts w:ascii="Arial" w:eastAsia="Calibri" w:hAnsi="Arial" w:cs="Arial"/>
          <w:color w:val="000000" w:themeColor="text1"/>
          <w:lang w:val="en-GB"/>
        </w:rPr>
        <w:t xml:space="preserve">, to support them to stay out of hospital </w:t>
      </w:r>
      <w:r>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{"citationID":"LJLFAYhK","properties":{"formattedCitation":"(102)","plainCitation":"(102)","noteIndex":0},"citationItems":[{"id":593,"uris":["http://zotero.org/groups/5103846/items/XJ9MPEAJ"],"itemData":{"id":593,"type":"article-journal","abstract":"Introduction:\n              Mental health rehabilitation services provide essential support to people with complex and longer term mental health problems. They include inpatient services and community teams providing clinical input to people living in supported accommodation services. This systematic review included international studies evaluating the effectiveness of inpatient and community rehabilitation services.\n            \n            \n              Methods:\n              We searched six online databases for quantitative studies evaluating mental health rehabilitation services that reported on one or both of two outcomes: move-on to a more independent setting (i.e. discharge from an inpatient unit to the community or from a higher to lower level of supported accommodation); inpatient service use. The search was further expanded by screening references and citations of included studies. Heterogeneity between studies was too great to allow meta-analysis and therefore a narrative synthesis was carried out.\n            \n            \n              Results:\n              We included a total of 65 studies, grouped as: contemporary mental health rehabilitation services (\n              n\n              = 34); services for homeless people with severe mental health problems (\n              n\n              = 13); deinstitutionalization programmes (\n              n\n              = 18). The strongest evidence was for services for homeless people. Access to inpatient rehabilitation services was associated with a reduction in acute inpatient service use post discharge. Fewer than one half of people moved on from higher to lower levels of supported accommodation within expected timeframes.\n            \n            \n              Conclusions:\n              Inpatient and community rehabilitation services may reduce the need for inpatient service use over the long term but more high quality research of contemporary rehabilitation services with comparison groups is required.\n            \n            \n              Review registration:\n              This review was prospectively registered on PROSPERO (ID: CRD42019133579).","container-title":"Frontiers in Psychiatry","DOI":"10.3389/fpsyt.2020.607933","ISSN":"1664-0640","journalAbbreviation":"Front. Psychiatry","page":"607933","source":"DOI.org (Crossref)","title":"The Effectiveness of Mental Health Rehabilitation Services: A Systematic Review and Narrative Synthesis","title-short":"The Effectiveness of Mental Health Rehabilitation Services","volume":"11","author":[{"family":"Dalton-Locke","given":"Christian"},{"family":"Marston","given":"Louise"},{"family":"McPherson","given":"Peter"},{"family":"Killaspy","given":"Helen"}],"issued":{"date-parts":[["2021",1,13]]}}}],"schema":"https://github.com/citation-style-language/schema/raw/master/csl-citation.json"} </w:instrText>
      </w:r>
      <w:r>
        <w:rPr>
          <w:rFonts w:ascii="Arial" w:eastAsia="Calibri" w:hAnsi="Arial" w:cs="Arial"/>
          <w:color w:val="000000" w:themeColor="text1"/>
          <w:lang w:val="en-GB"/>
        </w:rPr>
        <w:fldChar w:fldCharType="separate"/>
      </w:r>
      <w:r w:rsidR="00937ACD" w:rsidRPr="00937ACD">
        <w:rPr>
          <w:rFonts w:ascii="Arial" w:hAnsi="Arial" w:cs="Arial"/>
        </w:rPr>
        <w:t>(102)</w:t>
      </w:r>
      <w:r>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People typically stay for several years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{"citationID":"WcnUYDoG","properties":{"formattedCitation":"(99)","plainCitation":"(99)","noteIndex":0},"citationItems":[{"id":"pnuyFmyJ/V7JczUos","uris":["http://zotero.org/users/9548222/items/A6YX89HX"],"itemData":{"id":1030,"type":"article-journal","container-title":"World Psychiatry","DOI":"10.1002/wps.20278","ISSN":"17238617","issue":"1","journalAbbreviation":"World Psychiatry","language":"en","page":"74-75","source":"DOI.org (Crossref)","title":"Supported accommodation for people with mental health problems","volume":"15","author":[{"family":"Killaspy","given":"Helen"}],"issued":{"date-parts":[["2016",2]]}}}],"schema":"https://github.com/citation-style-language/schema/raw/master/csl-citation.json"}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(99)</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however some shorter-term residential facilities also exist. Some residential rehabilitation services aim to be specialised for specific diagnostic groups, such as individuals with a primary diagnosis of an eating disorder or psychosis. </w:t>
      </w:r>
    </w:p>
    <w:p w14:paraId="52E26FCB"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53E791FE" w14:textId="2D602628"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‘Intensive supported housing’ represents a step-down from 24-hour residential rehabilitation care, offering time-limited tenancies in shared or individual self-contained units with high-level support, sometimes including 24-hours a day staffing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{"citationID":"SeeqMeF7","properties":{"formattedCitation":"(100,101)","plainCitation":"(100,101)","noteIndex":0},"citationItems":[{"id":554,"uris":["http://zotero.org/groups/5103846/items/PPRC3SN8"],"itemData":{"id":554,"type":"document","publisher":"The National Institute for Health and Care Excellence","title":"Rehabilitation in adults with complex psychosis and related severe mental health conditions [A] Identifying people who would benefit most from mental health rehabilitation services [NICE Guideline NG181 Evidence Review]","URL":"https://www.nice.org.uk/guidance/ng181/evidence/a-identifying-people-who-would-benefit-most-from-mental-health-rehabilitation-services-pdf-8833147166","author":[{"literal":"National Guideline Alliance"}],"issued":{"date-parts":[["2020"]]}}},{"id":374,"uris":["http://zotero.org/groups/5103846/items/IKT9WSH2"],"itemData":{"id":374,"type":"document","publisher":"The National Institute for Health and Care Excellence","title":"Rehabilitation in adults with complex psychosis and related severe mental health conditions [P] The features of supported accommodation and housing that promote successful community living [NICE Guideline No. 181 Evidence Review]","URL":"https://www.nice.org.uk/guidance/ng181/evidence/p-the-features-of-supported-accommodation-and-housing-that-promote-successful-community-living-pdf-317993297947","author":[{"literal":"National Guideline Alliance"}],"issued":{"date-parts":[["2020"]]}}}],"schema":"https://github.com/citation-style-language/schema/raw/master/csl-citation.json"}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(100,101)</w:t>
      </w:r>
      <w:r w:rsidRPr="00F472D7">
        <w:rPr>
          <w:rFonts w:ascii="Arial" w:eastAsia="Calibri" w:hAnsi="Arial" w:cs="Arial"/>
          <w:color w:val="000000" w:themeColor="text1"/>
          <w:lang w:val="en-GB"/>
        </w:rPr>
        <w:fldChar w:fldCharType="end"/>
      </w:r>
      <w:r>
        <w:rPr>
          <w:rFonts w:ascii="Arial" w:eastAsia="Calibri" w:hAnsi="Arial" w:cs="Arial"/>
          <w:color w:val="000000" w:themeColor="text1"/>
          <w:lang w:val="en-GB"/>
        </w:rPr>
        <w:t xml:space="preserve">. Our typology only includes supported housing models which involve intensive support, with the aim of supporting people with severe and chronic mental health problems to maintain residence in the community and avoid hospitalisations </w:t>
      </w:r>
      <w:r>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{"citationID":"LpOO9F2s","properties":{"formattedCitation":"(102)","plainCitation":"(102)","noteIndex":0},"citationItems":[{"id":593,"uris":["http://zotero.org/groups/5103846/items/XJ9MPEAJ"],"itemData":{"id":593,"type":"article-journal","abstract":"Introduction:\n              Mental health rehabilitation services provide essential support to people with complex and longer term mental health problems. They include inpatient services and community teams providing clinical input to people living in supported accommodation services. This systematic review included international studies evaluating the effectiveness of inpatient and community rehabilitation services.\n            \n            \n              Methods:\n              We searched six online databases for quantitative studies evaluating mental health rehabilitation services that reported on one or both of two outcomes: move-on to a more independent setting (i.e. discharge from an inpatient unit to the community or from a higher to lower level of supported accommodation); inpatient service use. The search was further expanded by screening references and citations of included studies. Heterogeneity between studies was too great to allow meta-analysis and therefore a narrative synthesis was carried out.\n            \n            \n              Results:\n              We included a total of 65 studies, grouped as: contemporary mental health rehabilitation services (\n              n\n              = 34); services for homeless people with severe mental health problems (\n              n\n              = 13); deinstitutionalization programmes (\n              n\n              = 18). The strongest evidence was for services for homeless people. Access to inpatient rehabilitation services was associated with a reduction in acute inpatient service use post discharge. Fewer than one half of people moved on from higher to lower levels of supported accommodation within expected timeframes.\n            \n            \n              Conclusions:\n              Inpatient and community rehabilitation services may reduce the need for inpatient service use over the long term but more high quality research of contemporary rehabilitation services with comparison groups is required.\n            \n            \n              Review registration:\n              This review was prospectively registered on PROSPERO (ID: CRD42019133579).","container-title":"Frontiers in Psychiatry","DOI":"10.3389/fpsyt.2020.607933","ISSN":"1664-0640","journalAbbreviation":"Front. Psychiatry","page":"607933","source":"DOI.org (Crossref)","title":"The Effectiveness of Mental Health Rehabilitation Services: A Systematic Review and Narrative Synthesis","title-short":"The Effectiveness of Mental Health Rehabilitation Services","volume":"11","author":[{"family":"Dalton-Locke","given":"Christian"},{"family":"Marston","given":"Louise"},{"family":"McPherson","given":"Peter"},{"family":"Killaspy","given":"Helen"}],"issued":{"date-parts":[["2021",1,13]]}}}],"schema":"https://github.com/citation-style-language/schema/raw/master/csl-citation.json"} </w:instrText>
      </w:r>
      <w:r>
        <w:rPr>
          <w:rFonts w:ascii="Arial" w:eastAsia="Calibri" w:hAnsi="Arial" w:cs="Arial"/>
          <w:color w:val="000000" w:themeColor="text1"/>
          <w:lang w:val="en-GB"/>
        </w:rPr>
        <w:fldChar w:fldCharType="separate"/>
      </w:r>
      <w:r w:rsidR="00937ACD" w:rsidRPr="00937ACD">
        <w:rPr>
          <w:rFonts w:ascii="Arial" w:hAnsi="Arial" w:cs="Arial"/>
        </w:rPr>
        <w:t>(102)</w:t>
      </w:r>
      <w:r>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r>
        <w:rPr>
          <w:rFonts w:ascii="Arial" w:eastAsia="Calibri" w:hAnsi="Arial" w:cs="Arial"/>
          <w:color w:val="000000" w:themeColor="text1"/>
          <w:lang w:val="en-GB"/>
        </w:rPr>
        <w:t xml:space="preserve"> </w:t>
      </w:r>
      <w:r w:rsidRPr="00F472D7">
        <w:rPr>
          <w:rFonts w:ascii="Arial" w:eastAsia="Calibri" w:hAnsi="Arial" w:cs="Arial"/>
          <w:color w:val="000000" w:themeColor="text1"/>
          <w:lang w:val="en-GB"/>
        </w:rPr>
        <w:t xml:space="preserve">‘Intensive supported housing’ can be offered with integrated care offered by the accommodation provider or with support outsourced and offered by external services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{"citationID":"H4fVWHSR","properties":{"formattedCitation":"(100,101)","plainCitation":"(100,101)","noteIndex":0},"citationItems":[{"id":554,"uris":["http://zotero.org/groups/5103846/items/PPRC3SN8"],"itemData":{"id":554,"type":"document","publisher":"The National Institute for Health and Care Excellence","title":"Rehabilitation in adults with complex psychosis and related severe mental health conditions [A] Identifying people who would benefit most from mental health rehabilitation services [NICE Guideline NG181 Evidence Review]","URL":"https://www.nice.org.uk/guidance/ng181/evidence/a-identifying-people-who-would-benefit-most-from-mental-health-rehabilitation-services-pdf-8833147166","author":[{"literal":"National Guideline Alliance"}],"issued":{"date-parts":[["2020"]]}}},{"id":374,"uris":["http://zotero.org/groups/5103846/items/IKT9WSH2"],"itemData":{"id":374,"type":"document","publisher":"The National Institute for Health and Care Excellence","title":"Rehabilitation in adults with complex psychosis and related severe mental health conditions [P] The features of supported accommodation and housing that promote successful community living [NICE Guideline No. 181 Evidence Review]","URL":"https://www.nice.org.uk/guidance/ng181/evidence/p-the-features-of-supported-accommodation-and-housing-that-promote-successful-community-living-pdf-317993297947","author":[{"literal":"National Guideline Alliance"}],"issued":{"date-parts":[["2020"]]}}}],"schema":"https://github.com/citation-style-language/schema/raw/master/csl-citation.json"}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(100,101)</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‘Housing First’ and ‘Full Service Partnership’ represent two models of ‘supported housing with external intensive community support’ </w:t>
      </w:r>
      <w:r w:rsidRPr="00F472D7">
        <w:rPr>
          <w:rFonts w:ascii="Arial" w:eastAsia="Calibri" w:hAnsi="Arial" w:cs="Arial"/>
          <w:color w:val="000000" w:themeColor="text1"/>
          <w:lang w:val="en-GB"/>
        </w:rPr>
        <w:lastRenderedPageBreak/>
        <w:t xml:space="preserve">which typically serve communities experiencing or at-risk of homelessness and who also experience mental health difficulties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4aqbVwKt","properties":{"formattedCitation":"(99,103\\uc0\\u8211{}105)","plainCitation":"(99,103–105)","noteIndex":0},"citationItems":[{"id":"pnuyFmyJ/V7JczUos","uris":["http://zotero.org/users/9548222/items/A6YX89HX"],"itemData":{"id":1030,"type":"article-journal","container-title":"World Psychiatry","DOI":"10.1002/wps.20278","ISSN":"17238617","issue":"1","journalAbbreviation":"World Psychiatry","language":"en","page":"74-75","source":"DOI.org (Crossref)","title":"Supported accommodation for people with mental health problems","volume":"15","author":[{"family":"Killaspy","given":"Helen"}],"issued":{"date-parts":[["2016",2]]}}},{"id":398,"uris":["http://zotero.org/groups/5103846/items/YJZ6USW6"],"itemData":{"id":398,"type":"document","title":"Housing first in England: The principles.","URL":"https://www.dahalliance.org.uk/media/10827/1-the-principles-for-housing-first.pdf","author":[{"family":"Homeless Link","given":""}],"issued":{"date-parts":[["2016"]]}}},{"id":108,"uris":["http://zotero.org/groups/5103846/items/Q2IHDJK7"],"itemData":{"id":108,"type":"article-journal","container-title":"Archives of General Psychiatry","DOI":"10.1001/archgenpsychiatry.2010.56","ISSN":"0003-990X","issue":"6","journalAbbreviation":"Arch Gen Psychiatry","language":"en","page":"645","source":"DOI.org (Crossref)","title":"Effect of Full-Service Partnerships on Homelessness, Use and Costs of Mental Health Services, and Quality of Life Among Adults With Serious Mental Illness","volume":"67","author":[{"family":"Gilmer","given":"Todd P."},{"family":"Stefancic","given":"Ana"},{"family":"Ettner","given":"Susan L."},{"family":"Manning","given":"Willard G."},{"family":"Tsemberis","given":"Sam"}],"issued":{"date-parts":[["2010",6,1]]}}},{"id":105,"uris":["http://zotero.org/groups/5103846/items/TF9PCIC3"],"itemData":{"id":105,"type":"article-journal","container-title":"Psychiatric Services","DOI":"10.1176/appi.ps.201300380","ISSN":"1075-2730, 1557-9700","issue":"9","journalAbbreviation":"PS","language":"en","page":"1120-1125","source":"DOI.org (Crossref)","title":"Full-Service Partnerships Among Adults With Serious Mental Illness in California: Impact on Utilization and Costs","title-short":"Full-Service Partnerships Among Adults With Serious Mental Illness in California","volume":"65","author":[{"family":"Gilmer","given":"Todd P."},{"family":"Stefancic","given":"Ana"},{"family":"Tsemberis","given":"Sam"},{"family":"Ettner","given":"Susan L."}],"issued":{"date-parts":[["2014",9]]}}}],"schema":"https://github.com/citation-style-language/schema/raw/master/csl-citation.json"}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(99,103–105)</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75D88F8B"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1007B246"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u w:val="single"/>
          <w:lang w:val="en-GB"/>
        </w:rPr>
        <w:t>Family placement schemes</w:t>
      </w:r>
      <w:r w:rsidRPr="00F472D7">
        <w:rPr>
          <w:rFonts w:ascii="Arial" w:eastAsia="Calibri" w:hAnsi="Arial" w:cs="Arial"/>
          <w:color w:val="000000" w:themeColor="text1"/>
          <w:lang w:val="en-GB"/>
        </w:rPr>
        <w:t xml:space="preserve"> </w:t>
      </w:r>
    </w:p>
    <w:p w14:paraId="124ED4C4" w14:textId="54528D9A"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Some family placement schemes can offer longer-term support to people with mental health difficulties who would otherwise not be able to manage living independently in the community. In the ‘Geel family foster care’ model, people of any age with various mental health difficulties are accommodated by foster families and are encouraged to participate in daily household activities and family life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{"citationID":"DBZYcnS8","properties":{"formattedCitation":"(106)","plainCitation":"(106)","noteIndex":0},"citationItems":[{"id":369,"uris":["http://zotero.org/groups/5103846/items/MYFBUNU5"],"itemData":{"id":369,"type":"article-journal","abstract":"Summary\n            This article reviews the family foster care model practised in the small Belgian town of Geel. A historical introduction is followed by a description of a family foster care project in its current form. Issues are raised as to whether the current culture of care pathways, managed care, payment by results and an emphasis on ‘cure’ are conducive to recovery as promoted by the recovery model. Finally, the lessons from Geel are summarised and it is argued that there is much that can be learned from this way of working to support the recovery movement.","container-title":"BJPsych Bulletin","DOI":"10.1192/pb.bp.115.051631","ISSN":"2056-4694, 2056-4708","issue":"4","journalAbbreviation":"BJPsych Bull","language":"en","page":"207-211","source":"DOI.org (Crossref)","title":"Lessons to be learned from the oldest community psychiatric service in the world: Geel in Belgium","title-short":"Lessons to be learned from the oldest community psychiatric service in the world","volume":"40","author":[{"family":"Bilsen","given":"Henck P. J. G.","non-dropping-particle":"van"}],"issued":{"date-parts":[["2016",8]]}}}],"schema":"https://github.com/citation-style-language/schema/raw/master/csl-citation.json"}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(106)</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The average length of stay with a Geel placement is approximately 30 years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{"citationID":"7OWiqsGm","properties":{"formattedCitation":"(106)","plainCitation":"(106)","noteIndex":0},"citationItems":[{"id":369,"uris":["http://zotero.org/groups/5103846/items/MYFBUNU5"],"itemData":{"id":369,"type":"article-journal","abstract":"Summary\n            This article reviews the family foster care model practised in the small Belgian town of Geel. A historical introduction is followed by a description of a family foster care project in its current form. Issues are raised as to whether the current culture of care pathways, managed care, payment by results and an emphasis on ‘cure’ are conducive to recovery as promoted by the recovery model. Finally, the lessons from Geel are summarised and it is argued that there is much that can be learned from this way of working to support the recovery movement.","container-title":"BJPsych Bulletin","DOI":"10.1192/pb.bp.115.051631","ISSN":"2056-4694, 2056-4708","issue":"4","journalAbbreviation":"BJPsych Bull","language":"en","page":"207-211","source":"DOI.org (Crossref)","title":"Lessons to be learned from the oldest community psychiatric service in the world: Geel in Belgium","title-short":"Lessons to be learned from the oldest community psychiatric service in the world","volume":"40","author":[{"family":"Bilsen","given":"Henck P. J. G.","non-dropping-particle":"van"}],"issued":{"date-parts":[["2016",8]]}}}],"schema":"https://github.com/citation-style-language/schema/raw/master/csl-citation.json"}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(106)</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‘Healing Homes’, a similar model derived from Sweden, supports people with psychosis to live in host families for approximately 1-2 years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{"citationID":"oWQ7ZP4m","properties":{"formattedCitation":"(107)","plainCitation":"(107)","noteIndex":0},"citationItems":[{"id":90,"uris":["http://zotero.org/groups/5103846/items/XDWKZ5TC"],"itemData":{"id":90,"type":"webpage","abstract":"Healing Homes, a feature-length documentary film directed by Daniel Mackler, chronicles the work of the Family Care Foundation in Gothenburg, Sweden — a program which, in this era of multi-drug cocktails and psychiatric diagnoses-for-life, helps people recover from psychosis without medication.\n\nThe organization, backed by over twenty years of experience, places people who have been failed by traditional psychiatry in host families — predominately farm families in the Swedish countryside — as a start for a whole new life journey.\n\nHost families are chosen not for any psychiatric expertise, rather, for their compassion, stability, and desire to give back. People live with these families for upwards of a year or two and become an integral part of a functioning family system. Staff members offer clients intensive psychotherapy and provide host families with intensive supervision.\n\nThe Family Care Foundation eschews the use of diagnosis, works within a framework of striving to help people come safely off psychiatric medication, and provides their services, which operate within the context of Swedish socialized medicine, for free.\n\nHealing Homes weaves together interviews with clients, farm families, and staff members to create both a powerful vision of medication-free recovery and an eye-opening critique of the medical model of psychiatry.","container-title":"power2u","title":"Healing Homes: An Alternative, Swedish Model for Healing Psychosis","URL":"https://power2u.org/evidence-for-peer-run-crisis-alternatives/","author":[{"family":"National Empowerment Center","given":""}],"issued":{"date-parts":[["2023"]]}}}],"schema":"https://github.com/citation-style-language/schema/raw/master/csl-citation.json"}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(107)</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As well as offering support in an acute crisis (see Section </w:t>
      </w:r>
      <w:r w:rsidR="00CA13DF">
        <w:rPr>
          <w:rFonts w:ascii="Arial" w:eastAsia="Calibri" w:hAnsi="Arial" w:cs="Arial"/>
          <w:i/>
          <w:iCs/>
          <w:color w:val="000000" w:themeColor="text1"/>
          <w:lang w:val="en-GB"/>
        </w:rPr>
        <w:t>1.</w:t>
      </w:r>
      <w:r w:rsidRPr="00F472D7">
        <w:rPr>
          <w:rFonts w:ascii="Arial" w:eastAsia="Calibri" w:hAnsi="Arial" w:cs="Arial"/>
          <w:i/>
          <w:iCs/>
          <w:color w:val="000000" w:themeColor="text1"/>
          <w:lang w:val="en-GB"/>
        </w:rPr>
        <w:t>1.</w:t>
      </w:r>
      <w:r w:rsidRPr="00F472D7">
        <w:rPr>
          <w:rFonts w:ascii="Arial" w:eastAsia="Calibri" w:hAnsi="Arial" w:cs="Arial"/>
          <w:color w:val="000000" w:themeColor="text1"/>
          <w:lang w:val="en-GB"/>
        </w:rPr>
        <w:t xml:space="preserve">) the ‘Shared Lives’ model also operates as an alternative for individuals requiring long-term placements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{"citationID":"NE4UkKjO","properties":{"formattedCitation":"(8)","plainCitation":"(8)","noteIndex":0},"citationItems":[{"id":85,"uris":["http://zotero.org/groups/5103846/items/6QHUSCBY"],"itemData":{"id":85,"type":"report","event-place":"Bath, United Kingdom","publisher":"Shared Lives Plus","publisher-place":"Bath, United Kingdom","title":"Evaluation of the Shared Lives Mental Health Project","URL":"https://www.ndti.org.uk/assets/files/Final_NDTi_Cabinet_Office_SLP_MH_Eval_Report.pdf","author":[{"family":"Harflett","given":"N"},{"family":"Jennings","given":"Y"}],"issued":{"date-parts":[["2016"]]}}}],"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(8)</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7545128E"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75E5C9FE"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u w:val="single"/>
          <w:lang w:val="en-GB"/>
        </w:rPr>
        <w:t>Enhanced case management models</w:t>
      </w:r>
      <w:r w:rsidRPr="00F472D7">
        <w:rPr>
          <w:rFonts w:ascii="Arial" w:eastAsia="Calibri" w:hAnsi="Arial" w:cs="Arial"/>
          <w:color w:val="000000" w:themeColor="text1"/>
          <w:lang w:val="en-GB"/>
        </w:rPr>
        <w:t xml:space="preserve"> </w:t>
      </w:r>
    </w:p>
    <w:p w14:paraId="0B831195" w14:textId="18849752"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These models aim to avoid the need for long-term inpatient admissions by providing intensive support to people with complex mental health needs within the community. ‘Specialist community mental health rehabilitation teams’ are a variation of traditional CMHTs which offer specialised rehabilitation care in the community, often working with people in intensive residential services or ensuring safe transitions between settings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{"citationID":"HMOf6BPC","properties":{"formattedCitation":"(100,101)","plainCitation":"(100,101)","noteIndex":0},"citationItems":[{"id":554,"uris":["http://zotero.org/groups/5103846/items/PPRC3SN8"],"itemData":{"id":554,"type":"document","publisher":"The National Institute for Health and Care Excellence","title":"Rehabilitation in adults with complex psychosis and related severe mental health conditions [A] Identifying people who would benefit most from mental health rehabilitation services [NICE Guideline NG181 Evidence Review]","URL":"https://www.nice.org.uk/guidance/ng181/evidence/a-identifying-people-who-would-benefit-most-from-mental-health-rehabilitation-services-pdf-8833147166","author":[{"literal":"National Guideline Alliance"}],"issued":{"date-parts":[["2020"]]}}},{"id":374,"uris":["http://zotero.org/groups/5103846/items/IKT9WSH2"],"itemData":{"id":374,"type":"document","publisher":"The National Institute for Health and Care Excellence","title":"Rehabilitation in adults with complex psychosis and related severe mental health conditions [P] The features of supported accommodation and housing that promote successful community living [NICE Guideline No. 181 Evidence Review]","URL":"https://www.nice.org.uk/guidance/ng181/evidence/p-the-features-of-supported-accommodation-and-housing-that-promote-successful-community-living-pdf-317993297947","author":[{"literal":"National Guideline Alliance"}],"issued":{"date-parts":[["2020"]]}}}],"schema":"https://github.com/citation-style-language/schema/raw/master/csl-citation.json"}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(100,101)</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Designated care coordinators oversee service users’ progression through the rehabilitation pathway and liaise with other providers in the statutory and voluntary sectors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{"citationID":"VMDxTgiP","properties":{"formattedCitation":"(100,101)","plainCitation":"(100,101)","noteIndex":0},"citationItems":[{"id":554,"uris":["http://zotero.org/groups/5103846/items/PPRC3SN8"],"itemData":{"id":554,"type":"document","publisher":"The National Institute for Health and Care Excellence","title":"Rehabilitation in adults with complex psychosis and related severe mental health conditions [A] Identifying people who would benefit most from mental health rehabilitation services [NICE Guideline NG181 Evidence Review]","URL":"https://www.nice.org.uk/guidance/ng181/evidence/a-identifying-people-who-would-benefit-most-from-mental-health-rehabilitation-services-pdf-8833147166","author":[{"literal":"National Guideline Alliance"}],"issued":{"date-parts":[["2020"]]}}},{"id":374,"uris":["http://zotero.org/groups/5103846/items/IKT9WSH2"],"itemData":{"id":374,"type":"document","publisher":"The National Institute for Health and Care Excellence","title":"Rehabilitation in adults with complex psychosis and related severe mental health conditions [P] The features of supported accommodation and housing that promote successful community living [NICE Guideline No. 181 Evidence Review]","URL":"https://www.nice.org.uk/guidance/ng181/evidence/p-the-features-of-supported-accommodation-and-housing-that-promote-successful-community-living-pdf-317993297947","author":[{"literal":"National Guideline Alliance"}],"issued":{"date-parts":[["2020"]]}}}],"schema":"https://github.com/citation-style-language/schema/raw/master/csl-citation.json"}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(100,101)</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Likewise, ACT, FACT and intensive case management models, as described in </w:t>
      </w:r>
      <w:r w:rsidRPr="00F472D7">
        <w:rPr>
          <w:rFonts w:ascii="Arial" w:eastAsia="Calibri" w:hAnsi="Arial" w:cs="Arial"/>
          <w:i/>
          <w:iCs/>
          <w:color w:val="000000" w:themeColor="text1"/>
          <w:lang w:val="en-GB"/>
        </w:rPr>
        <w:t xml:space="preserve">Section </w:t>
      </w:r>
      <w:r w:rsidR="00CA13DF">
        <w:rPr>
          <w:rFonts w:ascii="Arial" w:eastAsia="Calibri" w:hAnsi="Arial" w:cs="Arial"/>
          <w:i/>
          <w:iCs/>
          <w:color w:val="000000" w:themeColor="text1"/>
          <w:lang w:val="en-GB"/>
        </w:rPr>
        <w:t>1.</w:t>
      </w:r>
      <w:r w:rsidRPr="00F472D7">
        <w:rPr>
          <w:rFonts w:ascii="Arial" w:eastAsia="Calibri" w:hAnsi="Arial" w:cs="Arial"/>
          <w:i/>
          <w:iCs/>
          <w:color w:val="000000" w:themeColor="text1"/>
          <w:lang w:val="en-GB"/>
        </w:rPr>
        <w:t>1</w:t>
      </w:r>
      <w:r w:rsidR="00CA13DF">
        <w:rPr>
          <w:rFonts w:ascii="Arial" w:eastAsia="Calibri" w:hAnsi="Arial" w:cs="Arial"/>
          <w:i/>
          <w:iCs/>
          <w:color w:val="000000" w:themeColor="text1"/>
          <w:lang w:val="en-GB"/>
        </w:rPr>
        <w:t>.</w:t>
      </w:r>
      <w:r w:rsidRPr="00F472D7">
        <w:rPr>
          <w:rFonts w:ascii="Arial" w:eastAsia="Calibri" w:hAnsi="Arial" w:cs="Arial"/>
          <w:i/>
          <w:iCs/>
          <w:color w:val="000000" w:themeColor="text1"/>
          <w:lang w:val="en-GB"/>
        </w:rPr>
        <w:t xml:space="preserve">, </w:t>
      </w:r>
      <w:r w:rsidRPr="00F472D7">
        <w:rPr>
          <w:rFonts w:ascii="Arial" w:eastAsia="Calibri" w:hAnsi="Arial" w:cs="Arial"/>
          <w:color w:val="000000" w:themeColor="text1"/>
          <w:lang w:val="en-GB"/>
        </w:rPr>
        <w:t xml:space="preserve">can offer long-term enhanced case management support. </w:t>
      </w:r>
    </w:p>
    <w:p w14:paraId="3E4641CB"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p>
    <w:p w14:paraId="2856D939"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r w:rsidRPr="00F472D7">
        <w:rPr>
          <w:rFonts w:ascii="Arial" w:eastAsia="Calibri" w:hAnsi="Arial" w:cs="Arial"/>
          <w:color w:val="000000" w:themeColor="text1"/>
          <w:u w:val="single"/>
          <w:lang w:val="en-GB"/>
        </w:rPr>
        <w:t>Discharge transition support</w:t>
      </w:r>
    </w:p>
    <w:p w14:paraId="26D81655" w14:textId="57FCA21A"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lastRenderedPageBreak/>
        <w:t xml:space="preserve">The ‘Peer Bridger Project’, described in </w:t>
      </w:r>
      <w:r w:rsidRPr="00F472D7">
        <w:rPr>
          <w:rFonts w:ascii="Arial" w:eastAsia="Calibri" w:hAnsi="Arial" w:cs="Arial"/>
          <w:i/>
          <w:iCs/>
          <w:color w:val="000000" w:themeColor="text1"/>
          <w:lang w:val="en-GB"/>
        </w:rPr>
        <w:t xml:space="preserve">Section </w:t>
      </w:r>
      <w:r w:rsidR="00CA13DF">
        <w:rPr>
          <w:rFonts w:ascii="Arial" w:eastAsia="Calibri" w:hAnsi="Arial" w:cs="Arial"/>
          <w:i/>
          <w:iCs/>
          <w:color w:val="000000" w:themeColor="text1"/>
          <w:lang w:val="en-GB"/>
        </w:rPr>
        <w:t>1.</w:t>
      </w:r>
      <w:r w:rsidRPr="00F472D7">
        <w:rPr>
          <w:rFonts w:ascii="Arial" w:eastAsia="Calibri" w:hAnsi="Arial" w:cs="Arial"/>
          <w:i/>
          <w:iCs/>
          <w:color w:val="000000" w:themeColor="text1"/>
          <w:lang w:val="en-GB"/>
        </w:rPr>
        <w:t>1</w:t>
      </w:r>
      <w:r w:rsidR="00CA13DF">
        <w:rPr>
          <w:rFonts w:ascii="Arial" w:eastAsia="Calibri" w:hAnsi="Arial" w:cs="Arial"/>
          <w:i/>
          <w:iCs/>
          <w:color w:val="000000" w:themeColor="text1"/>
          <w:lang w:val="en-GB"/>
        </w:rPr>
        <w:t>.</w:t>
      </w:r>
      <w:r w:rsidRPr="00F472D7">
        <w:rPr>
          <w:rFonts w:ascii="Arial" w:eastAsia="Calibri" w:hAnsi="Arial" w:cs="Arial"/>
          <w:color w:val="000000" w:themeColor="text1"/>
          <w:lang w:val="en-GB"/>
        </w:rPr>
        <w:t xml:space="preserve">, often works with people who have been hospitalised for long periods of time or who have experienced repeated hospitalisations, aiming to support successful transitions from inpatient care back into the community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{"citationID":"CJVWsbQH","properties":{"formattedCitation":"(29)","plainCitation":"(29)","noteIndex":0},"citationItems":[{"id":421,"uris":["http://zotero.org/groups/5103846/items/P2PZQETK"],"itemData":{"id":421,"type":"webpage","title":"Peer Bridger Project","URL":"https://www.nyaprs.org/peer-bridger","author":[{"family":"New York Association of Psychiatric Rehabilitation Services Inc","given":""}]}}],"schema":"https://github.com/citation-style-language/schema/raw/master/csl-citation.json"}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(29)</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p>
    <w:p w14:paraId="4ADD7E50"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2E43AF2F" w14:textId="67AA6D49" w:rsidR="00693812" w:rsidRPr="00F472D7" w:rsidRDefault="00693812" w:rsidP="00693812">
      <w:pPr>
        <w:pStyle w:val="Heading3"/>
        <w:rPr>
          <w:rFonts w:eastAsia="Calibri Light"/>
          <w:lang w:val="en-GB"/>
        </w:rPr>
      </w:pPr>
      <w:r>
        <w:rPr>
          <w:rFonts w:eastAsia="Calibri Light"/>
          <w:lang w:val="en-GB"/>
        </w:rPr>
        <w:t>2.</w:t>
      </w:r>
      <w:r w:rsidRPr="00F472D7">
        <w:rPr>
          <w:rFonts w:eastAsia="Calibri Light"/>
          <w:lang w:val="en-GB"/>
        </w:rPr>
        <w:t xml:space="preserve">2. Hospital-based alternatives </w:t>
      </w:r>
    </w:p>
    <w:p w14:paraId="75A47C08" w14:textId="77777777" w:rsidR="00693812" w:rsidRPr="00F472D7" w:rsidRDefault="00693812" w:rsidP="00693812">
      <w:pPr>
        <w:spacing w:after="0" w:line="480" w:lineRule="auto"/>
        <w:jc w:val="both"/>
        <w:rPr>
          <w:rFonts w:ascii="Arial" w:eastAsia="Calibri Light" w:hAnsi="Arial" w:cs="Arial"/>
          <w:color w:val="1F3763"/>
          <w:sz w:val="24"/>
          <w:szCs w:val="24"/>
          <w:lang w:val="en-GB"/>
        </w:rPr>
      </w:pPr>
    </w:p>
    <w:p w14:paraId="42373691"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r w:rsidRPr="00F472D7">
        <w:rPr>
          <w:rFonts w:ascii="Arial" w:eastAsia="Calibri" w:hAnsi="Arial" w:cs="Arial"/>
          <w:color w:val="000000" w:themeColor="text1"/>
          <w:u w:val="single"/>
          <w:lang w:val="en-GB"/>
        </w:rPr>
        <w:t>Inpatient psychiatric services</w:t>
      </w:r>
    </w:p>
    <w:p w14:paraId="5B3535A9"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p>
    <w:p w14:paraId="23587E32" w14:textId="77777777" w:rsidR="00693812" w:rsidRPr="00F472D7" w:rsidRDefault="00693812" w:rsidP="00693812">
      <w:pPr>
        <w:spacing w:after="0" w:line="480" w:lineRule="auto"/>
        <w:jc w:val="both"/>
        <w:rPr>
          <w:rFonts w:ascii="Arial" w:eastAsia="Calibri" w:hAnsi="Arial" w:cs="Arial"/>
          <w:i/>
          <w:iCs/>
          <w:color w:val="000000" w:themeColor="text1"/>
          <w:lang w:val="en-GB"/>
        </w:rPr>
      </w:pPr>
      <w:r w:rsidRPr="00F472D7">
        <w:rPr>
          <w:rFonts w:ascii="Arial" w:eastAsia="Calibri" w:hAnsi="Arial" w:cs="Arial"/>
          <w:i/>
          <w:iCs/>
          <w:color w:val="000000" w:themeColor="text1"/>
          <w:lang w:val="en-GB"/>
        </w:rPr>
        <w:t>Inpatient psychiatric services with a specific therapeutic model</w:t>
      </w:r>
    </w:p>
    <w:p w14:paraId="14EE09ED" w14:textId="55397694"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‘Hostel wards’ provide residential inpatient care for long-stay patients in inpatient mental health services who are unable to manage in the community and require 24/7 nursing care. Residents remain inpatients legally and staffing levels are </w:t>
      </w:r>
      <w:proofErr w:type="gramStart"/>
      <w:r w:rsidRPr="00F472D7">
        <w:rPr>
          <w:rFonts w:ascii="Arial" w:eastAsia="Calibri" w:hAnsi="Arial" w:cs="Arial"/>
          <w:color w:val="000000" w:themeColor="text1"/>
          <w:lang w:val="en-GB"/>
        </w:rPr>
        <w:t>similar to</w:t>
      </w:r>
      <w:proofErr w:type="gramEnd"/>
      <w:r w:rsidRPr="00F472D7">
        <w:rPr>
          <w:rFonts w:ascii="Arial" w:eastAsia="Calibri" w:hAnsi="Arial" w:cs="Arial"/>
          <w:color w:val="000000" w:themeColor="text1"/>
          <w:lang w:val="en-GB"/>
        </w:rPr>
        <w:t xml:space="preserve"> standard inpatient care settings. However, they are distinct from standard long-term wards in that the style of accommodation is more domestic, and residents are given a programme of domestic chores and self-care activities judged to be within their abilities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{"citationID":"r6SxHvS8","properties":{"formattedCitation":"(108)","plainCitation":"(108)","noteIndex":0},"citationItems":[{"id":109,"uris":["http://zotero.org/groups/5103846/items/TSBWYX63"],"itemData":{"id":109,"type":"article-journal","container-title":"Cochrane Database of Systematic Reviews","DOI":"10.1002/14651858.CD004409.pub2","ISSN":"14651858","language":"en","source":"DOI.org (Crossref)","title":"Twenty-four hour care for schizophrenia","URL":"https://doi.wiley.com/10.1002/14651858.CD004409.pub2","author":[{"family":"Macpherson","given":"Rob"},{"family":"Edwards","given":"Thomas Rhys"},{"family":"Chilvers","given":"Rupatharshini"},{"family":"David","given":"Chris"},{"family":"Elliott","given":"Helen J"}],"editor":[{"literal":"Cochrane Schizophrenia Group"}],"accessed":{"date-parts":[["2023",6,23]]},"issued":{"date-parts":[["2009",4,15]]}}}],"schema":"https://github.com/citation-style-language/schema/raw/master/csl-citation.json"}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(108)</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p>
    <w:p w14:paraId="0AFF80B3"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06F8FDF7" w14:textId="5E65875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As described in relation to acute settings in </w:t>
      </w:r>
      <w:r w:rsidRPr="00F472D7">
        <w:rPr>
          <w:rFonts w:ascii="Arial" w:eastAsia="Calibri" w:hAnsi="Arial" w:cs="Arial"/>
          <w:i/>
          <w:iCs/>
          <w:color w:val="000000" w:themeColor="text1"/>
          <w:lang w:val="en-GB"/>
        </w:rPr>
        <w:t xml:space="preserve">Section </w:t>
      </w:r>
      <w:r w:rsidR="00607929">
        <w:rPr>
          <w:rFonts w:ascii="Arial" w:eastAsia="Calibri" w:hAnsi="Arial" w:cs="Arial"/>
          <w:i/>
          <w:iCs/>
          <w:color w:val="000000" w:themeColor="text1"/>
          <w:lang w:val="en-GB"/>
        </w:rPr>
        <w:t>1.2.</w:t>
      </w:r>
      <w:r w:rsidRPr="00F472D7">
        <w:rPr>
          <w:rFonts w:ascii="Arial" w:eastAsia="Calibri" w:hAnsi="Arial" w:cs="Arial"/>
          <w:color w:val="000000" w:themeColor="text1"/>
          <w:lang w:val="en-GB"/>
        </w:rPr>
        <w:t>, the ‘</w:t>
      </w:r>
      <w:proofErr w:type="spellStart"/>
      <w:r w:rsidRPr="00F472D7">
        <w:rPr>
          <w:rFonts w:ascii="Arial" w:eastAsia="Calibri" w:hAnsi="Arial" w:cs="Arial"/>
          <w:color w:val="000000" w:themeColor="text1"/>
          <w:lang w:val="en-GB"/>
        </w:rPr>
        <w:t>Safewards</w:t>
      </w:r>
      <w:proofErr w:type="spellEnd"/>
      <w:r w:rsidRPr="00F472D7">
        <w:rPr>
          <w:rFonts w:ascii="Arial" w:eastAsia="Calibri" w:hAnsi="Arial" w:cs="Arial"/>
          <w:color w:val="000000" w:themeColor="text1"/>
          <w:lang w:val="en-GB"/>
        </w:rPr>
        <w:t xml:space="preserve">’ programme has also been implemented in medium- and long-term inpatient settings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dvYas3Sd","properties":{"formattedCitation":"(109)","plainCitation":"(109)","noteIndex":0},"citationItems":[{"id":"pnuyFmyJ/Ct5Pgmlr","uris":["http://zotero.org/users/9548222/items/QYJ9S96R"],"itemData":{"id":1107,"type":"article-journal","container-title":"Journal of Forensic Nursing","DOI":"10.1097/JFN.0000000000000215","ISSN":"1939-3938, 1556-3693","issue":"4","language":"en","page":"214-222","source":"DOI.org (Crossref)","title":"Evaluating the Introduction of the Safewards Model to a Medium- to Long-Term Forensic Mental Health Ward","volume":"14","author":[{"family":"Maguire","given":"Tessa"},{"family":"Ryan","given":"Jo"},{"family":"Fullam","given":"Rachael"},{"family":"McKenna","given":"Brian"}],"issued":{"date-parts":[["2018",10]]}}}],"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(109)</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p>
    <w:p w14:paraId="1933A348"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6D0BBD9F" w14:textId="77777777" w:rsidR="00693812" w:rsidRPr="00F472D7" w:rsidRDefault="00693812" w:rsidP="00693812">
      <w:pPr>
        <w:spacing w:after="0" w:line="480" w:lineRule="auto"/>
        <w:jc w:val="both"/>
        <w:rPr>
          <w:rFonts w:ascii="Arial" w:eastAsia="Calibri" w:hAnsi="Arial" w:cs="Arial"/>
          <w:i/>
          <w:iCs/>
          <w:color w:val="000000" w:themeColor="text1"/>
          <w:lang w:val="en-GB"/>
        </w:rPr>
      </w:pPr>
      <w:r w:rsidRPr="00F472D7">
        <w:rPr>
          <w:rFonts w:ascii="Arial" w:eastAsia="Calibri" w:hAnsi="Arial" w:cs="Arial"/>
          <w:i/>
          <w:iCs/>
          <w:color w:val="000000" w:themeColor="text1"/>
          <w:lang w:val="en-GB"/>
        </w:rPr>
        <w:t xml:space="preserve">Inpatient wards for people with specific psychiatric conditions </w:t>
      </w:r>
    </w:p>
    <w:p w14:paraId="76766D00" w14:textId="3746001E" w:rsidR="00693812" w:rsidRPr="00F472D7" w:rsidRDefault="00693812" w:rsidP="00693812">
      <w:pPr>
        <w:spacing w:after="0" w:line="480" w:lineRule="auto"/>
        <w:jc w:val="both"/>
        <w:rPr>
          <w:rFonts w:ascii="Arial" w:eastAsia="Calibri Light" w:hAnsi="Arial" w:cs="Arial"/>
          <w:color w:val="1F3763"/>
          <w:sz w:val="24"/>
          <w:szCs w:val="24"/>
          <w:lang w:val="en-GB"/>
        </w:rPr>
      </w:pPr>
      <w:r w:rsidRPr="00F472D7">
        <w:rPr>
          <w:rFonts w:ascii="Arial" w:eastAsia="Calibri" w:hAnsi="Arial" w:cs="Arial"/>
          <w:color w:val="1D1C1D"/>
          <w:lang w:val="en-GB"/>
        </w:rPr>
        <w:t xml:space="preserve">Specialist longer-term inpatient wards may offer tailored care for specific clinical groups, such as people with “personality disorder”, or other groups with specific needs, such as deaf people. An example identified in our consultation was the </w:t>
      </w:r>
      <w:proofErr w:type="spellStart"/>
      <w:r w:rsidRPr="00F472D7">
        <w:rPr>
          <w:rFonts w:ascii="Arial" w:eastAsia="Calibri" w:hAnsi="Arial" w:cs="Arial"/>
          <w:color w:val="1D1C1D"/>
          <w:lang w:val="en-GB"/>
        </w:rPr>
        <w:t>Springbank</w:t>
      </w:r>
      <w:proofErr w:type="spellEnd"/>
      <w:r w:rsidRPr="00F472D7">
        <w:rPr>
          <w:rFonts w:ascii="Arial" w:eastAsia="Calibri" w:hAnsi="Arial" w:cs="Arial"/>
          <w:color w:val="1D1C1D"/>
          <w:lang w:val="en-GB"/>
        </w:rPr>
        <w:t xml:space="preserve"> Unit, an inpatient unit for women with a diagnosis of “borderline personality disorder”, which also aimed to implement less restrictive risk management procedures (e.g., by offering service users an optional conversation with staff in the place of a formal risk assessment checklist when leaving the ward) </w:t>
      </w:r>
      <w:r w:rsidRPr="00F472D7">
        <w:rPr>
          <w:rFonts w:ascii="Arial" w:eastAsia="Calibri" w:hAnsi="Arial" w:cs="Arial"/>
          <w:color w:val="1D1C1D"/>
          <w:lang w:val="en-GB"/>
        </w:rPr>
        <w:fldChar w:fldCharType="begin"/>
      </w:r>
      <w:r w:rsidR="00937ACD">
        <w:rPr>
          <w:rFonts w:ascii="Arial" w:eastAsia="Calibri" w:hAnsi="Arial" w:cs="Arial"/>
          <w:color w:val="1D1C1D"/>
          <w:lang w:val="en-GB"/>
        </w:rPr>
        <w:instrText xml:space="preserve"> ADDIN ZOTERO_ITEM CSL_CITATION {"citationID":"LeIC0RaZ","properties":{"formattedCitation":"(70)","plainCitation":"(70)","noteIndex":0},"citationItems":[{"id":147,"uris":["http://zotero.org/groups/5103846/items/DUMLTLTK"],"itemData":{"id":147,"type":"article-journal","container-title":"Cureus","DOI":"10.7759/cureus.33935","ISSN":"2168-8184","language":"en","source":"DOI.org (Crossref)","title":"The Impact of Stopping Risk Assessment Checklists at a Specialist Personality Disorder Unit","URL":"https://www.cureus.com/articles/106062-the-impact-of-stopping-risk-assessment-checklists-at-a-specialist-personality-disorder-unit","author":[{"family":"Yue","given":"Adelaide C"},{"family":"Philbey","given":"Alasdair W"},{"family":"Crawford","given":"Owen A"},{"family":"Zimbron","given":"Jorge"}],"accessed":{"date-parts":[["2023",6,23]]},"issued":{"date-parts":[["2023",1,18]]}}}],"schema":"https://github.com/citation-style-language/schema/raw/master/csl-citation.json"} </w:instrText>
      </w:r>
      <w:r w:rsidRPr="00F472D7">
        <w:rPr>
          <w:rFonts w:ascii="Arial" w:eastAsia="Calibri" w:hAnsi="Arial" w:cs="Arial"/>
          <w:color w:val="1D1C1D"/>
          <w:lang w:val="en-GB"/>
        </w:rPr>
        <w:fldChar w:fldCharType="separate"/>
      </w:r>
      <w:r w:rsidR="00937ACD" w:rsidRPr="00937ACD">
        <w:rPr>
          <w:rFonts w:ascii="Arial" w:hAnsi="Arial" w:cs="Arial"/>
        </w:rPr>
        <w:t>(70)</w:t>
      </w:r>
      <w:r w:rsidRPr="00F472D7">
        <w:rPr>
          <w:rFonts w:ascii="Arial" w:eastAsia="Calibri" w:hAnsi="Arial" w:cs="Arial"/>
          <w:color w:val="1D1C1D"/>
          <w:lang w:val="en-GB"/>
        </w:rPr>
        <w:fldChar w:fldCharType="end"/>
      </w:r>
      <w:r w:rsidRPr="00F472D7">
        <w:rPr>
          <w:rFonts w:ascii="Arial" w:eastAsia="Calibri" w:hAnsi="Arial" w:cs="Arial"/>
          <w:color w:val="1D1C1D"/>
          <w:lang w:val="en-GB"/>
        </w:rPr>
        <w:t xml:space="preserve">. </w:t>
      </w:r>
    </w:p>
    <w:p w14:paraId="38409D19" w14:textId="77777777" w:rsidR="00693812" w:rsidRPr="00F472D7" w:rsidRDefault="00693812" w:rsidP="00693812">
      <w:pPr>
        <w:spacing w:after="0" w:line="480" w:lineRule="auto"/>
        <w:jc w:val="both"/>
        <w:rPr>
          <w:rFonts w:ascii="Arial" w:eastAsia="Calibri Light" w:hAnsi="Arial" w:cs="Arial"/>
          <w:color w:val="1F3763"/>
          <w:sz w:val="24"/>
          <w:szCs w:val="24"/>
          <w:lang w:val="en-GB"/>
        </w:rPr>
      </w:pPr>
    </w:p>
    <w:p w14:paraId="21D7AAEA" w14:textId="73AB5A3F" w:rsidR="00693812" w:rsidRPr="00F472D7" w:rsidRDefault="00693812" w:rsidP="00693812">
      <w:pPr>
        <w:pStyle w:val="Heading3"/>
        <w:rPr>
          <w:rFonts w:eastAsia="Calibri Light"/>
          <w:lang w:val="en-GB"/>
        </w:rPr>
      </w:pPr>
      <w:r>
        <w:rPr>
          <w:rFonts w:eastAsia="Calibri Light"/>
          <w:lang w:val="en-GB"/>
        </w:rPr>
        <w:t>2.</w:t>
      </w:r>
      <w:r w:rsidRPr="00F472D7">
        <w:rPr>
          <w:rFonts w:eastAsia="Calibri Light"/>
          <w:lang w:val="en-GB"/>
        </w:rPr>
        <w:t xml:space="preserve">3. Cross-setting approaches  </w:t>
      </w:r>
    </w:p>
    <w:p w14:paraId="69C49CE3"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36C38E0D" w14:textId="270BB41E" w:rsidR="00693812" w:rsidRPr="00F472D7" w:rsidRDefault="00693812" w:rsidP="00693812">
      <w:pPr>
        <w:spacing w:after="0" w:line="480" w:lineRule="auto"/>
        <w:jc w:val="both"/>
        <w:rPr>
          <w:rFonts w:ascii="Arial" w:eastAsia="Calibri" w:hAnsi="Arial" w:cs="Arial"/>
          <w:lang w:val="en-GB"/>
        </w:rPr>
      </w:pPr>
      <w:r w:rsidRPr="00F472D7">
        <w:rPr>
          <w:rFonts w:ascii="Arial" w:eastAsia="Calibri" w:hAnsi="Arial" w:cs="Arial"/>
          <w:color w:val="000000" w:themeColor="text1"/>
          <w:lang w:val="en-GB"/>
        </w:rPr>
        <w:t xml:space="preserve">A range of cross-setting approaches were also identified in relation to long-term rehabilitation. Firstly, as described in </w:t>
      </w:r>
      <w:r w:rsidRPr="00F472D7">
        <w:rPr>
          <w:rFonts w:ascii="Arial" w:eastAsia="Calibri" w:hAnsi="Arial" w:cs="Arial"/>
          <w:i/>
          <w:iCs/>
          <w:color w:val="000000" w:themeColor="text1"/>
          <w:lang w:val="en-GB"/>
        </w:rPr>
        <w:t xml:space="preserve">Section </w:t>
      </w:r>
      <w:r w:rsidR="00CA13DF">
        <w:rPr>
          <w:rFonts w:ascii="Arial" w:eastAsia="Calibri" w:hAnsi="Arial" w:cs="Arial"/>
          <w:i/>
          <w:iCs/>
          <w:color w:val="000000" w:themeColor="text1"/>
          <w:lang w:val="en-GB"/>
        </w:rPr>
        <w:t>1</w:t>
      </w:r>
      <w:r w:rsidRPr="00F472D7">
        <w:rPr>
          <w:rFonts w:ascii="Arial" w:eastAsia="Calibri" w:hAnsi="Arial" w:cs="Arial"/>
          <w:i/>
          <w:iCs/>
          <w:color w:val="000000" w:themeColor="text1"/>
          <w:lang w:val="en-GB"/>
        </w:rPr>
        <w:t>.3</w:t>
      </w:r>
      <w:r w:rsidR="00CA13DF">
        <w:rPr>
          <w:rFonts w:ascii="Arial" w:eastAsia="Calibri" w:hAnsi="Arial" w:cs="Arial"/>
          <w:i/>
          <w:iCs/>
          <w:color w:val="000000" w:themeColor="text1"/>
          <w:lang w:val="en-GB"/>
        </w:rPr>
        <w:t>.</w:t>
      </w:r>
      <w:r w:rsidRPr="00F472D7">
        <w:rPr>
          <w:rFonts w:ascii="Arial" w:eastAsia="Calibri" w:hAnsi="Arial" w:cs="Arial"/>
          <w:color w:val="000000" w:themeColor="text1"/>
          <w:lang w:val="en-GB"/>
        </w:rPr>
        <w:t xml:space="preserve">, ‘Therapeutic communities’ and ‘DTCs’ may also offer an alternative approach to standard longer term inpatient care, in both inpatient rehabilitation, residential and day hospital settings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{"citationID":"vyWjfxdw","properties":{"formattedCitation":"(6,76)","plainCitation":"(6,76)","noteIndex":0},"citationItems":[{"id":430,"uris":["http://zotero.org/groups/5103846/items/JUEK2H4W"],"itemData":{"id":430,"type":"webpage","title":"The Consortium for Therapeutic Communities","URL":"https://therapeuticcommunities.org/","author":[{"family":"The Consortium for Therapeutic Communities","given":""}],"issued":{"date-parts":[["2022"]]}}},{"id":188,"uris":["http://zotero.org/groups/5103846/items/M72XKEV7"],"itemData":{"id":188,"type":"article-journal","abstract":"The article proposes a rough outline of an alternative systemic approach to mental health issues and of a more humane mental health care system. It suggests focusing on understanding mental distress as stemming from problems in living, using medications as agents facilitating psychotherapy, or as a last resort and short-term help, according to the principles of harm reduction. It argues that understanding drugs as psychoactive substances and studying the subjective effects they produce could lead to better utilization of medications and improvements in terms of conceptualizing and assessing treatment effects. Qualitative research could be particularly useful in that regard. It also advocates a radical departure from current diagnostic systems and proposes a synthesis of already existing alternatives to be used for both research and clinical purposes. Accordingly, a general idea for an alternative mental health care system, based on a combination of Open Dialogue Approach, Soteria houses, individual and group psychotherapy, cautious prescribing, services helping with drug discontinuation, peer-led services and social support is presented. The proposition could be seen as a first step towards developing a systemic alternative that could replace the currently dominating approach instead of focusing on implementing partial solutions that can be co-opted by the current one.","container-title":"International Journal of Environmental Research and Public Health","DOI":"10.3390/ijerph18126625","ISSN":"1660-4601","issue":"12","journalAbbreviation":"IJERPH","language":"en","page":"6625","source":"DOI.org (Crossref)","title":"From Mental Health Industry to Humane Care. Suggestions for an Alternative Systemic Approach to Distress","volume":"18","author":[{"family":"Stupak","given":"Radosław"},{"family":"Dobroczyński","given":"Bartłomiej"}],"issued":{"date-parts":[["2021",6,20]]}}}],"schema":"https://github.com/citation-style-language/schema/raw/master/csl-citation.json"}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(6,76)</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p>
    <w:p w14:paraId="072D5D8C"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726A68A5" w14:textId="5F910E40" w:rsidR="00693812"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Second, as described in </w:t>
      </w:r>
      <w:r w:rsidRPr="00F472D7">
        <w:rPr>
          <w:rFonts w:ascii="Arial" w:eastAsia="Calibri" w:hAnsi="Arial" w:cs="Arial"/>
          <w:i/>
          <w:iCs/>
          <w:color w:val="000000" w:themeColor="text1"/>
          <w:lang w:val="en-GB"/>
        </w:rPr>
        <w:t xml:space="preserve">Section </w:t>
      </w:r>
      <w:r w:rsidR="00CA13DF">
        <w:rPr>
          <w:rFonts w:ascii="Arial" w:eastAsia="Calibri" w:hAnsi="Arial" w:cs="Arial"/>
          <w:i/>
          <w:iCs/>
          <w:color w:val="000000" w:themeColor="text1"/>
          <w:lang w:val="en-GB"/>
        </w:rPr>
        <w:t>1.</w:t>
      </w:r>
      <w:r w:rsidRPr="00F472D7">
        <w:rPr>
          <w:rFonts w:ascii="Arial" w:eastAsia="Calibri" w:hAnsi="Arial" w:cs="Arial"/>
          <w:i/>
          <w:iCs/>
          <w:color w:val="000000" w:themeColor="text1"/>
          <w:lang w:val="en-GB"/>
        </w:rPr>
        <w:t>3</w:t>
      </w:r>
      <w:r w:rsidR="00CA13DF">
        <w:rPr>
          <w:rFonts w:ascii="Arial" w:eastAsia="Calibri" w:hAnsi="Arial" w:cs="Arial"/>
          <w:i/>
          <w:iCs/>
          <w:color w:val="000000" w:themeColor="text1"/>
          <w:lang w:val="en-GB"/>
        </w:rPr>
        <w:t>.</w:t>
      </w:r>
      <w:r w:rsidRPr="00F472D7">
        <w:rPr>
          <w:rFonts w:ascii="Arial" w:eastAsia="Calibri" w:hAnsi="Arial" w:cs="Arial"/>
          <w:color w:val="000000" w:themeColor="text1"/>
          <w:lang w:val="en-GB"/>
        </w:rPr>
        <w:t xml:space="preserve">, the ‘Trieste model’ also operates as a community alternative for longer term rehabilitation. For example, it provides people with supported housing, and there is a residential rehabilitation service which offers up to six months of support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{"citationID":"eaetACmd","properties":{"formattedCitation":"(110)","plainCitation":"(110)","noteIndex":0},"citationItems":[{"id":612,"uris":["http://zotero.org/groups/5103846/items/APP7LYDP"],"itemData":{"id":612,"type":"article-journal","abstract":"Purpose\n              Too often people with complex mental health needs do not find their way out of the mental health system or find satisfactory solutions that enable them to live a full life. In 2015 the Mental Health Department (MHD) of Trieste established the Recovery House pilot project to address this concern. The paper aims to Investigate the project.\n            \n            \n              Design/methodology/approach\n              The Recovery House was co-created with and for people between 18 and 35 years old with diagnoses of psychosis and other complex mental health conditions. An integral part of the pilot was the organization of the “Recovery Community,” inspired by the Assembly model embraced by Franco Basaglia. The Recovery Community met regularly to both support and learn from the Recovery House and aimed to create a democratic and reflective space where power relationships, self-determination, responsibility and ownership by all the stakeholders, including family members, could be explored together.\n            \n            \n              Findings\n              Over a period of 31 months, four groups of people have successfully completed their residency at the Recovery House. In total, 89 percent of people who stayed at the Recovery House did so up to six months. After the period of staying at the Recovery House most of them moved to independent living or shared supported accommodation.\n            \n            \n              Originality/value\n              This initiative sheds light on the fact that democratic values, approaches and structures can improve both service functioning and the recovery outcomes for people with complex health needs. Further, the Recovery House has had a significant effect on the culture and practice of the MHD in adopting a comprehensive approach to emotional distress.","container-title":"Therapeutic Communities: The International Journal of Therapeutic Communities","DOI":"10.1108/TC-01-2018-0003","ISSN":"0964-1866","issue":"4","journalAbbreviation":"TC","language":"en","page":"149-161","source":"DOI.org (Crossref)","title":"The Recovery House in Trieste: rational, participants, intervention as the “work”","title-short":"The Recovery House in Trieste","volume":"39","author":[{"family":"Casadio","given":"Roberta"},{"family":"Marin","given":"Izabel Cristina"},{"family":"Thomé","given":"Thais"},{"family":"Mezzina","given":"Roberto"},{"family":"Baker","given":"Paul"},{"family":"Jenkins","given":"John"},{"family":"Pérez","given":"Patricia Martin"},{"family":"Pocobello","given":"Raffaella"}],"issued":{"date-parts":[["2018",12,10]]}}}],"schema":"https://github.com/citation-style-language/schema/raw/master/csl-citation.json"}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(110)</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2127FB8A"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773D8942" w14:textId="40420A54"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Third, as described above in S</w:t>
      </w:r>
      <w:r w:rsidRPr="00F472D7">
        <w:rPr>
          <w:rFonts w:ascii="Arial" w:eastAsia="Calibri" w:hAnsi="Arial" w:cs="Arial"/>
          <w:i/>
          <w:iCs/>
          <w:color w:val="000000" w:themeColor="text1"/>
          <w:lang w:val="en-GB"/>
        </w:rPr>
        <w:t xml:space="preserve">ection </w:t>
      </w:r>
      <w:r w:rsidR="00CA13DF">
        <w:rPr>
          <w:rFonts w:ascii="Arial" w:eastAsia="Calibri" w:hAnsi="Arial" w:cs="Arial"/>
          <w:i/>
          <w:iCs/>
          <w:color w:val="000000" w:themeColor="text1"/>
          <w:lang w:val="en-GB"/>
        </w:rPr>
        <w:t>1.</w:t>
      </w:r>
      <w:r w:rsidRPr="00F472D7">
        <w:rPr>
          <w:rFonts w:ascii="Arial" w:eastAsia="Calibri" w:hAnsi="Arial" w:cs="Arial"/>
          <w:i/>
          <w:iCs/>
          <w:color w:val="000000" w:themeColor="text1"/>
          <w:lang w:val="en-GB"/>
        </w:rPr>
        <w:t>3</w:t>
      </w:r>
      <w:r w:rsidR="00CA13DF">
        <w:rPr>
          <w:rFonts w:ascii="Arial" w:eastAsia="Calibri" w:hAnsi="Arial" w:cs="Arial"/>
          <w:i/>
          <w:iCs/>
          <w:color w:val="000000" w:themeColor="text1"/>
          <w:lang w:val="en-GB"/>
        </w:rPr>
        <w:t>.</w:t>
      </w:r>
      <w:r w:rsidRPr="00F472D7">
        <w:rPr>
          <w:rFonts w:ascii="Arial" w:eastAsia="Calibri" w:hAnsi="Arial" w:cs="Arial"/>
          <w:color w:val="000000" w:themeColor="text1"/>
          <w:lang w:val="en-GB"/>
        </w:rPr>
        <w:t xml:space="preserve">, ‘Enabling Environments’ can be applied in a range of settings, including long-term rehabilitation settings for people with chronic mental health difficulties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{"citationID":"a4n9ggmT","properties":{"formattedCitation":"(79)","plainCitation":"(79)","noteIndex":0},"citationItems":[{"id":427,"uris":["http://zotero.org/groups/5103846/items/NTKBD45C"],"itemData":{"id":427,"type":"webpage","title":"Enabling Environments (EE)","URL":"https://www.rcpsych.ac.uk/improving-care/ccqi/quality-networks-accreditation/enabling-environments-network-ee","author":[{"family":"Royal College of Psychiatrists","given":""}],"issued":{"date-parts":[["2023"]]}}}],"schema":"https://github.com/citation-style-language/schema/raw/master/csl-citation.json"}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(79)</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0EC7AAFB"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1CF7185B" w14:textId="1A323FD8"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Finally, as described in </w:t>
      </w:r>
      <w:r w:rsidRPr="00F472D7">
        <w:rPr>
          <w:rFonts w:ascii="Arial" w:eastAsia="Calibri" w:hAnsi="Arial" w:cs="Arial"/>
          <w:i/>
          <w:iCs/>
          <w:color w:val="000000" w:themeColor="text1"/>
          <w:lang w:val="en-GB"/>
        </w:rPr>
        <w:t xml:space="preserve">Section </w:t>
      </w:r>
      <w:r w:rsidR="00CA13DF">
        <w:rPr>
          <w:rFonts w:ascii="Arial" w:eastAsia="Calibri" w:hAnsi="Arial" w:cs="Arial"/>
          <w:i/>
          <w:iCs/>
          <w:color w:val="000000" w:themeColor="text1"/>
          <w:lang w:val="en-GB"/>
        </w:rPr>
        <w:t>1.</w:t>
      </w:r>
      <w:r w:rsidRPr="00F472D7">
        <w:rPr>
          <w:rFonts w:ascii="Arial" w:eastAsia="Calibri" w:hAnsi="Arial" w:cs="Arial"/>
          <w:i/>
          <w:iCs/>
          <w:color w:val="000000" w:themeColor="text1"/>
          <w:lang w:val="en-GB"/>
        </w:rPr>
        <w:t>3</w:t>
      </w:r>
      <w:r w:rsidR="00CA13DF">
        <w:rPr>
          <w:rFonts w:ascii="Arial" w:eastAsia="Calibri" w:hAnsi="Arial" w:cs="Arial"/>
          <w:i/>
          <w:iCs/>
          <w:color w:val="000000" w:themeColor="text1"/>
          <w:lang w:val="en-GB"/>
        </w:rPr>
        <w:t>.</w:t>
      </w:r>
      <w:r w:rsidRPr="00F472D7">
        <w:rPr>
          <w:rFonts w:ascii="Arial" w:eastAsia="Calibri" w:hAnsi="Arial" w:cs="Arial"/>
          <w:color w:val="000000" w:themeColor="text1"/>
          <w:lang w:val="en-GB"/>
        </w:rPr>
        <w:t xml:space="preserve">, there are ‘Specialist consultancy’ models which aim to provide expert consultancy to health care organisations and intensive intervention to individuals to avoid and reduce long-term mental health hospitalisations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{"citationID":"23E67loL","properties":{"formattedCitation":"(93,95\\uc0\\u8211{}98)","plainCitation":"(93,95–98)","noteIndex":0},"citationItems":[{"id":419,"uris":["http://zotero.org/groups/5103846/items/VLMLKV9R"],"itemData":{"id":419,"type":"webpage","title":"Beam Consultancy: Clinical Expertise and Lived Experience in the areas of potentially lethal self harm, suicidality and complex interpersonal dynamics, often described as ‘personality disorder’","URL":"https://www.beamconsultancy.co.uk","author":[{"family":"Beam Consultancy","given":""}],"issued":{"date-parts":[["2023"]]}}},{"id":490,"uris":["http://zotero.org/groups/5103846/items/N7VICLTL"],"itemData":{"id":490,"type":"webpage","container-title":"University of Oxford website","title":"Co-PACT summary","URL":"https://www.psych.ox.ac.uk/research/chimes/co-pact/co-pact_summary"}},{"id":489,"uris":["http://zotero.org/groups/5103846/items/R4HX83XT"],"itemData":{"id":489,"type":"webpage","title":"ImROC","URL":"https://imroc.org/resource/co-production-sharing-our-experiences-reflecting-on-our-learning/","issued":{"literal":"n.d."}}},{"id":488,"uris":["http://zotero.org/groups/5103846/items/FP4RBMZM"],"itemData":{"id":488,"type":"article-journal","container-title":"Journal of Mental Health","DOI":"10.1080/09638230701879235","ISSN":"0963-8237, 1360-0567","issue":"2","journalAbbreviation":"Journal of Mental Health","language":"en","page":"111-120","source":"DOI.org (Crossref)","title":"A comparison of service users placed out of their local area and local rehabilitation service users","volume":"18","author":[{"family":"Killaspy","given":"Helen"},{"family":"Rambarran","given":"Dolly"},{"family":"Harden","given":"Cressida"},{"family":"Fearon","given":"Dave"},{"family":"Caren","given":"Graham"},{"family":"McClinton","given":"Kath"}],"issued":{"date-parts":[["2009",1]]}}},{"id":491,"uris":["http://zotero.org/groups/5103846/items/GLH3RV9X"],"itemData":{"id":491,"type":"article-journal","container-title":"International Review of Psychiatry","DOI":"10.3109/09540261.2014.992303","ISSN":"0954-0261, 1369-1627","issue":"1","journalAbbreviation":"International Review of Psychiatry","language":"en","page":"11-22","source":"DOI.org (Crossref)","title":"A cultural consultation service in East London: Experiences and outcomes from implementation of an innovative service","title-short":"A cultural consultation service in East London","volume":"27","author":[{"family":"Bhui","given":"Kamaldeep S."},{"family":"Owiti","given":"John A."},{"family":"Palinski","given":"Andrea"},{"family":"Ascoli","given":"Micol"},{"family":"De Jongh","given":"Bertine"},{"family":"Archer","given":"Jane"},{"family":"Staples","given":"Pat"},{"family":"Ahmed","given":"Nilu"},{"family":"Ajaz","given":"Ali"}],"issued":{"date-parts":[["2015",1,2]]}}}],"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(93,95–98)</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4E6E253D"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72976841" w14:textId="2C4431CB" w:rsidR="00693812" w:rsidRPr="00F472D7" w:rsidRDefault="00693812" w:rsidP="00693812">
      <w:pPr>
        <w:pStyle w:val="Heading2"/>
        <w:rPr>
          <w:rFonts w:eastAsia="Calibri Light"/>
          <w:lang w:val="en-GB"/>
        </w:rPr>
      </w:pPr>
      <w:r w:rsidRPr="00F472D7">
        <w:rPr>
          <w:rFonts w:eastAsia="Calibri Light"/>
          <w:lang w:val="en-GB"/>
        </w:rPr>
        <w:lastRenderedPageBreak/>
        <w:t xml:space="preserve">3. Adult long-term inpatient care alternatives: forensic   </w:t>
      </w:r>
    </w:p>
    <w:p w14:paraId="35877050" w14:textId="77777777" w:rsidR="00693812" w:rsidRPr="00F472D7" w:rsidRDefault="00693812" w:rsidP="00693812">
      <w:pPr>
        <w:keepNext/>
        <w:keepLines/>
        <w:spacing w:after="0" w:line="480" w:lineRule="auto"/>
        <w:jc w:val="both"/>
        <w:rPr>
          <w:rFonts w:ascii="Arial" w:eastAsia="Calibri Light" w:hAnsi="Arial" w:cs="Arial"/>
          <w:color w:val="0F4761" w:themeColor="accent1" w:themeShade="BF"/>
          <w:sz w:val="25"/>
          <w:szCs w:val="25"/>
          <w:lang w:val="en-GB"/>
        </w:rPr>
      </w:pPr>
    </w:p>
    <w:p w14:paraId="27EC79B7" w14:textId="341024A6" w:rsidR="00693812" w:rsidRPr="00F472D7" w:rsidRDefault="00693812" w:rsidP="00693812">
      <w:pPr>
        <w:keepNext/>
        <w:keepLines/>
        <w:spacing w:after="0" w:line="480" w:lineRule="auto"/>
        <w:jc w:val="both"/>
        <w:rPr>
          <w:rFonts w:ascii="Arial" w:eastAsia="Calibri" w:hAnsi="Arial" w:cs="Arial"/>
          <w:color w:val="000000" w:themeColor="text1"/>
          <w:lang w:val="en-GB"/>
        </w:rPr>
      </w:pPr>
      <w:r w:rsidRPr="1848F519">
        <w:rPr>
          <w:rFonts w:ascii="Arial" w:eastAsia="Calibri" w:hAnsi="Arial" w:cs="Arial"/>
          <w:color w:val="000000" w:themeColor="text1"/>
          <w:lang w:val="en-GB"/>
        </w:rPr>
        <w:t xml:space="preserve">A range of alternative service models were identified which operate in forensic settings across a variety of countries (see </w:t>
      </w:r>
      <w:r w:rsidR="00B83BB9">
        <w:rPr>
          <w:rFonts w:ascii="Arial" w:eastAsia="Calibri" w:hAnsi="Arial" w:cs="Arial"/>
          <w:color w:val="000000" w:themeColor="text1"/>
          <w:lang w:val="en-GB"/>
        </w:rPr>
        <w:t xml:space="preserve">Supplementary </w:t>
      </w:r>
      <w:r w:rsidR="00026BE1">
        <w:rPr>
          <w:rFonts w:ascii="Arial" w:eastAsia="Calibri" w:hAnsi="Arial" w:cs="Arial"/>
          <w:color w:val="000000" w:themeColor="text1"/>
          <w:lang w:val="en-GB"/>
        </w:rPr>
        <w:t>Material</w:t>
      </w:r>
      <w:r w:rsidRPr="1848F519">
        <w:rPr>
          <w:rFonts w:ascii="Arial" w:eastAsia="Calibri" w:hAnsi="Arial" w:cs="Arial"/>
          <w:color w:val="000000" w:themeColor="text1"/>
          <w:lang w:val="en-GB"/>
        </w:rPr>
        <w:t xml:space="preserve"> </w:t>
      </w:r>
      <w:r w:rsidR="00B83BB9">
        <w:rPr>
          <w:rFonts w:ascii="Arial" w:eastAsia="Calibri" w:hAnsi="Arial" w:cs="Arial"/>
          <w:color w:val="000000" w:themeColor="text1"/>
          <w:lang w:val="en-GB"/>
        </w:rPr>
        <w:t>4</w:t>
      </w:r>
      <w:r w:rsidRPr="1848F519">
        <w:rPr>
          <w:rFonts w:ascii="Arial" w:eastAsia="Calibri" w:hAnsi="Arial" w:cs="Arial"/>
          <w:color w:val="000000" w:themeColor="text1"/>
          <w:lang w:val="en-GB"/>
        </w:rPr>
        <w:t xml:space="preserve">). Some of the service models identified below represent components of the Offender Personality Disorder (OPD) pathway in the UK, which operates exclusively in forensic contexts. This aims to offer a pathway of psychologically informed services for offenders with likely “severe personality disorder” </w:t>
      </w:r>
      <w:r w:rsidRPr="1848F519">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{"citationID":"eICmx4DU","properties":{"formattedCitation":"(111)","plainCitation":"(111)","noteIndex":0},"citationItems":[{"id":408,"uris":["http://zotero.org/groups/5103846/items/AAHAZWDI"],"itemData":{"id":408,"type":"document","title":"The offender personality disorder pathway strategy. National Offender Management Service.","URL":"https://www.england.nhs.uk/commissioning/wp-content/uploads/sites/12/2016/02/opd-strategy-nov-15.pdf","author":[{"family":"NHS England","given":""}],"issued":{"date-parts":[["2015"]]}}}],"schema":"https://github.com/citation-style-language/schema/raw/master/csl-citation.json"} </w:instrText>
      </w:r>
      <w:r w:rsidRPr="1848F519">
        <w:rPr>
          <w:rFonts w:ascii="Arial" w:eastAsia="Calibri" w:hAnsi="Arial" w:cs="Arial"/>
          <w:color w:val="000000" w:themeColor="text1"/>
          <w:lang w:val="en-GB"/>
        </w:rPr>
        <w:fldChar w:fldCharType="separate"/>
      </w:r>
      <w:r w:rsidR="00937ACD" w:rsidRPr="00937ACD">
        <w:rPr>
          <w:rFonts w:ascii="Arial" w:hAnsi="Arial" w:cs="Arial"/>
        </w:rPr>
        <w:t>(111)</w:t>
      </w:r>
      <w:r w:rsidRPr="1848F519">
        <w:rPr>
          <w:rFonts w:ascii="Arial" w:eastAsia="Calibri" w:hAnsi="Arial" w:cs="Arial"/>
          <w:color w:val="000000" w:themeColor="text1"/>
          <w:lang w:val="en-GB"/>
        </w:rPr>
        <w:fldChar w:fldCharType="end"/>
      </w:r>
      <w:r w:rsidRPr="1848F519">
        <w:rPr>
          <w:rFonts w:ascii="Arial" w:eastAsia="Calibri" w:hAnsi="Arial" w:cs="Arial"/>
          <w:color w:val="000000" w:themeColor="text1"/>
          <w:lang w:val="en-GB"/>
        </w:rPr>
        <w:t>. F</w:t>
      </w:r>
      <w:r w:rsidRPr="1848F519">
        <w:rPr>
          <w:rStyle w:val="normaltextrun"/>
          <w:rFonts w:ascii="Arial" w:eastAsia="Calibri" w:hAnsi="Arial" w:cs="Arial"/>
          <w:color w:val="000000" w:themeColor="text1"/>
          <w:lang w:val="en-GB"/>
        </w:rPr>
        <w:t xml:space="preserve">urther information, and identified outcome evidence, for each model is provided in </w:t>
      </w:r>
      <w:r w:rsidR="00B83BB9">
        <w:rPr>
          <w:rStyle w:val="normaltextrun"/>
          <w:rFonts w:ascii="Arial" w:eastAsia="Calibri" w:hAnsi="Arial" w:cs="Arial"/>
          <w:color w:val="000000" w:themeColor="text1"/>
          <w:lang w:val="en-GB"/>
        </w:rPr>
        <w:t>Supplementary</w:t>
      </w:r>
      <w:r w:rsidRPr="1848F519">
        <w:rPr>
          <w:rFonts w:ascii="Arial" w:eastAsia="Calibri" w:hAnsi="Arial" w:cs="Arial"/>
          <w:color w:val="000000" w:themeColor="text1"/>
          <w:lang w:val="en-GB"/>
        </w:rPr>
        <w:t xml:space="preserve"> </w:t>
      </w:r>
      <w:r w:rsidR="00026BE1">
        <w:rPr>
          <w:rFonts w:ascii="Arial" w:eastAsia="Calibri" w:hAnsi="Arial" w:cs="Arial"/>
          <w:color w:val="000000" w:themeColor="text1"/>
          <w:lang w:val="en-GB"/>
        </w:rPr>
        <w:t>Material</w:t>
      </w:r>
      <w:r w:rsidRPr="1848F519">
        <w:rPr>
          <w:rFonts w:ascii="Arial" w:eastAsia="Calibri" w:hAnsi="Arial" w:cs="Arial"/>
          <w:color w:val="000000" w:themeColor="text1"/>
          <w:lang w:val="en-GB"/>
        </w:rPr>
        <w:t xml:space="preserve"> 2 and </w:t>
      </w:r>
      <w:r w:rsidR="00B83BB9">
        <w:rPr>
          <w:rFonts w:ascii="Arial" w:eastAsia="Calibri" w:hAnsi="Arial" w:cs="Arial"/>
          <w:color w:val="000000" w:themeColor="text1"/>
          <w:lang w:val="en-GB"/>
        </w:rPr>
        <w:t xml:space="preserve">Supplementary </w:t>
      </w:r>
      <w:r w:rsidR="00026BE1">
        <w:rPr>
          <w:rFonts w:ascii="Arial" w:eastAsia="Calibri" w:hAnsi="Arial" w:cs="Arial"/>
          <w:color w:val="000000" w:themeColor="text1"/>
          <w:lang w:val="en-GB"/>
        </w:rPr>
        <w:t>Material</w:t>
      </w:r>
      <w:r w:rsidRPr="1848F519">
        <w:rPr>
          <w:rFonts w:ascii="Arial" w:eastAsia="Calibri" w:hAnsi="Arial" w:cs="Arial"/>
          <w:color w:val="000000" w:themeColor="text1"/>
          <w:lang w:val="en-GB"/>
        </w:rPr>
        <w:t xml:space="preserve"> </w:t>
      </w:r>
      <w:r w:rsidR="00B83BB9">
        <w:rPr>
          <w:rFonts w:ascii="Arial" w:eastAsia="Calibri" w:hAnsi="Arial" w:cs="Arial"/>
          <w:color w:val="000000" w:themeColor="text1"/>
          <w:lang w:val="en-GB"/>
        </w:rPr>
        <w:t>7</w:t>
      </w:r>
      <w:r w:rsidRPr="1848F519">
        <w:rPr>
          <w:rStyle w:val="normaltextrun"/>
          <w:rFonts w:ascii="Arial" w:eastAsia="Calibri" w:hAnsi="Arial" w:cs="Arial"/>
          <w:color w:val="000000" w:themeColor="text1"/>
          <w:lang w:val="en-GB"/>
        </w:rPr>
        <w:t>.</w:t>
      </w:r>
      <w:r w:rsidRPr="1848F519">
        <w:rPr>
          <w:rFonts w:ascii="Arial" w:eastAsia="Calibri" w:hAnsi="Arial" w:cs="Arial"/>
          <w:color w:val="000000" w:themeColor="text1"/>
          <w:lang w:val="en-GB"/>
        </w:rPr>
        <w:t xml:space="preserve"> </w:t>
      </w:r>
    </w:p>
    <w:p w14:paraId="3606345A" w14:textId="77777777" w:rsidR="00693812" w:rsidRPr="00F472D7" w:rsidRDefault="00693812" w:rsidP="00693812">
      <w:pPr>
        <w:pStyle w:val="Heading3"/>
        <w:spacing w:before="0" w:line="480" w:lineRule="auto"/>
        <w:rPr>
          <w:rFonts w:ascii="Arial" w:eastAsia="Calibri Light" w:hAnsi="Arial" w:cs="Arial"/>
          <w:color w:val="1F3763"/>
          <w:lang w:val="en-GB"/>
        </w:rPr>
      </w:pPr>
    </w:p>
    <w:p w14:paraId="2713367D" w14:textId="0A9AE6AA" w:rsidR="00693812" w:rsidRPr="00693812" w:rsidRDefault="00693812" w:rsidP="00693812">
      <w:pPr>
        <w:pStyle w:val="Heading3"/>
      </w:pPr>
      <w:r w:rsidRPr="00693812">
        <w:t xml:space="preserve">3.1. Community-based alternatives </w:t>
      </w:r>
      <w:r w:rsidRPr="00693812">
        <w:br/>
      </w:r>
    </w:p>
    <w:p w14:paraId="271E326D"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u w:val="single"/>
          <w:lang w:val="en-GB"/>
        </w:rPr>
        <w:t>Residential community care</w:t>
      </w:r>
    </w:p>
    <w:p w14:paraId="4C815158" w14:textId="02D5811C" w:rsidR="00693812" w:rsidRPr="00F472D7" w:rsidRDefault="00693812" w:rsidP="00693812">
      <w:pPr>
        <w:spacing w:after="0" w:line="480" w:lineRule="auto"/>
        <w:jc w:val="both"/>
        <w:rPr>
          <w:rFonts w:ascii="Arial" w:eastAsia="Calibri" w:hAnsi="Arial" w:cs="Arial"/>
          <w:color w:val="000000" w:themeColor="text1"/>
        </w:rPr>
      </w:pPr>
      <w:proofErr w:type="gramStart"/>
      <w:r w:rsidRPr="21420ACA">
        <w:rPr>
          <w:rFonts w:ascii="Arial" w:eastAsia="Calibri" w:hAnsi="Arial" w:cs="Arial"/>
          <w:color w:val="000000" w:themeColor="text1"/>
        </w:rPr>
        <w:t>Similar to</w:t>
      </w:r>
      <w:proofErr w:type="gramEnd"/>
      <w:r w:rsidRPr="21420ACA">
        <w:rPr>
          <w:rFonts w:ascii="Arial" w:eastAsia="Calibri" w:hAnsi="Arial" w:cs="Arial"/>
          <w:color w:val="000000" w:themeColor="text1"/>
        </w:rPr>
        <w:t xml:space="preserve"> the long-term rehabilitation findings above (see </w:t>
      </w:r>
      <w:r w:rsidRPr="21420ACA">
        <w:rPr>
          <w:rFonts w:ascii="Arial" w:eastAsia="Calibri" w:hAnsi="Arial" w:cs="Arial"/>
          <w:i/>
          <w:iCs/>
          <w:color w:val="000000" w:themeColor="text1"/>
        </w:rPr>
        <w:t xml:space="preserve">Section </w:t>
      </w:r>
      <w:r w:rsidR="00CA13DF">
        <w:rPr>
          <w:rFonts w:ascii="Arial" w:eastAsia="Calibri" w:hAnsi="Arial" w:cs="Arial"/>
          <w:i/>
          <w:iCs/>
          <w:color w:val="000000" w:themeColor="text1"/>
        </w:rPr>
        <w:t>2</w:t>
      </w:r>
      <w:r w:rsidRPr="21420ACA">
        <w:rPr>
          <w:rFonts w:ascii="Arial" w:eastAsia="Calibri" w:hAnsi="Arial" w:cs="Arial"/>
          <w:i/>
          <w:iCs/>
          <w:color w:val="000000" w:themeColor="text1"/>
        </w:rPr>
        <w:t>.1</w:t>
      </w:r>
      <w:r w:rsidR="00CA13DF">
        <w:rPr>
          <w:rFonts w:ascii="Arial" w:eastAsia="Calibri" w:hAnsi="Arial" w:cs="Arial"/>
          <w:i/>
          <w:iCs/>
          <w:color w:val="000000" w:themeColor="text1"/>
        </w:rPr>
        <w:t>.</w:t>
      </w:r>
      <w:r w:rsidRPr="21420ACA">
        <w:rPr>
          <w:rFonts w:ascii="Arial" w:eastAsia="Calibri" w:hAnsi="Arial" w:cs="Arial"/>
          <w:color w:val="000000" w:themeColor="text1"/>
        </w:rPr>
        <w:t>), residential community care also serves offending populations in the form of either ‘intensive residential services’ or ‘secure accommodation’.</w:t>
      </w:r>
    </w:p>
    <w:p w14:paraId="181A7D54"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4B46C99F"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‘Intensive residential service’ options identified overlap with those for non-forensic populations. They include ‘Residential rehabilitation services’, ‘Integrated supported housing’ and ‘Housing with external intensive community support’ models (e.g., ‘Housing First’ and ‘</w:t>
      </w:r>
      <w:proofErr w:type="gramStart"/>
      <w:r w:rsidRPr="00F472D7">
        <w:rPr>
          <w:rFonts w:ascii="Arial" w:eastAsia="Calibri" w:hAnsi="Arial" w:cs="Arial"/>
          <w:color w:val="000000" w:themeColor="text1"/>
          <w:lang w:val="en-GB"/>
        </w:rPr>
        <w:t>Full Service</w:t>
      </w:r>
      <w:proofErr w:type="gramEnd"/>
      <w:r w:rsidRPr="00F472D7">
        <w:rPr>
          <w:rFonts w:ascii="Arial" w:eastAsia="Calibri" w:hAnsi="Arial" w:cs="Arial"/>
          <w:color w:val="000000" w:themeColor="text1"/>
          <w:lang w:val="en-GB"/>
        </w:rPr>
        <w:t xml:space="preserve"> Partnership’). </w:t>
      </w:r>
    </w:p>
    <w:p w14:paraId="75B1A4E3"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3B0F8749" w14:textId="0BF5CD2F"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‘Housing and Accommodation Support Services’ (HASS) are specific to forensic populations. They are an ‘integrated supported housing’ component of the OPD pathway, specifically offering support and accommodation to people meeting OPD pathway criteria on probation who have been released from prison and other secure health care settings (e.g., inpatient </w:t>
      </w:r>
      <w:r w:rsidRPr="00F472D7">
        <w:rPr>
          <w:rFonts w:ascii="Arial" w:eastAsia="Calibri" w:hAnsi="Arial" w:cs="Arial"/>
          <w:color w:val="000000" w:themeColor="text1"/>
          <w:lang w:val="en-GB"/>
        </w:rPr>
        <w:lastRenderedPageBreak/>
        <w:t xml:space="preserve">care), or those who are transitioning on from other residential settings housing ex-offenders in the community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{"citationID":"ZYm4I85J","properties":{"formattedCitation":"(112,113)","plainCitation":"(112,113)","noteIndex":0},"citationItems":[{"id":441,"uris":["http://zotero.org/groups/5103846/items/ZGHCQRVX"],"itemData":{"id":441,"type":"webpage","title":"Penrose OPD HASS","URL":"https://socialinterestgroup.org.uk/our-services/penrose-opd-hass-catford/","author":[{"family":"Social Interest Group","given":""}]}},{"id":442,"uris":["http://zotero.org/groups/5103846/items/59A7JZSZ"],"itemData":{"id":442,"type":"document","title":"OPD HASS Male Housing &amp; Accommodation Support Service","URL":"https://socialinterestgroup.org.uk/wp-content/uploads/2020/05/OPD-HASS-Leaflet-new.pdf","author":[{"family":"Social Interest Group","given":""}]}}],"schema":"https://github.com/citation-style-language/schema/raw/master/csl-citation.json"}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(112,113)</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5DC5C7DF"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07919360" w14:textId="2BB92C8D"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‘Residences for the Execution of Security Measures’ (REMS), based in Italy, are a type of secure accommodation offering an alternative residential approach for forensic populations who have been given a custodial order. REMS are intended to be a therapeutic space with an aim for rehabilitation, without the involvement of police officers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{"citationID":"hJuxZtrf","properties":{"formattedCitation":"(114)","plainCitation":"(114)","noteIndex":0},"citationItems":[{"id":102,"uris":["http://zotero.org/groups/5103846/items/LERE29E2"],"itemData":{"id":102,"type":"article-journal","abstract":"Il processo di deistituzionalizzazione del sistema psichiatrico forense italiano ha previsto, da un lato l’affido ai DSM del trattamento di pazienti psichiatrici autori di reato socialmente pericolosi, dall’altro la sostituzione degli ex ospedali psichiatrico giudiziari con le neocostituite residenze per l’esecuzione delle misure di sicurezza (REMS). Le 30 REMS esistenti sono strutture residenziali su base regionale, con non più di 20 pazienti ciascuna, progettate per realizzare un percorso terapeutico/riabilitativo con durata del trattamento limitata nel tempo e nessuna presenza di agenti di polizia. Il presente studio mira a descrivere le caratteristiche cliniche, criminologiche e trattamentali della popolazione di pazienti presenti nelle REMS, nel periodo di tempo compreso tra giugno 2017 e giugno 2018. I responsabili sanitari delle 28 REMS partecipanti hanno fornito dati attraverso un modulo ad hoc. Abbiamo così raccolto dati relativi a N = 730 pazienti (80 femmine), di età media di 41,7 anni (DS 11,8) con una storia mediamente lunga di malattia (11,5 anni), che erano per lo più già in carico ai DSM (82,2%) e che nel 48,4% dei casi avevano precedenti condanne penali. Le diagnosi più ricorrenti sono risultate: schizofrenia (33,0%); disturbo di personalità (32,0%) e disturbi correlati a sostanze (21,4%); è emersa significativa comorbilità psichiatrica. I delitti più rappresentati sono stati: omicidio/tentato omicidio (26%); lesioni personali minacce/ molestie (24%); maltrattamenti in famiglia (19%); reati contro il patrimonio (12%); oltraggio/violenza a pubblico ufficiale (7%); stalking (7%); reati sessuali (4%). La maggior parte delle vittime sono risultate membri della famiglia (45%) seguiti da sconosciuti (31%). L’approccio terapeutico più frequentemente utilizzato prevede il contestuale ricorso a farmacoterapia (98%), riabilitazione psichiatrica (81%) e psicoterapia (57%). È emerso significativo grado di variabilità nel comportamento aggressivo dei pazienti presenti in REMS, valore misurato tramite MOAS (Modified Overt Aggression Scale), con predominanza di aggressività verbale e fisica; non sono emerse differenze di genere. Tra gli eventi critici sono emersi: 5,3% di fughe; 5,9% di trattamenti sanitari obbligatori in SPDC; 4,1% di contenzioni fisiche.","container-title":"ITALIAN JOURNAL OF CRIMINOLOGY","DOI":"10.7347/RIC-NS2019-p07","ISSN":"22408053, 11211717","issue":"V. 13 (2019): Rassegna Italiana di Criminologia- Numero Speciale","language":"eng","page":"7-23","source":"DOI.org (CSL JSON)","title":"THE NEW ITALIAN RESIDENTIAL FORENSIC PSYCHIATRIC SYSTEM (REMS). A ONE-YEAR POPULATION STUDY","volume":"13","author":[{"family":"Catanesi","given":"Roberto"},{"family":"Mandarelli","given":"Gabriele"},{"family":"Ferracuti","given":"Stefano"},{"family":"Valerio","given":"Antonia"},{"family":"Carabellese","given":"Felice"}],"issued":{"date-parts":[["2020",3,30]]}}}],"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(114)</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p>
    <w:p w14:paraId="76CF89C9"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12E5E1E7" w14:textId="26208ABD"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As described above in </w:t>
      </w:r>
      <w:r w:rsidRPr="00F472D7">
        <w:rPr>
          <w:rFonts w:ascii="Arial" w:eastAsia="Calibri" w:hAnsi="Arial" w:cs="Arial"/>
          <w:i/>
          <w:iCs/>
          <w:color w:val="000000" w:themeColor="text1"/>
          <w:lang w:val="en-GB"/>
        </w:rPr>
        <w:t xml:space="preserve">Section </w:t>
      </w:r>
      <w:r w:rsidR="00CA13DF">
        <w:rPr>
          <w:rFonts w:ascii="Arial" w:eastAsia="Calibri" w:hAnsi="Arial" w:cs="Arial"/>
          <w:i/>
          <w:iCs/>
          <w:color w:val="000000" w:themeColor="text1"/>
          <w:lang w:val="en-GB"/>
        </w:rPr>
        <w:t>1</w:t>
      </w:r>
      <w:r w:rsidRPr="00F472D7">
        <w:rPr>
          <w:rFonts w:ascii="Arial" w:eastAsia="Calibri" w:hAnsi="Arial" w:cs="Arial"/>
          <w:i/>
          <w:iCs/>
          <w:color w:val="000000" w:themeColor="text1"/>
          <w:lang w:val="en-GB"/>
        </w:rPr>
        <w:t>.1</w:t>
      </w:r>
      <w:r w:rsidR="00CA13DF">
        <w:rPr>
          <w:rFonts w:ascii="Arial" w:eastAsia="Calibri" w:hAnsi="Arial" w:cs="Arial"/>
          <w:i/>
          <w:iCs/>
          <w:color w:val="000000" w:themeColor="text1"/>
          <w:lang w:val="en-GB"/>
        </w:rPr>
        <w:t>.</w:t>
      </w:r>
      <w:r w:rsidRPr="00F472D7">
        <w:rPr>
          <w:rFonts w:ascii="Arial" w:eastAsia="Calibri" w:hAnsi="Arial" w:cs="Arial"/>
          <w:color w:val="000000" w:themeColor="text1"/>
          <w:lang w:val="en-GB"/>
        </w:rPr>
        <w:t xml:space="preserve"> and </w:t>
      </w:r>
      <w:r w:rsidRPr="00F472D7">
        <w:rPr>
          <w:rFonts w:ascii="Arial" w:eastAsia="Calibri" w:hAnsi="Arial" w:cs="Arial"/>
          <w:i/>
          <w:iCs/>
          <w:color w:val="000000" w:themeColor="text1"/>
          <w:lang w:val="en-GB"/>
        </w:rPr>
        <w:t xml:space="preserve">Section </w:t>
      </w:r>
      <w:r w:rsidR="00CA13DF">
        <w:rPr>
          <w:rFonts w:ascii="Arial" w:eastAsia="Calibri" w:hAnsi="Arial" w:cs="Arial"/>
          <w:i/>
          <w:iCs/>
          <w:color w:val="000000" w:themeColor="text1"/>
          <w:lang w:val="en-GB"/>
        </w:rPr>
        <w:t>2.</w:t>
      </w:r>
      <w:r w:rsidRPr="00F472D7">
        <w:rPr>
          <w:rFonts w:ascii="Arial" w:eastAsia="Calibri" w:hAnsi="Arial" w:cs="Arial"/>
          <w:i/>
          <w:iCs/>
          <w:color w:val="000000" w:themeColor="text1"/>
          <w:lang w:val="en-GB"/>
        </w:rPr>
        <w:t>1</w:t>
      </w:r>
      <w:r w:rsidR="00CA13DF">
        <w:rPr>
          <w:rFonts w:ascii="Arial" w:eastAsia="Calibri" w:hAnsi="Arial" w:cs="Arial"/>
          <w:i/>
          <w:iCs/>
          <w:color w:val="000000" w:themeColor="text1"/>
          <w:lang w:val="en-GB"/>
        </w:rPr>
        <w:t>.</w:t>
      </w:r>
      <w:r w:rsidRPr="00F472D7">
        <w:rPr>
          <w:rFonts w:ascii="Arial" w:eastAsia="Calibri" w:hAnsi="Arial" w:cs="Arial"/>
          <w:color w:val="000000" w:themeColor="text1"/>
          <w:lang w:val="en-GB"/>
        </w:rPr>
        <w:t xml:space="preserve">, ‘Shared Lives’ is a family placement scheme which can offer support to offenders as well as non-offending populations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{"citationID":"inLTVe2e","properties":{"formattedCitation":"(115)","plainCitation":"(115)","noteIndex":0},"citationItems":[{"id":548,"uris":["http://zotero.org/groups/5103846/items/E23SDL5J"],"itemData":{"id":548,"type":"webpage","container-title":"Think Local Act Personal","title":"Shared Lives Plus Community alternatives to residential care","URL":"https://www.thinklocalactpersonal.org.uk/innovations-in-community-centred-support/directory/Community-alternative-to-residential-care/#:~:text=Shared%20Lives%20is%20used%20by,who%20misuse%20substances%2C%20and%20offenders.","issued":{"literal":"n.d."}}}],"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(115)</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p>
    <w:p w14:paraId="18181464"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p>
    <w:p w14:paraId="6ED30004" w14:textId="77777777" w:rsidR="00693812" w:rsidRPr="00F472D7" w:rsidRDefault="00693812" w:rsidP="00693812">
      <w:pPr>
        <w:spacing w:after="0" w:line="480" w:lineRule="auto"/>
        <w:jc w:val="both"/>
        <w:rPr>
          <w:rFonts w:ascii="Arial" w:hAnsi="Arial" w:cs="Arial"/>
          <w:lang w:val="en-GB"/>
        </w:rPr>
      </w:pPr>
      <w:r w:rsidRPr="00F472D7">
        <w:rPr>
          <w:rFonts w:ascii="Arial" w:eastAsia="Calibri" w:hAnsi="Arial" w:cs="Arial"/>
          <w:color w:val="000000" w:themeColor="text1"/>
          <w:u w:val="single"/>
          <w:lang w:val="en-GB"/>
        </w:rPr>
        <w:t>Enhanced case management models</w:t>
      </w:r>
    </w:p>
    <w:p w14:paraId="2FB4826E" w14:textId="0859F740"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‘Forensic ACT’ teams are an adaptation of the general ACT model, involving co-ordination with criminal justice entities, provisions of legal advocacy and assistance with applying for financial support, and with a primary aim of reducing criminal justice involvement and reoffending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{"citationID":"QdMXFmq2","properties":{"formattedCitation":"(116)","plainCitation":"(116)","noteIndex":0},"citationItems":[{"id":524,"uris":["http://zotero.org/groups/5103846/items/PCSX7CW9"],"itemData":{"id":524,"type":"document","publisher":"Substance Abuse and Mental Health Services Administration (SAMHSA)","title":"Forensic Assertive Community Treatment (FACT): A Service Delivery Model for Individuals with Serious Mental Illness Involved With the Criminal Justice System","URL":"https://store.samhsa.gov/sites/default/files/d7/priv/pep19-fact-br.pdf","author":[{"literal":"Substance Abuse and Mental Health Services Administration"}],"issued":{"literal":"n.d."}}}],"schema":"https://github.com/citation-style-language/schema/raw/master/csl-citation.json"}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(116)</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Forensic ACT teams operate in a similar manner to ACT teams, but with the added provision of forensic psychiatrists and probation officers usually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{"citationID":"ln5TvXN7","properties":{"formattedCitation":"(117)","plainCitation":"(117)","noteIndex":0},"citationItems":[{"id":111,"uris":["http://zotero.org/groups/5103846/items/UP6SZVG6"],"itemData":{"id":111,"type":"article-journal","container-title":"Harvard Review of Psychiatry","DOI":"10.1097/HRP.0000000000000299","ISSN":"1465-7309, 1067-3229","issue":"4","journalAbbreviation":"Harv Rev Psychiatry","language":"en","page":"278-297","source":"DOI.org (Crossref)","title":"Essential Elements of Forensic Assertive Community Treatment","volume":"29","author":[{"family":"Lamberti","given":"J. Steven"},{"family":"Weisman","given":"Robert L."}],"issued":{"date-parts":[["2021",7]]}}}],"schema":"https://github.com/citation-style-language/schema/raw/master/csl-citation.json"}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(117)</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p>
    <w:p w14:paraId="3AFC7BDF"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p>
    <w:p w14:paraId="0328DF8D"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u w:val="single"/>
          <w:lang w:val="en-GB"/>
        </w:rPr>
        <w:t>Intensive Intervention and Risk Management Services (IIRMS)</w:t>
      </w:r>
      <w:r w:rsidRPr="00F472D7">
        <w:rPr>
          <w:rFonts w:ascii="Arial" w:eastAsia="Calibri" w:hAnsi="Arial" w:cs="Arial"/>
          <w:color w:val="000000" w:themeColor="text1"/>
          <w:lang w:val="en-GB"/>
        </w:rPr>
        <w:t xml:space="preserve"> </w:t>
      </w:r>
    </w:p>
    <w:p w14:paraId="5214C6EA" w14:textId="6F5D0169"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‘IIRMS’ are a component of the OPD pathway which may be based in either prisons or the community. They offer </w:t>
      </w:r>
      <w:proofErr w:type="gramStart"/>
      <w:r w:rsidRPr="00F472D7">
        <w:rPr>
          <w:rFonts w:ascii="Arial" w:eastAsia="Calibri" w:hAnsi="Arial" w:cs="Arial"/>
          <w:color w:val="000000" w:themeColor="text1"/>
          <w:lang w:val="en-GB"/>
        </w:rPr>
        <w:t>psychologically-informed</w:t>
      </w:r>
      <w:proofErr w:type="gramEnd"/>
      <w:r w:rsidRPr="00F472D7">
        <w:rPr>
          <w:rFonts w:ascii="Arial" w:eastAsia="Calibri" w:hAnsi="Arial" w:cs="Arial"/>
          <w:color w:val="000000" w:themeColor="text1"/>
          <w:lang w:val="en-GB"/>
        </w:rPr>
        <w:t xml:space="preserve"> case management, working with individuals who are being released from a prison or secure environment into the community. IIRMS provide both in-reach to prison settings and outreach to community settings and aim to enhance skills and self-management necessary for a successful resettlement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{"citationID":"jAA3iSKI","properties":{"formattedCitation":"(118)","plainCitation":"(118)","noteIndex":0},"citationItems":[{"id":113,"uris":["http://zotero.org/groups/5103846/items/L5S9R95P"],"itemData":{"id":113,"type":"article-journal","abstract":"Purpose\n              This is a discussion paper describing the reflections of clinical leads within well-established intensive intervention and risk management services (IIRMS). IIRMS has developed in the past five years, with a small number of services leading in the development of a psychologically informed case management approach to working with individuals released from prison on probation licence, who have a history of high risk, high harm violent convictions linked to pervasive psychological and interpersonal problems.\n            \n            \n              Design/methodology/approach\n              Clinical leads of three services considered a period of 23 months up to December 2019, in which the outcomes for all individuals on their caseload at that time were reviewed. Reflections on the themes included the reasons for a premature return to prison and emerging themes for those who appeared to be successfully resettled.\n            \n            \n              Findings\n              Approximately one-third of the individuals were returned to prison, and for most, this occurred within the first 18 months of release. There was considerable unanimity between clinical leads regarding the themes, and problems with relative youth, substance misuse, relationship difficulties, managing transitions and complacency featured. There were four themes identified in those who appeared to have settled successfully in the community.\n            \n            \n              Practical implications\n              The identified themes provide key learning that will be enshrined in an updated version of the guidance for all IIRMS, with the overall aim of reaching out and engaging with a group of individuals who are most at risk of exclusion from services.\n            \n            \n              Originality/value\n              Although there are limitations associated with the informal approach of this paper, the reflections of the clinical leads have provided a valuable addition to the very limited empirical literature in this field.","container-title":"The Journal of Forensic Practice","DOI":"10.1108/JFP-08-2021-0042","ISSN":"2050-8794, 2050-8794","issue":"4","journalAbbreviation":"JFP","language":"en","page":"385-396","source":"DOI.org (Crossref)","title":"Intensive intervention and risk management services (IIRMS) three years on: what we need to do better in the offender personality disorder pathway","title-short":"Intensive intervention and risk management services (IIRMS) three years on","volume":"23","author":[{"family":"Craissati","given":"Jackie"},{"family":"Ramsden","given":"Jo"},{"family":"Ryan","given":"Sue"},{"family":"Webster","given":"Nicole"},{"family":"West","given":"Laura"}],"issued":{"date-parts":[["2021",12,1]]}}}],"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(118)</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021FDCAD"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1B617EEA" w14:textId="3BB0A4D0"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‘Transitional support and liaison services’ are a specialist type of IIRMS which aim to help people access support offered by statutory and voluntary organisations, both during and after their transition from custody to the community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{"citationID":"ooYsP69T","properties":{"formattedCitation":"(119)","plainCitation":"(119)","noteIndex":0},"citationItems":[{"id":507,"uris":["http://zotero.org/groups/5103846/items/5ALN5HY3"],"itemData":{"id":507,"type":"article-journal","container-title":"The Journal of Community and Criminal Justice","DOI":"https://doi.org/10.1177/026455051985906","title":"A model of a specialist transitional support and liaison service within the Offender Personality Disorder Pathway in Wales: Learning from a regional pilot service","author":[{"family":"O'Meara","given":"Aisling"},{"family":"Morgan","given":"Louise"},{"family":"Godden","given":"Stephen"},{"family":"Davies","given":"Jason"}],"issued":{"date-parts":[["2019"]]}}}],"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(119)</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The support duration is typically </w:t>
      </w:r>
      <w:r w:rsidRPr="00F472D7">
        <w:rPr>
          <w:rFonts w:ascii="Arial" w:eastAsia="Calibri" w:hAnsi="Arial" w:cs="Arial"/>
          <w:color w:val="000000" w:themeColor="text1"/>
          <w:lang w:val="en-GB"/>
        </w:rPr>
        <w:lastRenderedPageBreak/>
        <w:t xml:space="preserve">shorter, typically spanning just a few months, compared to standard IIRMS support, which typically extends for a year or longer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{"citationID":"9z99i2Re","properties":{"formattedCitation":"(119)","plainCitation":"(119)","noteIndex":0},"citationItems":[{"id":507,"uris":["http://zotero.org/groups/5103846/items/5ALN5HY3"],"itemData":{"id":507,"type":"article-journal","container-title":"The Journal of Community and Criminal Justice","DOI":"https://doi.org/10.1177/026455051985906","title":"A model of a specialist transitional support and liaison service within the Offender Personality Disorder Pathway in Wales: Learning from a regional pilot service","author":[{"family":"O'Meara","given":"Aisling"},{"family":"Morgan","given":"Louise"},{"family":"Godden","given":"Stephen"},{"family":"Davies","given":"Jason"}],"issued":{"date-parts":[["2019"]]}}}],"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(119)</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064E94FB" w14:textId="77777777" w:rsidR="00693812" w:rsidRPr="00F472D7" w:rsidRDefault="00693812" w:rsidP="00693812">
      <w:pPr>
        <w:spacing w:after="0" w:line="480" w:lineRule="auto"/>
        <w:jc w:val="both"/>
        <w:rPr>
          <w:rFonts w:ascii="Arial" w:eastAsia="Calibri Light" w:hAnsi="Arial" w:cs="Arial"/>
          <w:color w:val="1F3763"/>
          <w:sz w:val="24"/>
          <w:szCs w:val="24"/>
          <w:lang w:val="en-GB"/>
        </w:rPr>
      </w:pPr>
    </w:p>
    <w:p w14:paraId="0FB60D9F" w14:textId="6513F65C" w:rsidR="00693812" w:rsidRPr="00F472D7" w:rsidRDefault="00693812" w:rsidP="00693812">
      <w:pPr>
        <w:pStyle w:val="Heading3"/>
        <w:rPr>
          <w:rFonts w:eastAsia="Calibri Light"/>
          <w:lang w:val="en-GB"/>
        </w:rPr>
      </w:pPr>
      <w:r w:rsidRPr="00F472D7">
        <w:rPr>
          <w:rFonts w:eastAsia="Calibri Light"/>
          <w:lang w:val="en-GB"/>
        </w:rPr>
        <w:t>3.</w:t>
      </w:r>
      <w:r>
        <w:rPr>
          <w:rFonts w:eastAsia="Calibri Light"/>
          <w:lang w:val="en-GB"/>
        </w:rPr>
        <w:t>2.</w:t>
      </w:r>
      <w:r w:rsidRPr="00F472D7">
        <w:rPr>
          <w:rFonts w:eastAsia="Calibri Light"/>
          <w:lang w:val="en-GB"/>
        </w:rPr>
        <w:t xml:space="preserve"> Hospital-based alternatives </w:t>
      </w:r>
    </w:p>
    <w:p w14:paraId="56353539"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p>
    <w:p w14:paraId="5247A8D8"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u w:val="single"/>
          <w:lang w:val="en-GB"/>
        </w:rPr>
        <w:t>Inpatient services</w:t>
      </w:r>
      <w:r w:rsidRPr="00F472D7">
        <w:rPr>
          <w:rFonts w:ascii="Arial" w:eastAsia="Calibri" w:hAnsi="Arial" w:cs="Arial"/>
          <w:color w:val="000000" w:themeColor="text1"/>
          <w:lang w:val="en-GB"/>
        </w:rPr>
        <w:t xml:space="preserve"> </w:t>
      </w:r>
    </w:p>
    <w:p w14:paraId="222537D8" w14:textId="73063803"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As described in relation to acute inpatient settings (</w:t>
      </w:r>
      <w:r w:rsidRPr="00F472D7">
        <w:rPr>
          <w:rFonts w:ascii="Arial" w:eastAsia="Calibri" w:hAnsi="Arial" w:cs="Arial"/>
          <w:i/>
          <w:iCs/>
          <w:color w:val="000000" w:themeColor="text1"/>
          <w:lang w:val="en-GB"/>
        </w:rPr>
        <w:t xml:space="preserve">Section </w:t>
      </w:r>
      <w:r w:rsidR="00CA13DF">
        <w:rPr>
          <w:rFonts w:ascii="Arial" w:eastAsia="Calibri" w:hAnsi="Arial" w:cs="Arial"/>
          <w:i/>
          <w:iCs/>
          <w:color w:val="000000" w:themeColor="text1"/>
          <w:lang w:val="en-GB"/>
        </w:rPr>
        <w:t>1</w:t>
      </w:r>
      <w:r w:rsidRPr="00F472D7">
        <w:rPr>
          <w:rFonts w:ascii="Arial" w:eastAsia="Calibri" w:hAnsi="Arial" w:cs="Arial"/>
          <w:i/>
          <w:iCs/>
          <w:color w:val="000000" w:themeColor="text1"/>
          <w:lang w:val="en-GB"/>
        </w:rPr>
        <w:t>.2</w:t>
      </w:r>
      <w:r w:rsidR="00CA13DF">
        <w:rPr>
          <w:rFonts w:ascii="Arial" w:eastAsia="Calibri" w:hAnsi="Arial" w:cs="Arial"/>
          <w:i/>
          <w:iCs/>
          <w:color w:val="000000" w:themeColor="text1"/>
          <w:lang w:val="en-GB"/>
        </w:rPr>
        <w:t>.</w:t>
      </w:r>
      <w:r w:rsidRPr="00F472D7">
        <w:rPr>
          <w:rFonts w:ascii="Arial" w:eastAsia="Calibri" w:hAnsi="Arial" w:cs="Arial"/>
          <w:i/>
          <w:iCs/>
          <w:color w:val="000000" w:themeColor="text1"/>
          <w:lang w:val="en-GB"/>
        </w:rPr>
        <w:t xml:space="preserve">), </w:t>
      </w:r>
      <w:r w:rsidRPr="00F472D7">
        <w:rPr>
          <w:rFonts w:ascii="Arial" w:eastAsia="Calibri" w:hAnsi="Arial" w:cs="Arial"/>
          <w:color w:val="000000" w:themeColor="text1"/>
          <w:lang w:val="en-GB"/>
        </w:rPr>
        <w:t xml:space="preserve">some forensic inpatient settings have employed therapeutic models such as the ‘Tidal Model’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{"citationID":"aSNIjbxF","properties":{"formattedCitation":"(61)","plainCitation":"(61)","noteIndex":0},"citationItems":[{"id":140,"uris":["http://zotero.org/groups/5103846/items/F9QTTBKR"],"itemData":{"id":140,"type":"article-journal","container-title":"Journal of Psychiatric and Mental Health Nursing","DOI":"10.1111/j.1365-2850.2005.00872.x","ISSN":"1351-0126, 1365-2850","issue":"5","journalAbbreviation":"J Psychiatr Ment Health Nurs","language":"en","page":"536-540","source":"DOI.org (Crossref)","title":"The tidal model as experienced by patients and nurses in a regional forensic unit","volume":"12","author":[{"family":"Cook","given":"N. R."},{"family":"Phillips","given":"B. N."},{"family":"Sadler","given":"D."}],"issued":{"date-parts":[["2005",10]]}}}],"schema":"https://github.com/citation-style-language/schema/raw/master/csl-citation.json"}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(61)</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‘Six Core Strategies’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{"citationID":"UcWKZGk3","properties":{"formattedCitation":"(120,121)","plainCitation":"(120,121)","noteIndex":0},"citationItems":[{"id":137,"uris":["http://zotero.org/groups/5103846/items/V3VED6RQ"],"itemData":{"id":137,"type":"article-journal","container-title":"Journal of Forensic Psychiatry &amp; Psychology","DOI":"10.1080/14789941003681361","ISSN":"1478-9949, 1478-9957","issue":"5","journalAbbreviation":"Journal of Forensic Psychiatry &amp; Psychology","language":"en","page":"737-760","source":"DOI.org (Crossref)","title":"Reducing the use of seclusion in a forensic psychiatric hospital: assessing the impact on aggression, therapeutic climate and staff confidence","title-short":"Reducing the use of seclusion in a forensic psychiatric hospital","volume":"21","author":[{"family":"Ching","given":"Hannah"},{"family":"Daffern","given":"Michael"},{"family":"Martin","given":"Trish"},{"family":"Thomas","given":"Stuart"}],"issued":{"date-parts":[["2010",10]]}}},{"id":138,"uris":["http://zotero.org/groups/5103846/items/ZBIEFBWJ"],"itemData":{"id":138,"type":"article-journal","container-title":"Journal of Psychiatric and Mental Health Nursing","DOI":"10.1111/j.1365-2850.2011.01753.x","ISSN":"13510126","issue":"2","language":"en","page":"97-106","source":"DOI.org (Crossref)","title":"Seclusion reduction in a forensic mental health setting: Seclusion reduction in a forensic setting","title-short":"Seclusion reduction in a forensic mental health setting","volume":"19","author":[{"family":"Maguire","given":"T."},{"family":"Young","given":"R."},{"family":"Martin","given":"T."}],"issued":{"date-parts":[["2012",3]]}}}],"schema":"https://github.com/citation-style-language/schema/raw/master/csl-citation.json"}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(120,121)</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and ‘</w:t>
      </w:r>
      <w:proofErr w:type="spellStart"/>
      <w:r w:rsidRPr="00F472D7">
        <w:rPr>
          <w:rFonts w:ascii="Arial" w:eastAsia="Calibri" w:hAnsi="Arial" w:cs="Arial"/>
          <w:color w:val="000000" w:themeColor="text1"/>
          <w:lang w:val="en-GB"/>
        </w:rPr>
        <w:t>Safewards</w:t>
      </w:r>
      <w:proofErr w:type="spellEnd"/>
      <w:r w:rsidRPr="00F472D7">
        <w:rPr>
          <w:rFonts w:ascii="Arial" w:eastAsia="Calibri" w:hAnsi="Arial" w:cs="Arial"/>
          <w:color w:val="000000" w:themeColor="text1"/>
          <w:lang w:val="en-GB"/>
        </w:rPr>
        <w:t xml:space="preserve">’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vYaSULPG","properties":{"formattedCitation":"(57,109,122)","plainCitation":"(57,109,122)","noteIndex":0},"citationItems":[{"id":"pnuyFmyJ/Ct5Pgmlr","uris":["http://zotero.org/users/9548222/items/QYJ9S96R"],"itemData":{"id":1107,"type":"article-journal","container-title":"Journal of Forensic Nursing","DOI":"10.1097/JFN.0000000000000215","ISSN":"1939-3938, 1556-3693","issue":"4","language":"en","page":"214-222","source":"DOI.org (Crossref)","title":"Evaluating the Introduction of the Safewards Model to a Medium- to Long-Term Forensic Mental Health Ward","volume":"14","author":[{"family":"Maguire","given":"Tessa"},{"family":"Ryan","given":"Jo"},{"family":"Fullam","given":"Rachael"},{"family":"McKenna","given":"Brian"}],"issued":{"date-parts":[["2018",10]]}}},{"id":124,"uris":["http://zotero.org/groups/5103846/items/ZH3VGBKX"],"itemData":{"id":124,"type":"article-journal","container-title":"International Journal of Mental Health Nursing","DOI":"10.1111/inm.13001","ISSN":"1445-8330, 1447-0349","issue":"5","journalAbbreviation":"Int J Mental Health Nurs","language":"en","page":"1090-1108","source":"DOI.org (Crossref)","title":"Safewards: An integrative review of the literature within inpatient and forensic mental health units","title-short":"Safewards","volume":"31","author":[{"family":"Mullen","given":"Antony"},{"family":"Browne","given":"Graeme"},{"family":"Hamilton","given":"Bridget"},{"family":"Skinner","given":"Stephanie"},{"family":"Happell","given":"Brenda"}],"issued":{"date-parts":[["2022",10]]}}},{"id":523,"uris":["http://zotero.org/groups/5103846/items/LGC9Z9E2"],"itemData":{"id":523,"type":"article-journal","container-title":"Journal of Psychiatric and Mental Health Nursing","DOI":"10.1111/jpm.12827","ISSN":"1351-0126, 1365-2850","issue":"3","journalAbbreviation":"Psychiatric Ment Health Nurs","language":"en","page":"418-429","source":"DOI.org (Crossref)","title":"Safewards Secure: A Delphi study to develop an addition to the Safewards model for forensic mental health services","title-short":"Safewards Secure","volume":"29","author":[{"family":"Maguire","given":"Tessa"},{"family":"Ryan","given":"Jo"},{"family":"Fullam","given":"Rachael"},{"family":"McKenna","given":"Brian"}],"issued":{"date-parts":[["2022",6]]}}}],"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(57,109,122)</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Secure wards also exist which specifically accept offenders from certain groups, for example, deaf people or people with a diagnosis of “personality disorder”.</w:t>
      </w:r>
    </w:p>
    <w:p w14:paraId="08DC16FD"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7E6AA041" w14:textId="32EF0C4B"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Another forensic inpatient model distinct to standard care are ‘Ter </w:t>
      </w:r>
      <w:proofErr w:type="spellStart"/>
      <w:r w:rsidRPr="00F472D7">
        <w:rPr>
          <w:rFonts w:ascii="Arial" w:eastAsia="Calibri" w:hAnsi="Arial" w:cs="Arial"/>
          <w:color w:val="000000" w:themeColor="text1"/>
          <w:lang w:val="en-GB"/>
        </w:rPr>
        <w:t>Beschikking</w:t>
      </w:r>
      <w:proofErr w:type="spellEnd"/>
      <w:r w:rsidRPr="00F472D7">
        <w:rPr>
          <w:rFonts w:ascii="Arial" w:eastAsia="Calibri" w:hAnsi="Arial" w:cs="Arial"/>
          <w:color w:val="000000" w:themeColor="text1"/>
          <w:lang w:val="en-GB"/>
        </w:rPr>
        <w:t xml:space="preserve"> Stelling’ (TBS) hospitals in the Netherlands. Dutch courts can impose combination verdicts on offenders with severe mental health difficulties and high risk of recidivism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jhR6gZRA","properties":{"formattedCitation":"(123)","plainCitation":"(123)","noteIndex":0},"citationItems":[{"id":121,"uris":["http://zotero.org/groups/5103846/items/8HFTQGPI"],"itemData":{"id":121,"type":"article-journal","container-title":"Psychiatry","DOI":"10.1016/j.mppsy.2007.08.008","ISSN":"14761793","issue":"11","journalAbbreviation":"Psychiatry","language":"en","page":"459-461","source":"DOI.org (Crossref)","title":"Learning from Holland: the TBS system","title-short":"Learning from Holland","volume":"6","author":[{"family":"Boer","given":"Judith","non-dropping-particle":"de"},{"family":"Gerrits","given":"Jan"}],"issued":{"date-parts":[["2007",11]]}}}],"schema":"https://github.com/citation-style-language/schema/raw/master/csl-citation.json"}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(123)</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These offenders can be detained in specialist TBS hospitals, which aim to reintegrate them back into the community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bLwB13Tr","properties":{"formattedCitation":"(123)","plainCitation":"(123)","noteIndex":0},"citationItems":[{"id":121,"uris":["http://zotero.org/groups/5103846/items/8HFTQGPI"],"itemData":{"id":121,"type":"article-journal","container-title":"Psychiatry","DOI":"10.1016/j.mppsy.2007.08.008","ISSN":"14761793","issue":"11","journalAbbreviation":"Psychiatry","language":"en","page":"459-461","source":"DOI.org (Crossref)","title":"Learning from Holland: the TBS system","title-short":"Learning from Holland","volume":"6","author":[{"family":"Boer","given":"Judith","non-dropping-particle":"de"},{"family":"Gerrits","given":"Jan"}],"issued":{"date-parts":[["2007",11]]}}}],"schema":"https://github.com/citation-style-language/schema/raw/master/csl-citation.json"}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(123)</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In contrast to forensic hospitals in the UK, TBS hospitals have wards with different levels of security within the same institution, offering greater continuity of care when people move between them, and are less restrictive (e.g., offering more people unsupervised leave and family visits)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{"citationID":"0yzBsSkO","properties":{"formattedCitation":"(124)","plainCitation":"(124)","noteIndex":0},"citationItems":[{"id":487,"uris":["http://zotero.org/groups/5103846/items/P8RBK68P"],"itemData":{"id":487,"type":"article-journal","abstract":"Background:\n              A significant proportion of forensic patients in England are long-stayers. This can be problematic as individuals are kept in restrictive environments at potentially inappropriate levels of security for many years, sometimes decades. Improvements to the current English forensic mental health system to meet the needs of long-stay forensic patients more effectively might be informed by the Dutch service for long-stay forensic patients.\n            \n            \n              Aims:\n              To compare the characteristics of representative samples of long-stay patients in England and in the Netherlands in an attempt to draw conclusions on the degree to which the Dutch service model might be relevant to England.\n            \n            \n              Method:\n              This cross-sectional study explores the relevance of the Dutch service model by comparing the characteristics of representative samples of long-stay patients in England (\n              n\n              = 401) and the Netherlands (\n              n\n              = 102). Descriptive statistics and analyses of differences between groups are presented. The Risk-Need-Responsivity model was used to guide the selection of the study variables and structure the interpretation of the findings.\n            \n            \n              Results:\n              Compared to their English counterparts, the long-stay Dutch patients were less likely to be diagnosed with schizophrenia, but more likely to have personality disorder and have committed sex offences. The English group were younger at first conviction and at first custodial sentence. The total number of offences and the proportion of violent offenders were similar, but the Dutch HCR-20 scores indicated a significantly higher risk of violence.\n            \n            \n              Conclusions:\n              Whilst there may be barriers to adopting the Dutch service model in England, the differences in the characteristics of the two groups studied here do not necessarily preclude this approach.","container-title":"Frontiers in Psychiatry","DOI":"10.3389/fpsyt.2020.574247","ISSN":"1664-0640","journalAbbreviation":"Front. Psychiatry","page":"574247","source":"DOI.org (Crossref)","title":"A Comparison of English and Dutch Long-Stay Patients in Forensic Psychiatric Care","volume":"11","author":[{"family":"Senn","given":"Dhanuja"},{"family":"Bulten","given":"Erik"},{"family":"Tomlin","given":"Jack"},{"family":"Völlm","given":"Birgit"}],"issued":{"date-parts":[["2020",11,30]]}}}],"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(124)</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5B92CE3B" w14:textId="77777777" w:rsidR="00693812" w:rsidRPr="00F472D7" w:rsidRDefault="00693812" w:rsidP="00693812">
      <w:pPr>
        <w:spacing w:after="0" w:line="480" w:lineRule="auto"/>
        <w:jc w:val="both"/>
        <w:rPr>
          <w:rFonts w:ascii="Arial" w:eastAsia="Calibri Light" w:hAnsi="Arial" w:cs="Arial"/>
          <w:color w:val="1F3763"/>
          <w:sz w:val="24"/>
          <w:szCs w:val="24"/>
          <w:lang w:val="en-GB"/>
        </w:rPr>
      </w:pPr>
    </w:p>
    <w:p w14:paraId="29FE8793" w14:textId="0AC5B481" w:rsidR="00693812" w:rsidRPr="00F472D7" w:rsidRDefault="00693812" w:rsidP="00693812">
      <w:pPr>
        <w:pStyle w:val="Heading3"/>
        <w:rPr>
          <w:rFonts w:eastAsia="Calibri Light"/>
          <w:lang w:val="en-GB"/>
        </w:rPr>
      </w:pPr>
      <w:r w:rsidRPr="00F472D7">
        <w:rPr>
          <w:rFonts w:eastAsia="Calibri Light"/>
          <w:lang w:val="en-GB"/>
        </w:rPr>
        <w:t xml:space="preserve">3.3. Cross-setting approaches </w:t>
      </w:r>
    </w:p>
    <w:p w14:paraId="24A3D996"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3CDF1866" w14:textId="7FFF8526"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Finally, there are also a range of approaches which can be applied across multiple settings. As described above in relation to acute contexts (</w:t>
      </w:r>
      <w:r w:rsidRPr="00F472D7">
        <w:rPr>
          <w:rFonts w:ascii="Arial" w:eastAsia="Calibri" w:hAnsi="Arial" w:cs="Arial"/>
          <w:i/>
          <w:iCs/>
          <w:color w:val="000000" w:themeColor="text1"/>
          <w:lang w:val="en-GB"/>
        </w:rPr>
        <w:t xml:space="preserve">Section </w:t>
      </w:r>
      <w:r w:rsidR="00CA13DF">
        <w:rPr>
          <w:rFonts w:ascii="Arial" w:eastAsia="Calibri" w:hAnsi="Arial" w:cs="Arial"/>
          <w:i/>
          <w:iCs/>
          <w:color w:val="000000" w:themeColor="text1"/>
          <w:lang w:val="en-GB"/>
        </w:rPr>
        <w:t>1</w:t>
      </w:r>
      <w:r w:rsidRPr="00F472D7">
        <w:rPr>
          <w:rFonts w:ascii="Arial" w:eastAsia="Calibri" w:hAnsi="Arial" w:cs="Arial"/>
          <w:i/>
          <w:iCs/>
          <w:color w:val="000000" w:themeColor="text1"/>
          <w:lang w:val="en-GB"/>
        </w:rPr>
        <w:t>.3</w:t>
      </w:r>
      <w:r w:rsidR="00CA13DF">
        <w:rPr>
          <w:rFonts w:ascii="Arial" w:eastAsia="Calibri" w:hAnsi="Arial" w:cs="Arial"/>
          <w:i/>
          <w:iCs/>
          <w:color w:val="000000" w:themeColor="text1"/>
          <w:lang w:val="en-GB"/>
        </w:rPr>
        <w:t>.</w:t>
      </w:r>
      <w:r w:rsidRPr="00F472D7">
        <w:rPr>
          <w:rFonts w:ascii="Arial" w:eastAsia="Calibri" w:hAnsi="Arial" w:cs="Arial"/>
          <w:i/>
          <w:iCs/>
          <w:color w:val="000000" w:themeColor="text1"/>
          <w:lang w:val="en-GB"/>
        </w:rPr>
        <w:t>)</w:t>
      </w:r>
      <w:r w:rsidRPr="00F472D7">
        <w:rPr>
          <w:rFonts w:ascii="Arial" w:eastAsia="Calibri" w:hAnsi="Arial" w:cs="Arial"/>
          <w:color w:val="000000" w:themeColor="text1"/>
          <w:lang w:val="en-GB"/>
        </w:rPr>
        <w:t xml:space="preserve"> and long-term rehabilitation (</w:t>
      </w:r>
      <w:r w:rsidRPr="00F472D7">
        <w:rPr>
          <w:rFonts w:ascii="Arial" w:eastAsia="Calibri" w:hAnsi="Arial" w:cs="Arial"/>
          <w:i/>
          <w:iCs/>
          <w:color w:val="000000" w:themeColor="text1"/>
          <w:lang w:val="en-GB"/>
        </w:rPr>
        <w:t xml:space="preserve">Section </w:t>
      </w:r>
      <w:r w:rsidR="00CA13DF">
        <w:rPr>
          <w:rFonts w:ascii="Arial" w:eastAsia="Calibri" w:hAnsi="Arial" w:cs="Arial"/>
          <w:i/>
          <w:iCs/>
          <w:color w:val="000000" w:themeColor="text1"/>
          <w:lang w:val="en-GB"/>
        </w:rPr>
        <w:t>2</w:t>
      </w:r>
      <w:r w:rsidRPr="00F472D7">
        <w:rPr>
          <w:rFonts w:ascii="Arial" w:eastAsia="Calibri" w:hAnsi="Arial" w:cs="Arial"/>
          <w:i/>
          <w:iCs/>
          <w:color w:val="000000" w:themeColor="text1"/>
          <w:lang w:val="en-GB"/>
        </w:rPr>
        <w:t>.3</w:t>
      </w:r>
      <w:r w:rsidR="00CA13DF">
        <w:rPr>
          <w:rFonts w:ascii="Arial" w:eastAsia="Calibri" w:hAnsi="Arial" w:cs="Arial"/>
          <w:i/>
          <w:iCs/>
          <w:color w:val="000000" w:themeColor="text1"/>
          <w:lang w:val="en-GB"/>
        </w:rPr>
        <w:t>.</w:t>
      </w:r>
      <w:r w:rsidRPr="00F472D7">
        <w:rPr>
          <w:rFonts w:ascii="Arial" w:eastAsia="Calibri" w:hAnsi="Arial" w:cs="Arial"/>
          <w:i/>
          <w:iCs/>
          <w:color w:val="000000" w:themeColor="text1"/>
          <w:lang w:val="en-GB"/>
        </w:rPr>
        <w:t>),</w:t>
      </w:r>
      <w:r w:rsidRPr="00F472D7">
        <w:rPr>
          <w:rFonts w:ascii="Arial" w:eastAsia="Calibri" w:hAnsi="Arial" w:cs="Arial"/>
          <w:color w:val="000000" w:themeColor="text1"/>
          <w:lang w:val="en-GB"/>
        </w:rPr>
        <w:t xml:space="preserve"> ‘Therapeutic Communities’ have been implemented in forensic settings, such </w:t>
      </w:r>
      <w:r w:rsidRPr="00F472D7">
        <w:rPr>
          <w:rFonts w:ascii="Arial" w:eastAsia="Calibri" w:hAnsi="Arial" w:cs="Arial"/>
          <w:color w:val="000000" w:themeColor="text1"/>
          <w:lang w:val="en-GB"/>
        </w:rPr>
        <w:lastRenderedPageBreak/>
        <w:t xml:space="preserve">as forensic inpatient and prison services, as have ‘DTCs’, which offer a whole-system approach to rehabilitation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{"citationID":"iWMlTPbo","properties":{"formattedCitation":"(77)","plainCitation":"(77)","noteIndex":0},"citationItems":[{"id":115,"uris":["http://zotero.org/groups/5103846/items/PIXG88W7"],"itemData":{"id":115,"type":"chapter","container-title":"The Cambridge Handbook of Forensic Psychology","edition":"1","ISBN":"978-0-511-73029-0","note":"DOI: 10.1017/CBO9780511730290.053","page":"423-433","publisher":"Cambridge University Press","source":"DOI.org (Crossref)","title":"Therapeutic communities","URL":"https://www.cambridge.org/core/product/identifier/9780511730290%23c87809-6482/type/book_part","editor":[{"family":"Brown","given":"Jennifer M."},{"family":"Campbell","given":"Elizabeth A."}],"author":[{"family":"Warren","given":"Fiona"}],"accessed":{"date-parts":[["2023",6,23]]},"issued":{"date-parts":[["2010",4,29]]}}}],"schema":"https://github.com/citation-style-language/schema/raw/master/csl-citation.json"}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(77)</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p>
    <w:p w14:paraId="55B7D0C7"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07D14653" w14:textId="3A71D7A5"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A further approach, ‘Psychologically Informed Planned Environments’ (PIPES) are another component of the OPD pathway. Whilst PIPES are primarily adopted in prison settings, they are also evidenced in alternative settings, such as community-based hostels for individuals who have recently been released from prison. PIPES offer training to staff to facilitate a safe and supportive environment according to several key principles: the development of an ‘enabling environment’; structured groups between staff and residents; socially creative sessions and training; and the provision of supervision and reflective spaces for staff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{"citationID":"dekGdNoH","properties":{"formattedCitation":"(125)","plainCitation":"(125)","noteIndex":0},"citationItems":[{"id":376,"uris":["http://zotero.org/groups/5103846/items/ZCTXEJAW"],"itemData":{"id":376,"type":"document","publisher":"HM Prison &amp; Probation Service","title":"Evaluation of Psychologically Informed Planned Environments (PIPEs) Assessing the first five years","URL":"https://www.gov.uk/government/publications/evaluation-of-psychologically-informed-planned-environments","author":[{"family":"Kuester","given":"Landon"},{"family":"Freestone","given":"Mark"},{"family":"Seewald","given":"Katharina"},{"family":"Rathbone","given":"Ruby"},{"family":"Bhui","given":"Kam"}],"issued":{"date-parts":[["2022"]]}}}],"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(125)</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In a similar vein, as described above in relation to acute care (</w:t>
      </w:r>
      <w:r w:rsidRPr="00F472D7">
        <w:rPr>
          <w:rFonts w:ascii="Arial" w:eastAsia="Calibri" w:hAnsi="Arial" w:cs="Arial"/>
          <w:i/>
          <w:iCs/>
          <w:color w:val="000000" w:themeColor="text1"/>
          <w:lang w:val="en-GB"/>
        </w:rPr>
        <w:t xml:space="preserve">Section </w:t>
      </w:r>
      <w:r w:rsidR="00CA13DF">
        <w:rPr>
          <w:rFonts w:ascii="Arial" w:eastAsia="Calibri" w:hAnsi="Arial" w:cs="Arial"/>
          <w:i/>
          <w:iCs/>
          <w:color w:val="000000" w:themeColor="text1"/>
          <w:lang w:val="en-GB"/>
        </w:rPr>
        <w:t>1</w:t>
      </w:r>
      <w:r w:rsidRPr="00F472D7">
        <w:rPr>
          <w:rFonts w:ascii="Arial" w:eastAsia="Calibri" w:hAnsi="Arial" w:cs="Arial"/>
          <w:i/>
          <w:iCs/>
          <w:color w:val="000000" w:themeColor="text1"/>
          <w:lang w:val="en-GB"/>
        </w:rPr>
        <w:t>.3</w:t>
      </w:r>
      <w:r w:rsidR="00CA13DF">
        <w:rPr>
          <w:rFonts w:ascii="Arial" w:eastAsia="Calibri" w:hAnsi="Arial" w:cs="Arial"/>
          <w:i/>
          <w:iCs/>
          <w:color w:val="000000" w:themeColor="text1"/>
          <w:lang w:val="en-GB"/>
        </w:rPr>
        <w:t>.</w:t>
      </w:r>
      <w:r w:rsidRPr="00F472D7">
        <w:rPr>
          <w:rFonts w:ascii="Arial" w:eastAsia="Calibri" w:hAnsi="Arial" w:cs="Arial"/>
          <w:color w:val="000000" w:themeColor="text1"/>
          <w:lang w:val="en-GB"/>
        </w:rPr>
        <w:t xml:space="preserve">) and long-term rehabilitation </w:t>
      </w:r>
      <w:r w:rsidRPr="00F472D7">
        <w:rPr>
          <w:rFonts w:ascii="Arial" w:eastAsia="Calibri" w:hAnsi="Arial" w:cs="Arial"/>
          <w:i/>
          <w:iCs/>
          <w:color w:val="000000" w:themeColor="text1"/>
          <w:lang w:val="en-GB"/>
        </w:rPr>
        <w:t>(Section</w:t>
      </w:r>
      <w:r w:rsidR="00CA13DF">
        <w:rPr>
          <w:rFonts w:ascii="Arial" w:eastAsia="Calibri" w:hAnsi="Arial" w:cs="Arial"/>
          <w:i/>
          <w:iCs/>
          <w:color w:val="000000" w:themeColor="text1"/>
          <w:lang w:val="en-GB"/>
        </w:rPr>
        <w:t xml:space="preserve"> 2.</w:t>
      </w:r>
      <w:r w:rsidRPr="00F472D7">
        <w:rPr>
          <w:rFonts w:ascii="Arial" w:eastAsia="Calibri" w:hAnsi="Arial" w:cs="Arial"/>
          <w:i/>
          <w:iCs/>
          <w:color w:val="000000" w:themeColor="text1"/>
          <w:lang w:val="en-GB"/>
        </w:rPr>
        <w:t>3</w:t>
      </w:r>
      <w:r w:rsidR="00CA13DF">
        <w:rPr>
          <w:rFonts w:ascii="Arial" w:eastAsia="Calibri" w:hAnsi="Arial" w:cs="Arial"/>
          <w:i/>
          <w:iCs/>
          <w:color w:val="000000" w:themeColor="text1"/>
          <w:lang w:val="en-GB"/>
        </w:rPr>
        <w:t>.</w:t>
      </w:r>
      <w:r w:rsidRPr="00F472D7">
        <w:rPr>
          <w:rFonts w:ascii="Arial" w:eastAsia="Calibri" w:hAnsi="Arial" w:cs="Arial"/>
          <w:color w:val="000000" w:themeColor="text1"/>
          <w:lang w:val="en-GB"/>
        </w:rPr>
        <w:t>), ‘Enabling Environments’ can be found in a range of settings, including forensic services.</w:t>
      </w:r>
    </w:p>
    <w:p w14:paraId="0283A470"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0F481EB4" w14:textId="5781D1AE"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Some OPD services can operate in multiple settings. ‘OPD treatment services’ may be offered either in secure settings or in the community for individuals who are subject to probation supervision. For example, these may include Mentalisation Based Treatment services or Male-Trauma Recovery Empowerment Model services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{"citationID":"h8DIAqx2","properties":{"formattedCitation":"(126)","plainCitation":"(126)","noteIndex":0},"citationItems":[{"id":448,"uris":["http://zotero.org/groups/5103846/items/XU7HPKCP"],"itemData":{"id":448,"type":"webpage","title":"Forensic Mental Health: Offender Personality Disorder Pathways","URL":"https://forensics.mpft.nhs.uk/offender-personality-disorder-pathways","author":[{"family":"Midlands Partnership University NHS Trust","given":""}]}}],"schema":"https://github.com/citation-style-language/schema/raw/master/csl-citation.json"}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(126)</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‘Psychologically enhanced resettlement services’, another component of the OPD pathway, also offer support either within prisons or within the community, and aim to support the transition-in, graduation, and transition-out of open conditions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{"citationID":"1wyVwONs","properties":{"formattedCitation":"(127)","plainCitation":"(127)","noteIndex":0},"citationItems":[{"id":117,"uris":["http://zotero.org/groups/5103846/items/G9IPIJQU"],"itemData":{"id":117,"type":"article-journal","abstract":"Purpose\n              The purpose of this study is to investigate the experiences of adult male prisoners presenting with personality difficulties in an open (Category D) prison in the UK and their experience of a pilot offender personality disorder (OPD) pathway Psychologically Enhanced Resettlement Service (PERS) in the prison.\n            \n            \n              Design/methodology/approach\n              Thirteen participants who had engaged with PERS were interviewed about their experiences of open conditions and the service. The interviews were transcribed verbatim and analysed using thematic analysis.\n            \n            \n              Findings\n              Two superordinate themes were identified relating to participants’ experience of open conditions, highlighting the challenges they faced. These were “the impact of institutionalization” and “relational barriers”. Two superordinate themes were identified relating to participants’ experiences of PERS; these were “relationships with staff” and “service structure”. Each superordinate theme had subordinate themes.\n            \n            \n              Research limitations/implications\n              Analysis is based on a small number of interviews in one male prison, and only qualitative data were collected. A mixed-methods approach would enable the triangulation of results.\n            \n            \n              Practical implications\n              Clinical importance for the pilot service is established, and there should be consideration for the rollout of PERS to other open establishments.\n            \n            \n              Originality/value\n              To the best of the authors’ knowledge, this study is the first to explore the experiences of Category D prisoners within the open estate engaging with a pilot OPD pathway service. Findings illustrate the difficulties OPD service users encounter managing the transition into open prison conditions and highlight elements of the PERS model that can support this process. Clinical and research implications are identified.","container-title":"The Journal of Forensic Practice","DOI":"10.1108/JFP-11-2021-0061","ISSN":"2050-8794, 2050-8794","issue":"3","journalAbbreviation":"JFP","language":"en","page":"241-252","source":"DOI.org (Crossref)","title":"Service user experiences of a psychologically enhanced resettlement service [PERS] in an English open prison","volume":"24","author":[{"family":"Jarvis","given":"Dannii"},{"family":"Shaw","given":"Jake"},{"family":"Lovell","given":"Tamsin"}],"issued":{"date-parts":[["2022",6,28]]}}}],"schema":"https://github.com/citation-style-language/schema/raw/master/csl-citation.json"}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(127)</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p>
    <w:p w14:paraId="5CCE93D7"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7C0A95A4" w14:textId="620F3931"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Finally, as listed in relation to the acute crisis care (</w:t>
      </w:r>
      <w:r w:rsidRPr="00F472D7">
        <w:rPr>
          <w:rFonts w:ascii="Arial" w:eastAsia="Calibri" w:hAnsi="Arial" w:cs="Arial"/>
          <w:i/>
          <w:iCs/>
          <w:color w:val="000000" w:themeColor="text1"/>
          <w:lang w:val="en-GB"/>
        </w:rPr>
        <w:t xml:space="preserve">Section </w:t>
      </w:r>
      <w:r w:rsidR="00CA13DF">
        <w:rPr>
          <w:rFonts w:ascii="Arial" w:eastAsia="Calibri" w:hAnsi="Arial" w:cs="Arial"/>
          <w:i/>
          <w:iCs/>
          <w:color w:val="000000" w:themeColor="text1"/>
          <w:lang w:val="en-GB"/>
        </w:rPr>
        <w:t>1</w:t>
      </w:r>
      <w:r w:rsidRPr="00F472D7">
        <w:rPr>
          <w:rFonts w:ascii="Arial" w:eastAsia="Calibri" w:hAnsi="Arial" w:cs="Arial"/>
          <w:i/>
          <w:iCs/>
          <w:color w:val="000000" w:themeColor="text1"/>
          <w:lang w:val="en-GB"/>
        </w:rPr>
        <w:t>.3</w:t>
      </w:r>
      <w:r w:rsidR="00CA13DF">
        <w:rPr>
          <w:rFonts w:ascii="Arial" w:eastAsia="Calibri" w:hAnsi="Arial" w:cs="Arial"/>
          <w:i/>
          <w:iCs/>
          <w:color w:val="000000" w:themeColor="text1"/>
          <w:lang w:val="en-GB"/>
        </w:rPr>
        <w:t>.</w:t>
      </w:r>
      <w:r w:rsidRPr="00F472D7">
        <w:rPr>
          <w:rFonts w:ascii="Arial" w:eastAsia="Calibri" w:hAnsi="Arial" w:cs="Arial"/>
          <w:color w:val="000000" w:themeColor="text1"/>
          <w:lang w:val="en-GB"/>
        </w:rPr>
        <w:t xml:space="preserve">), the ‘Sanctuary Model’ also operates in forensic settings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{"citationID":"IWIvyX2i","properties":{"formattedCitation":"(63)","plainCitation":"(63)","noteIndex":0},"citationItems":[{"id":525,"uris":["http://zotero.org/groups/5103846/items/RP7BMDWV"],"itemData":{"id":525,"type":"article-journal","abstract":"Abstract\n            Experiences of trauma in childhood and adulthood are highly prevalent among service users accessing acute, crisis, emergency, and residential mental health services. These settings, and restraint and seclusion practices used, can be extremely traumatic, leading to a growing awareness for the need for trauma informed care (TIC). The aim of TIC is to acknowledge the prevalence and impact of trauma and create a safe environment to prevent re-traumatisation. This scoping review maps the TIC approaches delivered in these settings and reports related service user and staff experiences and attitudes, staff wellbeing, and service use outcomes.\n            We searched seven databases (EMBASE; PsycINFO; MEDLINE; Web of Science; Social Policy and Practice; Maternity and Infant Care Database; Cochrane Library Trials Register) between 24/02/2022-10/03/2022, used backwards and forwards citation tracking, and consulted academic and lived experience experts, identifying 4244 potentially relevant studies. Thirty-one studies were included.\n            Most studies (n = 23) were conducted in the USA and were based in acute mental health services (n = 16). We identified few trials, limiting inferences that can be drawn from the findings. The Six Core Strategies (n = 7) and the Sanctuary Model (n = 6) were the most commonly reported approaches. Rates of restraint and seclusion reportedly decreased. Some service users reported feeling trusted and cared for, while staff reported feeling empathy for service users and having a greater understanding of trauma. Staff reported needing training to deliver TIC effectively.\n            TIC principles should be at the core of all mental health service delivery. Implementing TIC approaches may integrate best practice into mental health care, although significant time and financial resources are required to implement organisational change at scale. Most evidence is preliminary in nature, and confined to acute and residential services, with little evidence on community crisis or emergency services. Clinical and research developments should prioritise lived experience expertise in addressing these gaps.","container-title":"BMC Psychiatry","DOI":"10.1186/s12888-023-05016-z","ISSN":"1471-244X","issue":"1","journalAbbreviation":"BMC Psychiatry","language":"en","page":"567","source":"DOI.org (Crossref)","title":"A scoping review of trauma informed approaches in acute, crisis, emergency, and residential mental health care","volume":"23","author":[{"family":"Saunders","given":"Katherine R. K."},{"family":"McGuinness","given":"Elizabeth"},{"family":"Barnett","given":"Phoebe"},{"family":"Foye","given":"Una"},{"family":"Sears","given":"Jessica"},{"family":"Carlisle","given":"Sophie"},{"family":"Allman","given":"Felicity"},{"family":"Tzouvara","given":"Vasiliki"},{"family":"Schlief","given":"Merle"},{"family":"Vera San Juan","given":"Norha"},{"family":"Stuart","given":"Ruth"},{"family":"Griffiths","given":"Jessica"},{"family":"Appleton","given":"Rebecca"},{"family":"McCrone","given":"Paul"},{"family":"Rowan Olive","given":"Rachel"},{"family":"Nyikavaranda","given":"Patrick"},{"family":"Jeynes","given":"Tamar"},{"family":"K","given":"T."},{"family":"Mitchell","given":"Lizzie"},{"family":"Simpson","given":"Alan"},{"family":"Johnson","given":"Sonia"},{"family":"Trevillion","given":"Kylee"}],"issued":{"date-parts":[["2023",8,7]]}}}],"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(63)</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as do some ‘Specialist consultancies’ and the ‘Trieste model’.</w:t>
      </w:r>
    </w:p>
    <w:p w14:paraId="3D1B9C0E"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673E9914" w14:textId="6C0D22C0" w:rsidR="00693812" w:rsidRPr="00693812" w:rsidRDefault="00693812" w:rsidP="00693812">
      <w:pPr>
        <w:pStyle w:val="Heading2"/>
      </w:pPr>
      <w:r>
        <w:lastRenderedPageBreak/>
        <w:t>4.</w:t>
      </w:r>
      <w:r w:rsidRPr="00693812">
        <w:t xml:space="preserve"> CYP alternatives: Acute, long-term and forensic</w:t>
      </w:r>
      <w:r w:rsidRPr="00693812">
        <w:br/>
      </w:r>
    </w:p>
    <w:p w14:paraId="678385DB" w14:textId="56ACC3FC" w:rsidR="00693812" w:rsidRPr="00F472D7" w:rsidRDefault="00693812" w:rsidP="00693812">
      <w:pPr>
        <w:spacing w:after="0" w:line="480" w:lineRule="auto"/>
        <w:jc w:val="both"/>
        <w:rPr>
          <w:rStyle w:val="normaltextrun"/>
          <w:rFonts w:ascii="Arial" w:eastAsia="Calibri" w:hAnsi="Arial" w:cs="Arial"/>
          <w:color w:val="000000" w:themeColor="text1"/>
          <w:lang w:val="en-GB"/>
        </w:rPr>
      </w:pPr>
      <w:r w:rsidRPr="1848F519">
        <w:rPr>
          <w:rStyle w:val="normaltextrun"/>
          <w:rFonts w:ascii="Arial" w:eastAsia="Calibri" w:hAnsi="Arial" w:cs="Arial"/>
          <w:color w:val="000000" w:themeColor="text1"/>
          <w:lang w:val="en-GB"/>
        </w:rPr>
        <w:t xml:space="preserve">A range of service models were also identified for CYP (see </w:t>
      </w:r>
      <w:r w:rsidR="00B83BB9">
        <w:rPr>
          <w:rStyle w:val="normaltextrun"/>
          <w:rFonts w:ascii="Arial" w:eastAsia="Calibri" w:hAnsi="Arial" w:cs="Arial"/>
          <w:color w:val="000000" w:themeColor="text1"/>
          <w:lang w:val="en-GB"/>
        </w:rPr>
        <w:t xml:space="preserve">Supplementary </w:t>
      </w:r>
      <w:r w:rsidR="00026BE1">
        <w:rPr>
          <w:rStyle w:val="normaltextrun"/>
          <w:rFonts w:ascii="Arial" w:eastAsia="Calibri" w:hAnsi="Arial" w:cs="Arial"/>
          <w:color w:val="000000" w:themeColor="text1"/>
          <w:lang w:val="en-GB"/>
        </w:rPr>
        <w:t>Material</w:t>
      </w:r>
      <w:r w:rsidR="00B83BB9">
        <w:rPr>
          <w:rStyle w:val="normaltextrun"/>
          <w:rFonts w:ascii="Arial" w:eastAsia="Calibri" w:hAnsi="Arial" w:cs="Arial"/>
          <w:color w:val="000000" w:themeColor="text1"/>
          <w:lang w:val="en-GB"/>
        </w:rPr>
        <w:t xml:space="preserve"> 5</w:t>
      </w:r>
      <w:r w:rsidRPr="1848F519">
        <w:rPr>
          <w:rStyle w:val="normaltextrun"/>
          <w:rFonts w:ascii="Arial" w:eastAsia="Calibri" w:hAnsi="Arial" w:cs="Arial"/>
          <w:color w:val="000000" w:themeColor="text1"/>
          <w:lang w:val="en-GB"/>
        </w:rPr>
        <w:t xml:space="preserve">). Some were unique to this population, whilst others were also identified during the adult typology mapping and, as such, are described in greater detail in prior sections. Further information, and identified outcome evidence, is provided for each model in </w:t>
      </w:r>
      <w:r w:rsidR="00B83BB9">
        <w:rPr>
          <w:rStyle w:val="normaltextrun"/>
          <w:rFonts w:ascii="Arial" w:eastAsia="Calibri" w:hAnsi="Arial" w:cs="Arial"/>
          <w:color w:val="000000" w:themeColor="text1"/>
          <w:lang w:val="en-GB"/>
        </w:rPr>
        <w:t>Supplementary</w:t>
      </w:r>
      <w:r w:rsidRPr="1848F519">
        <w:rPr>
          <w:rStyle w:val="normaltextrun"/>
          <w:rFonts w:ascii="Arial" w:eastAsia="Calibri" w:hAnsi="Arial" w:cs="Arial"/>
          <w:color w:val="000000" w:themeColor="text1"/>
          <w:lang w:val="en-GB"/>
        </w:rPr>
        <w:t xml:space="preserve"> </w:t>
      </w:r>
      <w:r w:rsidR="00026BE1">
        <w:rPr>
          <w:rFonts w:ascii="Arial" w:eastAsia="Calibri" w:hAnsi="Arial" w:cs="Arial"/>
          <w:color w:val="000000" w:themeColor="text1"/>
          <w:lang w:val="en-GB"/>
        </w:rPr>
        <w:t>Material</w:t>
      </w:r>
      <w:r w:rsidRPr="1848F519">
        <w:rPr>
          <w:rFonts w:ascii="Arial" w:eastAsia="Calibri" w:hAnsi="Arial" w:cs="Arial"/>
          <w:color w:val="000000" w:themeColor="text1"/>
          <w:lang w:val="en-GB"/>
        </w:rPr>
        <w:t xml:space="preserve"> 2 and </w:t>
      </w:r>
      <w:r w:rsidR="00B83BB9">
        <w:rPr>
          <w:rFonts w:ascii="Arial" w:eastAsia="Calibri" w:hAnsi="Arial" w:cs="Arial"/>
          <w:color w:val="000000" w:themeColor="text1"/>
          <w:lang w:val="en-GB"/>
        </w:rPr>
        <w:t>Supplementary</w:t>
      </w:r>
      <w:r w:rsidRPr="1848F519">
        <w:rPr>
          <w:rFonts w:ascii="Arial" w:eastAsia="Calibri" w:hAnsi="Arial" w:cs="Arial"/>
          <w:color w:val="000000" w:themeColor="text1"/>
          <w:lang w:val="en-GB"/>
        </w:rPr>
        <w:t xml:space="preserve"> </w:t>
      </w:r>
      <w:r w:rsidR="00026BE1">
        <w:rPr>
          <w:rFonts w:ascii="Arial" w:eastAsia="Calibri" w:hAnsi="Arial" w:cs="Arial"/>
          <w:color w:val="000000" w:themeColor="text1"/>
          <w:lang w:val="en-GB"/>
        </w:rPr>
        <w:t>Material</w:t>
      </w:r>
      <w:r w:rsidRPr="1848F519">
        <w:rPr>
          <w:rFonts w:ascii="Arial" w:eastAsia="Calibri" w:hAnsi="Arial" w:cs="Arial"/>
          <w:color w:val="000000" w:themeColor="text1"/>
          <w:lang w:val="en-GB"/>
        </w:rPr>
        <w:t xml:space="preserve"> </w:t>
      </w:r>
      <w:r w:rsidR="00B83BB9">
        <w:rPr>
          <w:rFonts w:ascii="Arial" w:eastAsia="Calibri" w:hAnsi="Arial" w:cs="Arial"/>
          <w:color w:val="000000" w:themeColor="text1"/>
          <w:lang w:val="en-GB"/>
        </w:rPr>
        <w:t>7</w:t>
      </w:r>
      <w:r w:rsidRPr="1848F519">
        <w:rPr>
          <w:rStyle w:val="normaltextrun"/>
          <w:rFonts w:ascii="Arial" w:eastAsia="Calibri" w:hAnsi="Arial" w:cs="Arial"/>
          <w:color w:val="000000" w:themeColor="text1"/>
          <w:lang w:val="en-GB"/>
        </w:rPr>
        <w:t>.</w:t>
      </w:r>
    </w:p>
    <w:p w14:paraId="3BB30A7C" w14:textId="77777777" w:rsidR="00693812" w:rsidRPr="001774E9" w:rsidRDefault="00693812" w:rsidP="00693812">
      <w:pPr>
        <w:spacing w:after="0" w:line="480" w:lineRule="auto"/>
        <w:jc w:val="both"/>
        <w:rPr>
          <w:rFonts w:ascii="Arial" w:eastAsia="Calibri Light" w:hAnsi="Arial" w:cs="Arial"/>
          <w:b/>
          <w:bCs/>
          <w:color w:val="1F3763"/>
          <w:sz w:val="24"/>
          <w:szCs w:val="24"/>
          <w:lang w:val="en-GB"/>
        </w:rPr>
      </w:pPr>
    </w:p>
    <w:p w14:paraId="5EA60E69" w14:textId="50324B82" w:rsidR="00693812" w:rsidRPr="00F472D7" w:rsidRDefault="00693812" w:rsidP="00693812">
      <w:pPr>
        <w:pStyle w:val="Heading3"/>
        <w:rPr>
          <w:rFonts w:eastAsia="Calibri Light"/>
          <w:lang w:val="en-GB"/>
        </w:rPr>
      </w:pPr>
      <w:r>
        <w:rPr>
          <w:rFonts w:eastAsia="Calibri Light"/>
          <w:lang w:val="en-GB"/>
        </w:rPr>
        <w:t>4.</w:t>
      </w:r>
      <w:r w:rsidRPr="00F472D7">
        <w:rPr>
          <w:rFonts w:eastAsia="Calibri Light"/>
          <w:lang w:val="en-GB"/>
        </w:rPr>
        <w:t>1</w:t>
      </w:r>
      <w:r>
        <w:rPr>
          <w:rFonts w:eastAsia="Calibri Light"/>
          <w:lang w:val="en-GB"/>
        </w:rPr>
        <w:t>.</w:t>
      </w:r>
      <w:r w:rsidRPr="00F472D7">
        <w:rPr>
          <w:rFonts w:eastAsia="Calibri Light"/>
          <w:lang w:val="en-GB"/>
        </w:rPr>
        <w:t xml:space="preserve"> Community-based alternatives</w:t>
      </w:r>
    </w:p>
    <w:p w14:paraId="2383CA68" w14:textId="77777777" w:rsidR="00693812" w:rsidRPr="00F472D7" w:rsidRDefault="00693812" w:rsidP="00693812">
      <w:pPr>
        <w:spacing w:after="0" w:line="480" w:lineRule="auto"/>
        <w:jc w:val="both"/>
        <w:rPr>
          <w:rStyle w:val="normaltextrun"/>
          <w:rFonts w:ascii="Arial" w:eastAsia="Calibri" w:hAnsi="Arial" w:cs="Arial"/>
          <w:color w:val="000000" w:themeColor="text1"/>
          <w:u w:val="single"/>
          <w:lang w:val="en-GB"/>
        </w:rPr>
      </w:pPr>
    </w:p>
    <w:p w14:paraId="11F8BFB7"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Style w:val="normaltextrun"/>
          <w:rFonts w:ascii="Arial" w:eastAsia="Calibri" w:hAnsi="Arial" w:cs="Arial"/>
          <w:color w:val="000000" w:themeColor="text1"/>
          <w:u w:val="single"/>
          <w:lang w:val="en-GB"/>
        </w:rPr>
        <w:t>Residential services</w:t>
      </w:r>
      <w:r w:rsidRPr="00F472D7">
        <w:rPr>
          <w:rStyle w:val="eop"/>
          <w:rFonts w:ascii="Arial" w:eastAsia="Calibri" w:hAnsi="Arial" w:cs="Arial"/>
          <w:color w:val="000000" w:themeColor="text1"/>
          <w:lang w:val="en-GB"/>
        </w:rPr>
        <w:t> </w:t>
      </w:r>
    </w:p>
    <w:p w14:paraId="0EDF9159" w14:textId="601DA362" w:rsidR="00693812" w:rsidRPr="00F472D7" w:rsidRDefault="00693812" w:rsidP="00693812">
      <w:pPr>
        <w:spacing w:after="0" w:line="480" w:lineRule="auto"/>
        <w:jc w:val="both"/>
        <w:rPr>
          <w:rStyle w:val="normaltextrun"/>
          <w:rFonts w:ascii="Arial" w:eastAsia="Calibri" w:hAnsi="Arial" w:cs="Arial"/>
          <w:color w:val="000000" w:themeColor="text1"/>
          <w:lang w:val="en-GB"/>
        </w:rPr>
      </w:pPr>
      <w:proofErr w:type="gramStart"/>
      <w:r w:rsidRPr="00F472D7">
        <w:rPr>
          <w:rStyle w:val="normaltextrun"/>
          <w:rFonts w:ascii="Arial" w:eastAsia="Calibri" w:hAnsi="Arial" w:cs="Arial"/>
          <w:color w:val="000000" w:themeColor="text1"/>
          <w:lang w:val="en-GB"/>
        </w:rPr>
        <w:t>Similar to</w:t>
      </w:r>
      <w:proofErr w:type="gramEnd"/>
      <w:r w:rsidRPr="00F472D7">
        <w:rPr>
          <w:rStyle w:val="normaltextrun"/>
          <w:rFonts w:ascii="Arial" w:eastAsia="Calibri" w:hAnsi="Arial" w:cs="Arial"/>
          <w:color w:val="000000" w:themeColor="text1"/>
          <w:lang w:val="en-GB"/>
        </w:rPr>
        <w:t xml:space="preserve"> provision for adults – although not as widely implemented – crisis houses were identified for CYP aged 11 and over. Soteria houses and ‘Shared Lives’ are adult crisis residential models that can also accept CYP aged 16 and over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{"citationID":"yBUIFudP","properties":{"formattedCitation":"(8)","plainCitation":"(8)","noteIndex":0},"citationItems":[{"id":85,"uris":["http://zotero.org/groups/5103846/items/6QHUSCBY"],"itemData":{"id":85,"type":"report","event-place":"Bath, United Kingdom","publisher":"Shared Lives Plus","publisher-place":"Bath, United Kingdom","title":"Evaluation of the Shared Lives Mental Health Project","URL":"https://www.ndti.org.uk/assets/files/Final_NDTi_Cabinet_Office_SLP_MH_Eval_Report.pdf","author":[{"family":"Harflett","given":"N"},{"family":"Jennings","given":"Y"}],"issued":{"date-parts":[["2016"]]}}}],"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(8)</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w:t>
      </w:r>
    </w:p>
    <w:p w14:paraId="31D7A9D9" w14:textId="77777777" w:rsidR="00693812" w:rsidRPr="00F472D7" w:rsidRDefault="00693812" w:rsidP="00693812">
      <w:pPr>
        <w:spacing w:after="0" w:line="480" w:lineRule="auto"/>
        <w:jc w:val="both"/>
        <w:rPr>
          <w:rStyle w:val="normaltextrun"/>
          <w:rFonts w:ascii="Arial" w:eastAsia="Calibri" w:hAnsi="Arial" w:cs="Arial"/>
          <w:color w:val="000000" w:themeColor="text1"/>
          <w:lang w:val="en-GB"/>
        </w:rPr>
      </w:pPr>
    </w:p>
    <w:p w14:paraId="399BAB3F" w14:textId="5F523FEC" w:rsidR="00693812" w:rsidRPr="00F472D7" w:rsidRDefault="00693812" w:rsidP="00693812">
      <w:pPr>
        <w:spacing w:after="0" w:line="480" w:lineRule="auto"/>
        <w:jc w:val="both"/>
        <w:rPr>
          <w:rStyle w:val="normaltextrun"/>
          <w:rFonts w:ascii="Arial" w:eastAsia="Calibri" w:hAnsi="Arial" w:cs="Arial"/>
          <w:color w:val="000000" w:themeColor="text1"/>
          <w:highlight w:val="yellow"/>
          <w:lang w:val="en-GB"/>
        </w:rPr>
      </w:pPr>
      <w:r w:rsidRPr="00F472D7">
        <w:rPr>
          <w:rStyle w:val="normaltextrun"/>
          <w:rFonts w:ascii="Arial" w:eastAsia="Calibri" w:hAnsi="Arial" w:cs="Arial"/>
          <w:color w:val="000000" w:themeColor="text1"/>
          <w:lang w:val="en-GB"/>
        </w:rPr>
        <w:t xml:space="preserve">A family placement scheme specific to CYP (aged three and over) is ‘Therapeutic foster care’, which involves structured therapy within a foster family setting, usually for 6-9 months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77QyVXOd","properties":{"formattedCitation":"(128\\uc0\\u8211{}130)","plainCitation":"(128–130)","noteIndex":0},"citationItems":[{"id":"pnuyFmyJ/1zZ5TWYW","uris":["http://zotero.org/users/9548222/items/9783CF8I"],"itemData":{"id":820,"type":"article-journal","container-title":"Current Opinion in Psychiatry","DOI":"10.1097/YCO.0b013e32832c9082","ISSN":"0951-7367","issue":"4","language":"en","page":"345-350","source":"DOI.org (Crossref)","title":"Alternatives to admission for children and adolescents: providing intensive mental healthcare services at home and in communities: what works?","title-short":"Alternatives to admission for children and adolescents","volume":"22","author":[{"family":"Lamb","given":"Clare E"}],"issued":{"date-parts":[["2009",7]]}}},{"id":367,"uris":["http://zotero.org/groups/5103846/items/TZVNX3GS"],"itemData":{"id":367,"type":"article-journal","container-title":"Child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id":365,"uris":["http://zotero.org/groups/5103846/items/IVBW98JV"],"itemData":{"id":365,"type":"article-journal","container-title":"Psychosocial Intervention","DOI":"10.5093/in2012a20","ISSN":"11320559","issue":"2","journalAbbreviation":"Psychosocial Intervention","language":"en","page":"195-203","source":"DOI.org (Crossref)","title":"Multidimensional Treatment Foster Care: An Alternative to Residential Treatment for High Risk Children and Adolescents","title-short":"Multidimensional Treatment Foster Care","volume":"21","author":[{"family":"Fisher","given":"Philip A."},{"family":"Gilliam","given":"Kathryn S."}],"issued":{"date-parts":[["2012",8]]}}}],"schema":"https://github.com/citation-style-language/schema/raw/master/csl-citation.json"}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(128–130)</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It can support forensic and non-forensic CYP populations and can be initiated at a time of crisis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{"citationID":"7UmyywZH","properties":{"formattedCitation":"(130)","plainCitation":"(130)","noteIndex":0},"citationItems":[{"id":365,"uris":["http://zotero.org/groups/5103846/items/IVBW98JV"],"itemData":{"id":365,"type":"article-journal","container-title":"Psychosocial Intervention","DOI":"10.5093/in2012a20","ISSN":"11320559","issue":"2","journalAbbreviation":"Psychosocial Intervention","language":"en","page":"195-203","source":"DOI.org (Crossref)","title":"Multidimensional Treatment Foster Care: An Alternative to Residential Treatment for High Risk Children and Adolescents","title-short":"Multidimensional Treatment Foster Care","volume":"21","author":[{"family":"Fisher","given":"Philip A."},{"family":"Gilliam","given":"Kathryn S."}],"issued":{"date-parts":[["2012",8]]}}}],"schema":"https://github.com/citation-style-language/schema/raw/master/csl-citation.json"}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(130)</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It aims to provide CYP in foster care and youth justice programs with an alternative to more restrictive placements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{"citationID":"HPJAMGoc","properties":{"formattedCitation":"(130)","plainCitation":"(130)","noteIndex":0},"citationItems":[{"id":365,"uris":["http://zotero.org/groups/5103846/items/IVBW98JV"],"itemData":{"id":365,"type":"article-journal","container-title":"Psychosocial Intervention","DOI":"10.5093/in2012a20","ISSN":"11320559","issue":"2","journalAbbreviation":"Psychosocial Intervention","language":"en","page":"195-203","source":"DOI.org (Crossref)","title":"Multidimensional Treatment Foster Care: An Alternative to Residential Treatment for High Risk Children and Adolescents","title-short":"Multidimensional Treatment Foster Care","volume":"21","author":[{"family":"Fisher","given":"Philip A."},{"family":"Gilliam","given":"Kathryn S."}],"issued":{"date-parts":[["2012",8]]}}}],"schema":"https://github.com/citation-style-language/schema/raw/master/csl-citation.json"}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(130)</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The ‘Geel family foster care’ model is another family placement scheme, previously described for adults in </w:t>
      </w:r>
      <w:r w:rsidRPr="00F472D7">
        <w:rPr>
          <w:rStyle w:val="normaltextrun"/>
          <w:rFonts w:ascii="Arial" w:eastAsia="Calibri" w:hAnsi="Arial" w:cs="Arial"/>
          <w:i/>
          <w:iCs/>
          <w:color w:val="000000" w:themeColor="text1"/>
          <w:lang w:val="en-GB"/>
        </w:rPr>
        <w:t xml:space="preserve">Section </w:t>
      </w:r>
      <w:r w:rsidR="00CA13DF">
        <w:rPr>
          <w:rStyle w:val="normaltextrun"/>
          <w:rFonts w:ascii="Arial" w:eastAsia="Calibri" w:hAnsi="Arial" w:cs="Arial"/>
          <w:i/>
          <w:iCs/>
          <w:color w:val="000000" w:themeColor="text1"/>
          <w:lang w:val="en-GB"/>
        </w:rPr>
        <w:t>2</w:t>
      </w:r>
      <w:r w:rsidRPr="00F472D7">
        <w:rPr>
          <w:rStyle w:val="normaltextrun"/>
          <w:rFonts w:ascii="Arial" w:eastAsia="Calibri" w:hAnsi="Arial" w:cs="Arial"/>
          <w:i/>
          <w:iCs/>
          <w:color w:val="000000" w:themeColor="text1"/>
          <w:lang w:val="en-GB"/>
        </w:rPr>
        <w:t>.1</w:t>
      </w:r>
      <w:r w:rsidR="00CA13DF">
        <w:rPr>
          <w:rStyle w:val="normaltextrun"/>
          <w:rFonts w:ascii="Arial" w:eastAsia="Calibri" w:hAnsi="Arial" w:cs="Arial"/>
          <w:i/>
          <w:iCs/>
          <w:color w:val="000000" w:themeColor="text1"/>
          <w:lang w:val="en-GB"/>
        </w:rPr>
        <w:t>.</w:t>
      </w:r>
      <w:r w:rsidRPr="00F472D7">
        <w:rPr>
          <w:rStyle w:val="normaltextrun"/>
          <w:rFonts w:ascii="Arial" w:eastAsia="Calibri" w:hAnsi="Arial" w:cs="Arial"/>
          <w:i/>
          <w:iCs/>
          <w:color w:val="000000" w:themeColor="text1"/>
          <w:lang w:val="en-GB"/>
        </w:rPr>
        <w:t xml:space="preserve">, </w:t>
      </w:r>
      <w:r w:rsidRPr="00F472D7">
        <w:rPr>
          <w:rStyle w:val="normaltextrun"/>
          <w:rFonts w:ascii="Arial" w:eastAsia="Calibri" w:hAnsi="Arial" w:cs="Arial"/>
          <w:color w:val="000000" w:themeColor="text1"/>
          <w:lang w:val="en-GB"/>
        </w:rPr>
        <w:t>that can also provide long-term support to CYP of all ages.</w:t>
      </w:r>
    </w:p>
    <w:p w14:paraId="24055952" w14:textId="77777777" w:rsidR="00693812" w:rsidRPr="00F472D7" w:rsidRDefault="00693812" w:rsidP="00693812">
      <w:pPr>
        <w:spacing w:after="0" w:line="480" w:lineRule="auto"/>
        <w:jc w:val="both"/>
        <w:rPr>
          <w:rStyle w:val="normaltextrun"/>
          <w:rFonts w:ascii="Arial" w:eastAsia="Calibri" w:hAnsi="Arial" w:cs="Arial"/>
          <w:color w:val="000000" w:themeColor="text1"/>
          <w:lang w:val="en-GB"/>
        </w:rPr>
      </w:pPr>
    </w:p>
    <w:p w14:paraId="7C405290" w14:textId="2B15AE73" w:rsidR="00693812" w:rsidRPr="00F472D7" w:rsidRDefault="00693812" w:rsidP="00693812">
      <w:pPr>
        <w:spacing w:after="0" w:line="480" w:lineRule="auto"/>
        <w:jc w:val="both"/>
        <w:rPr>
          <w:rFonts w:ascii="Arial" w:eastAsia="Calibri" w:hAnsi="Arial" w:cs="Arial"/>
          <w:color w:val="000000" w:themeColor="text1"/>
          <w:lang w:val="en-GB"/>
        </w:rPr>
      </w:pPr>
      <w:r w:rsidRPr="00F472D7">
        <w:rPr>
          <w:rStyle w:val="normaltextrun"/>
          <w:rFonts w:ascii="Arial" w:eastAsia="Calibri" w:hAnsi="Arial" w:cs="Arial"/>
          <w:color w:val="000000" w:themeColor="text1"/>
          <w:lang w:val="en-GB"/>
        </w:rPr>
        <w:t xml:space="preserve">Two further residential models of secure accommodation for CYP populations include ‘Secure children’s homes’ and ‘Secure training centres’ (STCs). Secure children’s homes are specifically tailored for CYP aged 10 to 17 years and offer full residential care, formal on-site education, and health care provision. On-site mental health professionals ultimately aim to </w:t>
      </w:r>
      <w:r w:rsidRPr="00F472D7">
        <w:rPr>
          <w:rStyle w:val="normaltextrun"/>
          <w:rFonts w:ascii="Arial" w:eastAsia="Calibri" w:hAnsi="Arial" w:cs="Arial"/>
          <w:color w:val="000000" w:themeColor="text1"/>
          <w:lang w:val="en-GB"/>
        </w:rPr>
        <w:lastRenderedPageBreak/>
        <w:t xml:space="preserve">successfully re-integrate service users back into the community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{"citationID":"YwJdFKVa","properties":{"formattedCitation":"(131,132)","plainCitation":"(131,132)","noteIndex":0},"citationItems":[{"id":404,"uris":["http://zotero.org/groups/5103846/items/K5M2JKLJ"],"itemData":{"id":404,"type":"document","title":"Secure children’s homes: placing welfare and justice children together.","URL":"https://assets.publishing.service.gov.uk/government/uploads/system/uploads/attachment_data/file/983619/Secure_children_s_homes_placement_review_report.pdf","author":[{"family":"Hart","given":"D"},{"family":"La Velle","given":"I"}],"issued":{"date-parts":[["2021"]]}}},{"id":406,"uris":["http://zotero.org/groups/5103846/items/LXUFP3LP"],"itemData":{"id":406,"type":"webpage","title":"Secure Children's Homes","URL":"http://securechildrenshomes.org.uk","author":[{"family":"Secure Children's Homes","given":""}],"issued":{"date-parts":[["2023"]]}}}],"schema":"https://github.com/citation-style-language/schema/raw/master/csl-citation.json"}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(131,132)</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They accept CYP who are sentenced or on remand through the justice system, or placed due to local authority concerns that no other type of placement could keep them safe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{"citationID":"ATsNiPEK","properties":{"formattedCitation":"(131)","plainCitation":"(131)","noteIndex":0},"citationItems":[{"id":404,"uris":["http://zotero.org/groups/5103846/items/K5M2JKLJ"],"itemData":{"id":404,"type":"document","title":"Secure children’s homes: placing welfare and justice children together.","URL":"https://assets.publishing.service.gov.uk/government/uploads/system/uploads/attachment_data/file/983619/Secure_children_s_homes_placement_review_report.pdf","author":[{"family":"Hart","given":"D"},{"family":"La Velle","given":"I"}],"issued":{"date-parts":[["2021"]]}}}],"schema":"https://github.com/citation-style-language/schema/raw/master/csl-citation.json"}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(131)</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Whereas STCs are detention facilities for CYP aged 12-17 years old who have been convicted of a criminal offence or are awaiting trial only. They are usually operated by private companies and their ethos is more punitive than in secure children’s homes, with lower staff ratios and less extensively trained staff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{"citationID":"kiIw2VgJ","properties":{"formattedCitation":"(133)","plainCitation":"(133)","noteIndex":0},"citationItems":[{"id":407,"uris":["http://zotero.org/groups/5103846/items/WQ4M2BJV"],"itemData":{"id":407,"type":"webpage","title":"Helping Families Helping Children","URL":"https://frg.org.uk","author":[{"family":"Family Rights Group","given":""}]}}],"schema":"https://github.com/citation-style-language/schema/raw/master/csl-citation.json"}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(133)</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w:t>
      </w:r>
    </w:p>
    <w:p w14:paraId="4AAC4BDB" w14:textId="77777777" w:rsidR="00693812" w:rsidRPr="00F472D7" w:rsidRDefault="00693812" w:rsidP="00693812">
      <w:pPr>
        <w:spacing w:after="0" w:line="480" w:lineRule="auto"/>
        <w:jc w:val="both"/>
        <w:rPr>
          <w:rStyle w:val="normaltextrun"/>
          <w:rFonts w:ascii="Arial" w:eastAsia="Calibri" w:hAnsi="Arial" w:cs="Arial"/>
          <w:color w:val="000000" w:themeColor="text1"/>
          <w:lang w:val="en-GB"/>
        </w:rPr>
      </w:pPr>
    </w:p>
    <w:p w14:paraId="4EE6FFFA" w14:textId="77777777" w:rsidR="00693812" w:rsidRPr="00F472D7" w:rsidRDefault="00693812" w:rsidP="00693812">
      <w:pPr>
        <w:spacing w:after="0" w:line="480" w:lineRule="auto"/>
        <w:rPr>
          <w:rStyle w:val="normaltextrun"/>
          <w:rFonts w:ascii="Arial" w:eastAsia="Calibri" w:hAnsi="Arial" w:cs="Arial"/>
          <w:color w:val="000000" w:themeColor="text1"/>
          <w:lang w:val="en-GB"/>
        </w:rPr>
      </w:pPr>
      <w:r w:rsidRPr="00F472D7">
        <w:rPr>
          <w:rStyle w:val="normaltextrun"/>
          <w:rFonts w:ascii="Arial" w:eastAsia="Calibri" w:hAnsi="Arial" w:cs="Arial"/>
          <w:color w:val="000000" w:themeColor="text1"/>
          <w:lang w:val="en-GB"/>
        </w:rPr>
        <w:t>As detailed in the adult section above, ‘Residential rehabilitation services’ and ‘</w:t>
      </w:r>
      <w:proofErr w:type="gramStart"/>
      <w:r w:rsidRPr="00F472D7">
        <w:rPr>
          <w:rStyle w:val="normaltextrun"/>
          <w:rFonts w:ascii="Arial" w:eastAsia="Calibri" w:hAnsi="Arial" w:cs="Arial"/>
          <w:color w:val="000000" w:themeColor="text1"/>
          <w:lang w:val="en-GB"/>
        </w:rPr>
        <w:t>Full Service</w:t>
      </w:r>
      <w:proofErr w:type="gramEnd"/>
      <w:r w:rsidRPr="00F472D7">
        <w:rPr>
          <w:rStyle w:val="normaltextrun"/>
          <w:rFonts w:ascii="Arial" w:eastAsia="Calibri" w:hAnsi="Arial" w:cs="Arial"/>
          <w:color w:val="000000" w:themeColor="text1"/>
          <w:lang w:val="en-GB"/>
        </w:rPr>
        <w:t xml:space="preserve"> Partnership’ - a ‘Housing with external intensive community support’ model - can also support CYP. </w:t>
      </w:r>
    </w:p>
    <w:p w14:paraId="0EF6F77C" w14:textId="77777777" w:rsidR="00693812" w:rsidRPr="00F472D7" w:rsidRDefault="00693812" w:rsidP="00693812">
      <w:pPr>
        <w:spacing w:after="0" w:line="480" w:lineRule="auto"/>
        <w:jc w:val="both"/>
        <w:rPr>
          <w:rFonts w:ascii="Arial" w:eastAsia="Segoe UI" w:hAnsi="Arial" w:cs="Arial"/>
          <w:color w:val="000000" w:themeColor="text1"/>
          <w:sz w:val="18"/>
          <w:szCs w:val="18"/>
          <w:lang w:val="en-GB"/>
        </w:rPr>
      </w:pPr>
    </w:p>
    <w:p w14:paraId="33810579"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Style w:val="normaltextrun"/>
          <w:rFonts w:ascii="Arial" w:eastAsia="Calibri" w:hAnsi="Arial" w:cs="Arial"/>
          <w:color w:val="000000" w:themeColor="text1"/>
          <w:u w:val="single"/>
          <w:lang w:val="en-GB"/>
        </w:rPr>
        <w:t>Acute day units</w:t>
      </w:r>
      <w:r w:rsidRPr="00F472D7">
        <w:rPr>
          <w:rStyle w:val="eop"/>
          <w:rFonts w:ascii="Arial" w:eastAsia="Calibri" w:hAnsi="Arial" w:cs="Arial"/>
          <w:color w:val="000000" w:themeColor="text1"/>
          <w:lang w:val="en-GB"/>
        </w:rPr>
        <w:t> </w:t>
      </w:r>
    </w:p>
    <w:p w14:paraId="77BBB9FC" w14:textId="06007CB7" w:rsidR="00693812" w:rsidRPr="00F472D7" w:rsidRDefault="00693812" w:rsidP="00693812">
      <w:pPr>
        <w:spacing w:after="0" w:line="480" w:lineRule="auto"/>
        <w:jc w:val="both"/>
        <w:rPr>
          <w:rFonts w:ascii="Arial" w:eastAsia="Calibri" w:hAnsi="Arial" w:cs="Arial"/>
          <w:color w:val="000000" w:themeColor="text1"/>
          <w:lang w:val="en-GB"/>
        </w:rPr>
      </w:pPr>
      <w:r w:rsidRPr="00F472D7">
        <w:rPr>
          <w:rStyle w:val="normaltextrun"/>
          <w:rFonts w:ascii="Arial" w:eastAsia="Calibri" w:hAnsi="Arial" w:cs="Arial"/>
          <w:color w:val="000000" w:themeColor="text1"/>
          <w:lang w:val="en-GB"/>
        </w:rPr>
        <w:t xml:space="preserve">Both ‘General acute ADUs’ and ‘Specialist ADUs’ for eating disorders also exist for CYP, where support is tailored to the needs of CYP at the time of a crisis. ADU programmes for CYP may provide a combination of individual therapy, family therapy, medication management and educational services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{"citationID":"6Sp3cGLz","properties":{"formattedCitation":"(129,134,135)","plainCitation":"(129,134,135)","noteIndex":0},"citationItems":[{"id":367,"uris":["http://zotero.org/groups/5103846/items/TZVNX3GS"],"itemData":{"id":367,"type":"article-journal","container-title":"Child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id":339,"uris":["http://zotero.org/groups/5103846/items/I6E7EIPU"],"itemData":{"id":339,"type":"article-journal","container-title":"Journal of the American Academy of Child &amp; Adolescent Psychiatry","DOI":"10.1097/00004583-199301000-00019","ISSN":"08908567","issue":"1","journalAbbreviation":"Journal of the American Academy of Child &amp; Adolescent Psychiatry","language":"en","page":"127-134","source":"DOI.org (Crossref)","title":"Effectiveness of a Multimodal Day Treatment Program for Children with Disruptive Behavior Problems","volume":"32","author":[{"family":"Grizenko","given":"Natalie"},{"family":"Papineau","given":"Danielle"},{"family":"Sayegh","given":"Liliane"}],"issued":{"date-parts":[["1993",1]]}}},{"id":343,"uris":["http://zotero.org/groups/5103846/items/N5T6M448"],"itemData":{"id":343,"type":"article-journal","abstract":"The main aim of this article is to describe the development of a new day treatment program for older children (8–11 years) with behavioural problems. The article outlines the content of the program and it also sets out the rationale behind the development of the new day service. The day program involves therapeutic and educational input and children attend the program two days a week for one academic term (10–13 weeks). Therapeutic input focuses on improving functioning in relation to a number of developmental processes that are known to be linked to the development of problem behaviour. These include improving emotional competence, dealing with peer relationship problems and interpersonal difficulties, and changing negative patterns of thinking about the self and others. The GoZone team also attempt to work collaboratively with the children's families and schools. A preliminary investigation of the effectiveness of the program is also reported. Parents and teachers completed the Strengths and Difficulties Questionnaire (SDQ) pre-and posttreatment. Findings showed that over the course of treatment parents reported a significant decrease in overall levels of emotional and behavioural problems and also reported a significant decrease in levels of emotional symptoms and peer problems. However, no significant changes in emotional and behavioural functioning were reported by teachers at school over the course of treatment. Potential ways of boosting the magnitude of positive change achieved by the new day treatment program are discussed.","container-title":"Clinical Child Psychology and Psychiatry","DOI":"10.1177/1359104506059134","ISSN":"1359-1045, 1461-7021","issue":"1","journalAbbreviation":"Clin Child Psychol Psychiatry","language":"en","page":"156-166","source":"DOI.org (Crossref)","title":"The Development of a New Day Treatment Program for Older Children (8–11 Years) with Behavioural Problems: The Go Zone","title-short":"The Development of a New Day Treatment Program for Older Children (8–11 Years) with Behavioural Problems","volume":"11","author":[{"family":"McCarthy","given":"Gerard"},{"family":"Baker","given":"Susanna"},{"family":"Betts","given":"Kathryn"},{"family":"Bernard","given":"Dave"},{"family":"Dove","given":"Jackie"},{"family":"Elliot","given":"Martin"},{"family":"Schneider","given":"Nicki"},{"family":"Woodhouse","given":"Wendy"}],"issued":{"date-parts":[["2006",1]]}}}],"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(129,134,135)</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w:t>
      </w:r>
    </w:p>
    <w:p w14:paraId="77DB003D"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27A52291" w14:textId="77777777" w:rsidR="00693812" w:rsidRPr="00F472D7" w:rsidRDefault="00693812" w:rsidP="00693812">
      <w:pPr>
        <w:spacing w:after="0" w:line="480" w:lineRule="auto"/>
        <w:jc w:val="both"/>
        <w:rPr>
          <w:rFonts w:ascii="Arial" w:hAnsi="Arial" w:cs="Arial"/>
          <w:lang w:val="en-GB"/>
        </w:rPr>
      </w:pPr>
      <w:r w:rsidRPr="00F472D7">
        <w:rPr>
          <w:rStyle w:val="normaltextrun"/>
          <w:rFonts w:ascii="Arial" w:eastAsia="Calibri" w:hAnsi="Arial" w:cs="Arial"/>
          <w:color w:val="000000" w:themeColor="text1"/>
          <w:u w:val="single"/>
          <w:lang w:val="en-GB"/>
        </w:rPr>
        <w:t>Home-based crisis services</w:t>
      </w:r>
    </w:p>
    <w:p w14:paraId="052BD8A4" w14:textId="7DB18D55" w:rsidR="00693812" w:rsidRPr="00F472D7" w:rsidRDefault="00693812" w:rsidP="00693812">
      <w:pPr>
        <w:spacing w:after="0" w:line="480" w:lineRule="auto"/>
        <w:jc w:val="both"/>
        <w:rPr>
          <w:rStyle w:val="normaltextrun"/>
          <w:rFonts w:ascii="Arial" w:eastAsia="Calibri" w:hAnsi="Arial" w:cs="Arial"/>
          <w:color w:val="000000" w:themeColor="text1"/>
          <w:lang w:val="en-GB"/>
        </w:rPr>
      </w:pPr>
      <w:r w:rsidRPr="00F472D7">
        <w:rPr>
          <w:rStyle w:val="normaltextrun"/>
          <w:rFonts w:ascii="Arial" w:eastAsia="Calibri" w:hAnsi="Arial" w:cs="Arial"/>
          <w:color w:val="000000" w:themeColor="text1"/>
          <w:lang w:val="en-GB"/>
        </w:rPr>
        <w:t xml:space="preserve">‘CRHTTs’ and ‘Other intensive home treatment </w:t>
      </w:r>
      <w:proofErr w:type="gramStart"/>
      <w:r w:rsidRPr="00F472D7">
        <w:rPr>
          <w:rStyle w:val="normaltextrun"/>
          <w:rFonts w:ascii="Arial" w:eastAsia="Calibri" w:hAnsi="Arial" w:cs="Arial"/>
          <w:color w:val="000000" w:themeColor="text1"/>
          <w:lang w:val="en-GB"/>
        </w:rPr>
        <w:t>models’</w:t>
      </w:r>
      <w:proofErr w:type="gramEnd"/>
      <w:r w:rsidRPr="00F472D7">
        <w:rPr>
          <w:rStyle w:val="normaltextrun"/>
          <w:rFonts w:ascii="Arial" w:eastAsia="Calibri" w:hAnsi="Arial" w:cs="Arial"/>
          <w:color w:val="000000" w:themeColor="text1"/>
          <w:lang w:val="en-GB"/>
        </w:rPr>
        <w:t xml:space="preserve"> can also provide support to CYP, sometimes with dedicated teams for CYP. A model specifically for CYP aged 11-18 years old is ‘Intensive home treatment with optional brief inpatient admission’. This involves providing a CRHTT approach with an optional short admission to a psychiatric intensive care unit, where the family is supported by the same professionals as in the community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{"citationID":"jpPz3g9b","properties":{"formattedCitation":"(136)","plainCitation":"(136)","noteIndex":0},"citationItems":[{"id":327,"uris":["http://zotero.org/groups/5103846/items/WI9G5LQE"],"itemData":{"id":327,"type":"article-journal","abstract":"Abstract\n            \n              Background\n              Adolescents with acute psychiatric disorders are typically treated with long-term clinical admission. However, long term admission may be associated with a variety of negative outcomes. This pilot study presents a new model of care, that is, the combined application of intensive home treatment and the possibility of short term stay at a psychiatric high &amp; intensive care.\n            \n            \n              Methods\n              In total 112 referred adolescents with mixed diagnoses participated in this longitudinal observational design. Clinical outcome was measured by the Health of the Nation Outcome Scales for Children and Adolescents (HoNOSCA) which measures the severity of multiple mental health problems. The HoNOSCA was clinician-rated at intake, after two months and after four months at discharge. Change in HoNOSCA total score was analysed with paired t-tests. Outcome moderators were gender, age, primary diagnosis, clinical admission, home treatment-time, medication and additional therapies. Follow up data were completed for 62 patients after two months and for 53 after four months.\n            \n            \n              Results\n              \n                Participants aged between 11 and 18 years (\n                M\n                 = 14.8 years, SD = 0.3; 52% female). Mean HoNOSCA total score at intake was 18.8 (SD = 5.2), after two months 13.0 (SD = 5.0); after four months resulting in a score of 9.3 (SD = 5.2). None of the moderators tested showed a significant effect on HoNOSCA scores. However, a control group could not be used because of the severe psychopathology and high risk for suicidality and the lack of an effective treatment intervention for a comparable study group.\n              \n            \n            \n              Conclusion\n              With a symptom decrease of over 50% within four months as measured by the HoNOSCA, including less risk for hospitalization, this new model appears promising and of clinical relevance. Nevertheless, further research regarding stability of treatment outcome is warranted and evaluation of long-term effects of this model in follow-up studies is needed.","container-title":"BMC Psychiatry","DOI":"10.1186/s12888-019-2407-x","ISSN":"1471-244X","issue":"1","journalAbbreviation":"BMC Psychiatry","language":"en","page":"412","source":"DOI.org (Crossref)","title":"Intensive home treatment for adolescents in psychiatric crisis","volume":"19","author":[{"family":"Muskens","given":"Jet B."},{"family":"Herpers","given":"Pierre C. M."},{"family":"Hilderink","given":"Caroline"},{"family":"Deurzen","given":"Patricia A. M.","non-dropping-particle":"van"},{"family":"Buitelaar","given":"Jan K."},{"family":"Staal","given":"Wouter G."}],"issued":{"date-parts":[["2019",12]]}}}],"schema":"https://github.com/citation-style-language/schema/raw/master/csl-citation.json"}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(136)</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Other CYP-specific models also include ‘Homebuilders’ and ‘Enhanced Homebuilders’, which offer short-term, intensive, home-based services aimed at resolving crises, improving family relationships and connecting families with necessary support (including financial </w:t>
      </w:r>
      <w:r w:rsidRPr="00F472D7">
        <w:rPr>
          <w:rStyle w:val="normaltextrun"/>
          <w:rFonts w:ascii="Arial" w:eastAsia="Calibri" w:hAnsi="Arial" w:cs="Arial"/>
          <w:color w:val="000000" w:themeColor="text1"/>
          <w:lang w:val="en-GB"/>
        </w:rPr>
        <w:lastRenderedPageBreak/>
        <w:t xml:space="preserve">support and respite care)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{"citationID":"RtTlSZUl","properties":{"formattedCitation":"(137)","plainCitation":"(137)","noteIndex":0},"citationItems":[{"id":"pnuyFmyJ/0OjuMIcS","uris":["http://zotero.org/users/9548222/items/LFXQUCTF"],"itemData":{"id":991,"type":"article-journal","abstract":"In this article, we describe the outcomes associated with a 3-year research demonstration project. It is the second of a two-part article concerned with this research conducted in the Bronx, New York, to examine the efficacy of three models of intensive in-home services—Home-Based Crisis Intervention (HBCI), Enhanced Home-Based Crisis Intervention (HBCI\n              +\n              ),and Crisis Case Management—as alternatives to hospitalization for children experiencing a psychiatric crisis. In Part I (Evans, Boothroyd, &amp; Armstrong, 1997), we described the features of the three program models, the research design, data collection measures, and the presenting characteristics of the children and families. In Part 2, we describe the success of maintaining children at home (82%) and the increases in family adaptability, children's self-concept, and parental self-efficacy both at discharge and at 6 months postdischarge. Enrollees in two of the models (HBCI and HBCI+) experienced a significant increase in family cohesion,although this was not maintained at 6 months postdischarge. While enrollees in the enhanced program showed significant increase in social support at discharge, all enrollees experienced this at 6 months postdischarge.","container-title":"Journal of Emotional and Behavioral Disorders","DOI":"10.1177/106342660301100203","ISSN":"1063-4266, 1538-4799","issue":"2","journalAbbreviation":"Journal of Emotional and Behavioral Disorders","language":"en","page":"92-102","source":"DOI.org (Crossref)","title":"An Experimental Study of the Effectiveness of Intensive In-Home Crisis Services for Children and Their Families: Program Outcomes","title-short":"An Experimental Study of the Effectiveness of Intensive In-Home Crisis Services for Children and Their Families","volume":"11","author":[{"family":"Evans","given":"Mary E."},{"family":"Boothroyd","given":"Roger A."},{"family":"Armstrong","given":"Mary I."},{"family":"Greenbaum","given":"Paul E."},{"family":"Brown","given":"Eric C."},{"family":"Kuppinger","given":"Anne D."}],"issued":{"date-parts":[["2003",4]]}}}],"schema":"https://github.com/citation-style-language/schema/raw/master/csl-citation.json"}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(137)</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 xml:space="preserve">. ‘Enhanced Homebuilders’ focuses on cultural competence and addressing violence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{"citationID":"loGIGcP2","properties":{"formattedCitation":"(137)","plainCitation":"(137)","noteIndex":0},"citationItems":[{"id":"pnuyFmyJ/0OjuMIcS","uris":["http://zotero.org/users/9548222/items/LFXQUCTF"],"itemData":{"id":991,"type":"article-journal","abstract":"In this article, we describe the outcomes associated with a 3-year research demonstration project. It is the second of a two-part article concerned with this research conducted in the Bronx, New York, to examine the efficacy of three models of intensive in-home services—Home-Based Crisis Intervention (HBCI), Enhanced Home-Based Crisis Intervention (HBCI\n              +\n              ),and Crisis Case Management—as alternatives to hospitalization for children experiencing a psychiatric crisis. In Part I (Evans, Boothroyd, &amp; Armstrong, 1997), we described the features of the three program models, the research design, data collection measures, and the presenting characteristics of the children and families. In Part 2, we describe the success of maintaining children at home (82%) and the increases in family adaptability, children's self-concept, and parental self-efficacy both at discharge and at 6 months postdischarge. Enrollees in two of the models (HBCI and HBCI+) experienced a significant increase in family cohesion,although this was not maintained at 6 months postdischarge. While enrollees in the enhanced program showed significant increase in social support at discharge, all enrollees experienced this at 6 months postdischarge.","container-title":"Journal of Emotional and Behavioral Disorders","DOI":"10.1177/106342660301100203","ISSN":"1063-4266, 1538-4799","issue":"2","journalAbbreviation":"Journal of Emotional and Behavioral Disorders","language":"en","page":"92-102","source":"DOI.org (Crossref)","title":"An Experimental Study of the Effectiveness of Intensive In-Home Crisis Services for Children and Their Families: Program Outcomes","title-short":"An Experimental Study of the Effectiveness of Intensive In-Home Crisis Services for Children and Their Families","volume":"11","author":[{"family":"Evans","given":"Mary E."},{"family":"Boothroyd","given":"Roger A."},{"family":"Armstrong","given":"Mary I."},{"family":"Greenbaum","given":"Paul E."},{"family":"Brown","given":"Eric C."},{"family":"Kuppinger","given":"Anne D."}],"issued":{"date-parts":[["2003",4]]}}}],"schema":"https://github.com/citation-style-language/schema/raw/master/csl-citation.json"}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(137)</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w:t>
      </w:r>
    </w:p>
    <w:p w14:paraId="7E22B562" w14:textId="77777777" w:rsidR="00693812" w:rsidRPr="00F472D7" w:rsidRDefault="00693812" w:rsidP="00693812">
      <w:pPr>
        <w:spacing w:after="0" w:line="480" w:lineRule="auto"/>
        <w:rPr>
          <w:rFonts w:ascii="Arial" w:eastAsia="Calibri" w:hAnsi="Arial" w:cs="Arial"/>
          <w:color w:val="000000" w:themeColor="text1"/>
          <w:lang w:val="en-GB"/>
        </w:rPr>
      </w:pPr>
    </w:p>
    <w:p w14:paraId="14957E72" w14:textId="77777777" w:rsidR="00693812" w:rsidRPr="00F472D7" w:rsidRDefault="00693812" w:rsidP="00693812">
      <w:pPr>
        <w:spacing w:after="0" w:line="480" w:lineRule="auto"/>
        <w:rPr>
          <w:rFonts w:ascii="Arial" w:eastAsia="Calibri" w:hAnsi="Arial" w:cs="Arial"/>
          <w:color w:val="000000" w:themeColor="text1"/>
          <w:lang w:val="en-GB"/>
        </w:rPr>
      </w:pPr>
      <w:r w:rsidRPr="00F472D7">
        <w:rPr>
          <w:rStyle w:val="normaltextrun"/>
          <w:rFonts w:ascii="Arial" w:eastAsia="Calibri" w:hAnsi="Arial" w:cs="Arial"/>
          <w:color w:val="000000" w:themeColor="text1"/>
          <w:u w:val="single"/>
          <w:lang w:val="en-GB"/>
        </w:rPr>
        <w:t>Emergency service linked models</w:t>
      </w:r>
      <w:r w:rsidRPr="00F472D7">
        <w:rPr>
          <w:rStyle w:val="eop"/>
          <w:rFonts w:ascii="Arial" w:eastAsia="Calibri" w:hAnsi="Arial" w:cs="Arial"/>
          <w:color w:val="000000" w:themeColor="text1"/>
          <w:lang w:val="en-GB"/>
        </w:rPr>
        <w:t> </w:t>
      </w:r>
    </w:p>
    <w:p w14:paraId="4620890C" w14:textId="38CDF4EA" w:rsidR="00693812" w:rsidRPr="00F472D7" w:rsidRDefault="00693812" w:rsidP="00693812">
      <w:pPr>
        <w:spacing w:after="0" w:line="480" w:lineRule="auto"/>
        <w:rPr>
          <w:rFonts w:ascii="Arial" w:eastAsia="Calibri" w:hAnsi="Arial" w:cs="Arial"/>
          <w:color w:val="000000" w:themeColor="text1"/>
          <w:lang w:val="en-GB"/>
        </w:rPr>
      </w:pPr>
      <w:r w:rsidRPr="00F472D7">
        <w:rPr>
          <w:rStyle w:val="normaltextrun"/>
          <w:rFonts w:ascii="Arial" w:eastAsia="Calibri" w:hAnsi="Arial" w:cs="Arial"/>
          <w:color w:val="000000" w:themeColor="text1"/>
          <w:lang w:val="en-GB"/>
        </w:rPr>
        <w:t xml:space="preserve">‘Police and/or ambulance street triage teams’ and ‘Clinician-only mobile crisis units’, previously described, can also provide support to CYP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{"citationID":"YbCCcceo","properties":{"formattedCitation":"(18)","plainCitation":"(18)","noteIndex":0},"citationItems":[{"id":338,"uris":["http://zotero.org/groups/5103846/items/JE4V8VY5"],"itemData":{"id":338,"type":"article-journal","container-title":"Health &amp; Social Care in the Community","DOI":"10.1111/hsc.13731","ISSN":"0966-0410, 1365-2524","issue":"5","journalAbbreviation":"Health Social Care Comm","language":"en","page":"1665-1679","source":"DOI.org (Crossref)","title":"Re</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examining mental health crisis intervention: A rapid review comparing outcomes across police, co</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responder and non</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police models","title-short":"Re</w:instrText>
      </w:r>
      <w:r w:rsidR="00937ACD">
        <w:rPr>
          <w:rStyle w:val="normaltextrun"/>
          <w:rFonts w:ascii="Cambria Math" w:eastAsia="Calibri" w:hAnsi="Cambria Math" w:cs="Cambria Math"/>
          <w:color w:val="000000" w:themeColor="text1"/>
          <w:lang w:val="en-GB"/>
        </w:rPr>
        <w:instrText>‐</w:instrText>
      </w:r>
      <w:r w:rsidR="00937ACD">
        <w:rPr>
          <w:rStyle w:val="normaltextrun"/>
          <w:rFonts w:ascii="Arial" w:eastAsia="Calibri" w:hAnsi="Arial" w:cs="Arial"/>
          <w:color w:val="000000" w:themeColor="text1"/>
          <w:lang w:val="en-GB"/>
        </w:rPr>
        <w:instrText xml:space="preserve">examining mental health crisis intervention","volume":"30","author":[{"family":"Marcus","given":"Natania"},{"family":"Stergiopoulos","given":"Vicky"}],"issued":{"date-parts":[["2022",9]]}}}],"schema":"https://github.com/citation-style-language/schema/raw/master/csl-citation.json"}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(18)</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w:t>
      </w:r>
    </w:p>
    <w:p w14:paraId="69365C96" w14:textId="77777777" w:rsidR="00693812" w:rsidRPr="00F472D7" w:rsidRDefault="00693812" w:rsidP="00693812">
      <w:pPr>
        <w:spacing w:after="0" w:line="480" w:lineRule="auto"/>
        <w:rPr>
          <w:rFonts w:ascii="Arial" w:eastAsia="Calibri" w:hAnsi="Arial" w:cs="Arial"/>
          <w:color w:val="000000" w:themeColor="text1"/>
          <w:lang w:val="en-GB"/>
        </w:rPr>
      </w:pPr>
    </w:p>
    <w:p w14:paraId="658ACE6A"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Style w:val="normaltextrun"/>
          <w:rFonts w:ascii="Arial" w:eastAsia="Calibri" w:hAnsi="Arial" w:cs="Arial"/>
          <w:color w:val="000000" w:themeColor="text1"/>
          <w:u w:val="single"/>
          <w:lang w:val="en-GB"/>
        </w:rPr>
        <w:t>Drop-in crisis services</w:t>
      </w:r>
      <w:r w:rsidRPr="00F472D7">
        <w:rPr>
          <w:rStyle w:val="eop"/>
          <w:rFonts w:ascii="Arial" w:eastAsia="Calibri" w:hAnsi="Arial" w:cs="Arial"/>
          <w:color w:val="000000" w:themeColor="text1"/>
          <w:lang w:val="en-GB"/>
        </w:rPr>
        <w:t> </w:t>
      </w:r>
    </w:p>
    <w:p w14:paraId="191DB63D" w14:textId="57E02386" w:rsidR="00693812" w:rsidRPr="00F472D7" w:rsidRDefault="00693812" w:rsidP="00693812">
      <w:pPr>
        <w:spacing w:after="0" w:line="480" w:lineRule="auto"/>
        <w:jc w:val="both"/>
        <w:rPr>
          <w:rStyle w:val="normaltextrun"/>
          <w:rFonts w:ascii="Arial" w:eastAsia="Calibri" w:hAnsi="Arial" w:cs="Arial"/>
          <w:color w:val="000000" w:themeColor="text1"/>
          <w:lang w:val="en-GB"/>
        </w:rPr>
      </w:pPr>
      <w:r w:rsidRPr="00F472D7">
        <w:rPr>
          <w:rStyle w:val="normaltextrun"/>
          <w:rFonts w:ascii="Arial" w:eastAsia="Calibri" w:hAnsi="Arial" w:cs="Arial"/>
          <w:color w:val="000000" w:themeColor="text1"/>
          <w:lang w:val="en-GB"/>
        </w:rPr>
        <w:t xml:space="preserve">Similar to the ‘Crisis café’ model identified for adult populations (see </w:t>
      </w:r>
      <w:r w:rsidRPr="00F472D7">
        <w:rPr>
          <w:rStyle w:val="normaltextrun"/>
          <w:rFonts w:ascii="Arial" w:eastAsia="Calibri" w:hAnsi="Arial" w:cs="Arial"/>
          <w:i/>
          <w:iCs/>
          <w:color w:val="000000" w:themeColor="text1"/>
          <w:lang w:val="en-GB"/>
        </w:rPr>
        <w:t>Section</w:t>
      </w:r>
      <w:r w:rsidR="00CA13DF">
        <w:rPr>
          <w:rStyle w:val="normaltextrun"/>
          <w:rFonts w:ascii="Arial" w:eastAsia="Calibri" w:hAnsi="Arial" w:cs="Arial"/>
          <w:i/>
          <w:iCs/>
          <w:color w:val="000000" w:themeColor="text1"/>
          <w:lang w:val="en-GB"/>
        </w:rPr>
        <w:t xml:space="preserve"> 1</w:t>
      </w:r>
      <w:r w:rsidRPr="00F472D7">
        <w:rPr>
          <w:rStyle w:val="normaltextrun"/>
          <w:rFonts w:ascii="Arial" w:eastAsia="Calibri" w:hAnsi="Arial" w:cs="Arial"/>
          <w:i/>
          <w:iCs/>
          <w:color w:val="000000" w:themeColor="text1"/>
          <w:lang w:val="en-GB"/>
        </w:rPr>
        <w:t>.1</w:t>
      </w:r>
      <w:r w:rsidR="00CA13DF">
        <w:rPr>
          <w:rStyle w:val="normaltextrun"/>
          <w:rFonts w:ascii="Arial" w:eastAsia="Calibri" w:hAnsi="Arial" w:cs="Arial"/>
          <w:i/>
          <w:iCs/>
          <w:color w:val="000000" w:themeColor="text1"/>
          <w:lang w:val="en-GB"/>
        </w:rPr>
        <w:t>.</w:t>
      </w:r>
      <w:r w:rsidRPr="00F472D7">
        <w:rPr>
          <w:rStyle w:val="normaltextrun"/>
          <w:rFonts w:ascii="Arial" w:eastAsia="Calibri" w:hAnsi="Arial" w:cs="Arial"/>
          <w:color w:val="000000" w:themeColor="text1"/>
          <w:lang w:val="en-GB"/>
        </w:rPr>
        <w:t xml:space="preserve">), a few examples of crisis cafés for CYP were identified (157), alongside ‘Crisis assessment services’ and ‘Mental health crisis hubs’ </w:t>
      </w:r>
      <w:r w:rsidRPr="00F472D7">
        <w:rPr>
          <w:rStyle w:val="normaltextrun"/>
          <w:rFonts w:ascii="Arial" w:eastAsia="Calibri" w:hAnsi="Arial" w:cs="Arial"/>
          <w:color w:val="000000" w:themeColor="text1"/>
          <w:lang w:val="en-GB"/>
        </w:rPr>
        <w:fldChar w:fldCharType="begin"/>
      </w:r>
      <w:r w:rsidR="00937ACD">
        <w:rPr>
          <w:rStyle w:val="normaltextrun"/>
          <w:rFonts w:ascii="Arial" w:eastAsia="Calibri" w:hAnsi="Arial" w:cs="Arial"/>
          <w:color w:val="000000" w:themeColor="text1"/>
          <w:lang w:val="en-GB"/>
        </w:rPr>
        <w:instrText xml:space="preserve"> ADDIN ZOTERO_ITEM CSL_CITATION {"citationID":"c3Cb0sac","properties":{"formattedCitation":"(138,139)","plainCitation":"(138,139)","noteIndex":0},"citationItems":[{"id":429,"uris":["http://zotero.org/groups/5103846/items/6DFZDRD5"],"itemData":{"id":429,"type":"document","title":"Children and Young People's Mental Health Services GIRFT Programme National Specialty Report","URL":"https://future.nhs.uk/connect.ti/GIRFTNational/view?objectId=130556421","author":[{"family":"Northover","given":"Guy"}],"issued":{"date-parts":[["2022",4]]}}},{"id":426,"uris":["http://zotero.org/groups/5103846/items/6YC5UBYC"],"itemData":{"id":426,"type":"webpage","title":"Child &amp; Adolescent Mental Health Service","URL":"https://gps.northcentrallondon.icb.nhs.uk/services/child-and-adolescent-mental-health-service-camhs-islington","author":[{"family":"NHS North Central London Integrated Care Board","given":""}],"issued":{"literal":"n.d."}}}],"schema":"https://github.com/citation-style-language/schema/raw/master/csl-citation.json"} </w:instrText>
      </w:r>
      <w:r w:rsidRPr="00F472D7">
        <w:rPr>
          <w:rStyle w:val="normaltextrun"/>
          <w:rFonts w:ascii="Arial" w:eastAsia="Calibri" w:hAnsi="Arial" w:cs="Arial"/>
          <w:color w:val="000000" w:themeColor="text1"/>
          <w:lang w:val="en-GB"/>
        </w:rPr>
        <w:fldChar w:fldCharType="separate"/>
      </w:r>
      <w:r w:rsidR="00937ACD" w:rsidRPr="00937ACD">
        <w:rPr>
          <w:rFonts w:ascii="Arial" w:hAnsi="Arial" w:cs="Arial"/>
        </w:rPr>
        <w:t>(138,139)</w:t>
      </w:r>
      <w:r w:rsidRPr="00F472D7">
        <w:rPr>
          <w:rStyle w:val="normaltextrun"/>
          <w:rFonts w:ascii="Arial" w:eastAsia="Calibri" w:hAnsi="Arial" w:cs="Arial"/>
          <w:color w:val="000000" w:themeColor="text1"/>
          <w:lang w:val="en-GB"/>
        </w:rPr>
        <w:fldChar w:fldCharType="end"/>
      </w:r>
      <w:r w:rsidRPr="00F472D7">
        <w:rPr>
          <w:rStyle w:val="normaltextrun"/>
          <w:rFonts w:ascii="Arial" w:eastAsia="Calibri" w:hAnsi="Arial" w:cs="Arial"/>
          <w:color w:val="000000" w:themeColor="text1"/>
          <w:lang w:val="en-GB"/>
        </w:rPr>
        <w:t>.</w:t>
      </w:r>
    </w:p>
    <w:p w14:paraId="23E5140F"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263F4B62"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u w:val="single"/>
          <w:lang w:val="en-GB"/>
        </w:rPr>
        <w:t>Discharge transition support</w:t>
      </w:r>
    </w:p>
    <w:p w14:paraId="653BB076" w14:textId="40AC5990"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‘Supported Discharge Service’ and ‘Hot-BITS’ models are discharge transition support models for CYP. Both models involve the provision of psychiatric reviews, psychological interventions, support with education, social issues and physical health, and out-of-hours support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cGvRf7t6","properties":{"formattedCitation":"(140\\uc0\\u8211{}143)","plainCitation":"(140–143)","noteIndex":0},"citationItems":[{"id":"pnuyFmyJ/6k8D2wKh","uris":["http://zotero.org/users/9548222/items/JZZTK3MT"],"itemData":{"id":944,"type":"article-journal","abstract":"Abstract\n            \n              Background\n              Admission rate to child and adolescent mental health inpatient units in Germany is high (54 467 admissions in 2013), resources for providing necessary beds are scarce. Alternative pathways to care are needed. Objective of this study was to assess the cost-effectiveness of inpatient treatment versus Hot-BITs-treatment (Hometreatment brings inpatient-treatment outside), a new supported discharge service offering an early discharge followed by 12 weeks of intensive support.\n            \n            \n              Methods\n              \n                Of 164 consecutively recruited children and adolescents, living within families and being in need of inpatient mental health care, 100 patients consented to participate and were randomised via a computer-list into intervention (\n                n\n                = 54) and control groups (\n                n\n                = 46). Follow-up data were available for 76 patients. Primary outcome was cost-effectiveness. Effectiveness was gathered by therapist-ratings on the Children's Global Assessment Scale (CGAS) at baseline (T1), treatment completion (T2) and an 8-month-follow-up (T3). Cost of service use (health care costs and non–health care costs) was calculated on an intention-to-treat basis at T2 and T3.\n              \n            \n            \n              Results\n              \n                Significant treatment effects were observed for both groups between T1/T2 and T1/T3 (\n                P\n                &lt; 0.001). The Hot-BITs treatment, however, was associated with significantly lower costs at T2 (difference: −6900.47€,\n                P\n                = 0.013) and T3 (difference: −8584.10€,\n                P\n                = 0.007). Bootstrap cost-effectiveness ratio indicated that Hot-BITs was less costly and tended to be more effective at T2 and T3.\n              \n            \n            \n              Conclusions\n              \n                Hot-BITs may be a feasible cost-effective alternative to long inpatient stays in child and adolescent psychiatry. Further rigorous evaluations of the model are required. (Registration number: ISRCTN02672532, part 1, Current Controlled Trials Ltd, URL:\n                http://www.controlled-trials.com\n                ).","container-title":"European Psychiatry","DOI":"10.1016/j.eurpsy.2015.01.009","ISSN":"0924-9338, 1778-3585","issue":"5","journalAbbreviation":"Eur. psychiatr.","language":"en","page":"583-589","source":"DOI.org (Crossref)","title":"Cost-effectiveness of intensive home treatment enhanced by inpatient treatment elements in child and adolescent psychiatry in Germany: A randomised trial","title-short":"Cost-effectiveness of intensive home treatment enhanced by inpatient treatment elements in child and adolescent psychiatry in Germany","volume":"30","author":[{"family":"Boege","given":"I."},{"family":"Corpus","given":"N."},{"family":"Schepker","given":"R."},{"family":"Kilian","given":"R."},{"family":"Fegert","given":"J.M."}],"issued":{"date-parts":[["2015",7]]}}},{"id":"pnuyFmyJ/6qsoBBgM","uris":["http://zotero.org/users/9548222/items/J85FQGF2"],"itemData":{"id":948,"type":"article-journal","container-title":"Child and Adolescent Mental Health","DOI":"10.1111/camh.12038","ISSN":"1475357X","issue":"4","journalAbbreviation":"Child Adolesc Ment Health","language":"en","page":"265-269","source":"DOI.org (Crossref)","title":"Innovations in Practice: pilot evaluation of the supported discharge service (SDS): clinical outcomes and service use","title-short":"Innovations in Practice","volume":"19","author":[{"family":"Ougrin","given":"Dennis"},{"family":"Zundel","given":"Toby"},{"family":"Corrigall","given":"Richard"},{"family":"Padmore","given":"Jane"},{"family":"Loh","given":"Cheryl"}],"issued":{"date-parts":[["2014",11]]}}},{"id":272,"uris":["http://zotero.org/groups/5103846/items/BQZ87VEU"],"itemData":{"id":272,"type":"article-journal","abstract":"Abstract\n            Clinical guidelines recommend intensive community care service treatment (ICCS) to reduce adolescent psychiatric inpatient care. We have previously reported that the addition of ICCS led to a substantial decrease in hospital use and improved school re-integration. The aim of this study is to undertake a randomised controlled trial (RCT) comparing an inpatient admission followed by an early discharge supported by ICCS with usual inpatient admission (treatment as usual; TAU). In this paper, we report the impact of ICCS on self-harm and other clinical and educational outcomes. 106 patients aged 12–18 admitted for psychiatric inpatient care were randomised (1:1) to either ICCS or TAU. Six months after randomisation, we compared the two treatment arms on the number and severity of self-harm episodes, the functional impairment, severity of psychiatric symptoms, clinical improvement, reading and mathematical ability, weight, height and the use of psychological therapy and medication. At six-month follow-up, there were no differences between the two groups on most measures. Patients receiving ICCS were significantly less likely to report multiple episodes (five or more) of self-harm (OR = 0.18, 95% CI: 0.05–0.64). Patients admitted to private inpatient units spent on average 118.4 (95% CI: 28.2–208.6) fewer days in hospitals if they were in the ICCS group compared to TAU. The addition of ICCS to TAU may lower the risk of multiple self-harm and may reduce the duration of inpatient stay, especially in those patients admitted for private care. Early discharge with ICCS appears to be a viable alternative to standard inpatient treatment.","container-title":"European Child &amp; Adolescent Psychiatry","DOI":"10.1007/s00787-020-01617-1","ISSN":"1018-8827, 1435-165X","issue":"9","journalAbbreviation":"Eur Child Adolesc Psychiatry","language":"en","page":"1427-1436","source":"DOI.org (Crossref)","title":"Supported discharge service versus inpatient care evaluation (SITE): a randomised controlled trial comparing effectiveness of an intensive community care service versus inpatient treatment as usual for adolescents with severe psychiatric disorders: self-harm, functional impairment, and educational and clinical outcomes","title-short":"Supported discharge service versus inpatient care evaluation (SITE)","volume":"30","author":[{"family":"Ougrin","given":"Dennis"},{"family":"Corrigall","given":"Richard"},{"family":"Stahl","given":"Daniel"},{"family":"Poole","given":"Jason"},{"family":"Zundel","given":"Toby"},{"family":"Wait","given":"Mandy"},{"family":"Slater","given":"Victoria"},{"family":"Reavey","given":"Paula"},{"family":"Byford","given":"Sarah"},{"family":"Ivens","given":"John"},{"family":"Crommelin","given":"Maarten"},{"family":"Hayes","given":"Daniel"},{"family":"Middleton","given":"Kerry"},{"family":"Young","given":"Paul"},{"family":"Taylor","given":"Eric"}],"issued":{"date-parts":[["2021",9]]}}},{"id":276,"uris":["http://zotero.org/groups/5103846/items/B8KI9SHH"],"itemData":{"id":276,"type":"article-journal","container-title":"The Lancet Psychiatry","DOI":"10.1016/S2215-0366(18)30129-9","ISSN":"22150366","issue":"6","journalAbbreviation":"The Lancet Psychiatry","language":"en","page":"477-485","source":"DOI.org (Crossref)","title":"Comparison of effectiveness and cost-effectiveness of an intensive community supported discharge service versus treatment as usual for adolescents with psychiatric emergencies: a randomised controlled trial","title-short":"Comparison of effectiveness and cost-effectiveness of an intensive community supported discharge service versus treatment as usual for adolescents with psychiatric emergencies","volume":"5","author":[{"family":"Ougrin","given":"Dennis"},{"family":"Corrigall","given":"Richard"},{"family":"Poole","given":"Jason"},{"family":"Zundel","given":"Toby"},{"family":"Sarhane","given":"Mandy"},{"family":"Slater","given":"Victoria"},{"family":"Stahl","given":"Daniel"},{"family":"Reavey","given":"Paula"},{"family":"Byford","given":"Sarah"},{"family":"Heslin","given":"Margaret"},{"family":"Ivens","given":"John"},{"family":"Crommelin","given":"Maarten"},{"family":"Abdulla","given":"Zahra"},{"family":"Hayes","given":"Daniel"},{"family":"Middleton","given":"Kerry"},{"family":"Nnadi","given":"Benita"},{"family":"Taylor","given":"Eric"}],"issued":{"date-parts":[["2018",6]]}}}],"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(140–143)</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to facilitate successful transition from inpatient care to the community.</w:t>
      </w:r>
    </w:p>
    <w:p w14:paraId="3DED921B"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p>
    <w:p w14:paraId="5E0AFD95"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r w:rsidRPr="00F472D7">
        <w:rPr>
          <w:rFonts w:ascii="Arial" w:eastAsia="Calibri" w:hAnsi="Arial" w:cs="Arial"/>
          <w:color w:val="000000" w:themeColor="text1"/>
          <w:u w:val="single"/>
          <w:lang w:val="en-GB"/>
        </w:rPr>
        <w:t xml:space="preserve">Outpatient-based crisis services </w:t>
      </w:r>
    </w:p>
    <w:p w14:paraId="66AF2CEB" w14:textId="6A2DD90A"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The ‘Behavioural health crisis care clinic’ is a brief outpatient intervention model for CYP providing assessment, safety planning, coping skills and coordinating further care for those experiencing suicidal thoughts or recent suicide attempts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{"citationID":"sMnCoY4e","properties":{"formattedCitation":"(144)","plainCitation":"(144)","noteIndex":0},"citationItems":[{"id":522,"uris":["http://zotero.org/groups/5103846/items/6LED583P"],"itemData":{"id":522,"type":"webpage","title":"Behavioral Health Crisis Care Clinic","URL":"https://www.seattlechildrens.org/clinics/psychiatry-and-behavioral-medicine/services/behavioral-health-crisis-care-clinic/","author":[{"family":"Seattle Children's Hospital Research Foundation","given":""}],"issued":{"date-parts":[["2023"]]}}}],"schema":"https://github.com/citation-style-language/schema/raw/master/csl-citation.json"}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(144)</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The ‘Whole-of-service stepped-care' model, previously described for adults with a diagnosis of “borderline personality disorder”, can also support CYP aged 12 and over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{"citationID":"kt7cmH4b","properties":{"formattedCitation":"(30)","plainCitation":"(30)","noteIndex":0},"citationItems":[{"id":286,"uris":["http://zotero.org/groups/5103846/items/7DGQZTQG"],"itemData":{"id":286,"type":"article-journal","container-title":"PLOS ONE","DOI":"10.1371/journal.pone.0206472","ISSN":"1932-6203","issue":"11","journalAbbreviation":"PLoS ONE","language":"en","page":"e0206472","source":"DOI.org (Crossref)","title":"Treatment of personality disorder using a whole of service stepped care approach: A cluster randomized controlled trial","title-short":"Treatment of personality disorder using a whole of service stepped care approach","volume":"13","author":[{"family":"Grenyer","given":"Brin F. S."},{"family":"Lewis","given":"Kate L."},{"family":"Fanaian","given":"Mahnaz"},{"family":"Kotze","given":"Beth"}],"editor":[{"family":"Wouwe","given":"Jacobus P.","non-dropping-particle":"van"}],"issued":{"date-parts":[["2018",11,6]]}}}],"schema":"https://github.com/citation-style-language/schema/raw/master/csl-citation.json"}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(30)</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p>
    <w:p w14:paraId="695B33DF"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6AE1DF8E"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r w:rsidRPr="00F472D7">
        <w:rPr>
          <w:rFonts w:ascii="Arial" w:eastAsia="Calibri" w:hAnsi="Arial" w:cs="Arial"/>
          <w:color w:val="000000" w:themeColor="text1"/>
          <w:u w:val="single"/>
          <w:lang w:val="en-GB"/>
        </w:rPr>
        <w:t>Community services with crisis function</w:t>
      </w:r>
    </w:p>
    <w:p w14:paraId="764A39DA"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189A565C" w14:textId="77777777" w:rsidR="00693812" w:rsidRPr="00F472D7" w:rsidRDefault="00693812" w:rsidP="00693812">
      <w:pPr>
        <w:spacing w:after="0" w:line="480" w:lineRule="auto"/>
        <w:jc w:val="both"/>
        <w:rPr>
          <w:rFonts w:ascii="Arial" w:eastAsia="Calibri" w:hAnsi="Arial" w:cs="Arial"/>
          <w:i/>
          <w:iCs/>
          <w:color w:val="000000" w:themeColor="text1"/>
          <w:lang w:val="en-GB"/>
        </w:rPr>
      </w:pPr>
      <w:r w:rsidRPr="00F472D7">
        <w:rPr>
          <w:rFonts w:ascii="Arial" w:eastAsia="Calibri" w:hAnsi="Arial" w:cs="Arial"/>
          <w:i/>
          <w:iCs/>
          <w:color w:val="000000" w:themeColor="text1"/>
          <w:lang w:val="en-GB"/>
        </w:rPr>
        <w:t>Enhanced case management models</w:t>
      </w:r>
    </w:p>
    <w:p w14:paraId="73EFCC21" w14:textId="197D2960"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lastRenderedPageBreak/>
        <w:t xml:space="preserve">‘Crisis case management’ (CCM) is an enhanced case management model for CYP aged 10 and over. It provides shorter-term crisis support for families and additional resources like respite care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{"citationID":"mOVokgyg","properties":{"formattedCitation":"(145)","plainCitation":"(145)","noteIndex":0},"citationItems":[{"id":"pnuyFmyJ/nFRwaoVC","uris":["http://zotero.org/users/9548222/items/XHNVIGDF"],"itemData":{"id":990,"type":"article-journal","abstract":"This article describes a 3-year research demonstration project originally funded by the National Institute of Mental Health and now funded in part by the Center for Mental Health Services, Substance Abuse and Mental Health Services Administration. This project, which was conducted in the Bronx, New York, examined the efficacy of 3 models of intensive in-home services as alternatives to hospitalization for children experiencing serious psychiatric crises. All programs were 4- to 6-week interventions. The first, Home-Based Crisis Intervention (HBCI), was modeled on the Homebuilders model of family preservation; the second, Enhanced HBCI (HBCI+), added respite care, flexible service money, parent advocate and support services, and additional staff training in cultural competence and violence management. Crisis Case Management, the third model, used case managers to assess child and family needs and link them to services, as well as respite care and flexible money. The specific features of the 3 program models, the research design, and data collection measures are described. The intake data on the children and families are presented, and implications for providing services and for future research are discussed.","container-title":"Journal of Emotional and Behavioral Disorders","DOI":"10.1177/106342669700500204","ISSN":"1063-4266, 1538-4799","issue":"2","journalAbbreviation":"Journal of Emotional and Behavioral Disorders","language":"en","page":"93-105","source":"DOI.org (Crossref)","title":"Development and Implementation of an Experimental Study of the Effectiveness of Intensive In-Home Crisis Services for Children and Their Families","volume":"5","author":[{"family":"Evans","given":"Mary E."},{"family":"Boothroyd","given":"Roger A."},{"family":"Armstrong","given":"Mary I."}],"issued":{"date-parts":[["1997",4]]}}}],"schema":"https://github.com/citation-style-language/schema/raw/master/csl-citation.json"}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(145)</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ACT has been used with CYP aged 10 and over, and FACT with CYP aged 12 and over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{"citationID":"8lyt0STs","properties":{"formattedCitation":"(38,146,147)","plainCitation":"(38,146,147)","noteIndex":0},"citationItems":[{"id":558,"uris":["http://zotero.org/groups/5103846/items/U9WJAQD6"],"itemData":{"id":558,"type":"document","title":"Step by Step: A Comprehensive Approach to Case Management","URL":"https://www.air.org/sites/default/files/March%202011%20-%20Step%20by%20Step%20-%20A%20Comprehensive%20Approach%20to%20Case%20Management.pdf","author":[{"literal":"Conrad N. Hilton Foundation"},{"literal":"The National Center on Family Homelessness"},{"literal":"National Alliance to End Homelessness"},{"literal":"ZERO TO THREE: National Center for Infants, Toddlers and Families"}],"issued":{"date-parts":[["2011"]]}}},{"id":521,"uris":["http://zotero.org/groups/5103846/items/IBES9WXQ"],"itemData":{"id":521,"type":"article-journal","abstract":"Abstract\n            \n              Purpose\n              This Multicenter Youth Flexible ACT Study examined the effect of Youth Flexible Assertive Community Treatment on symptomatic, social, and personal recovery outcomes of adolescents dealing with multifaceted psychiatric and social care needs who do not readily engage in regular office-based mental health services.\n            \n            \n              Methods\n              \n                Newly admitted clients (\n                n\n                 = 199) aged 12–24 years from 16 Youth Flexible ACT teams participated in this observational prospective cohort study. Client and practitioner questionnaires were administered every 6 months, up to 18 months. Latent growth curve analyses were conducted to examine changes in symptomatic, social, and personal recovery outcomes throughout Flexible ACT.\n              \n            \n            \n              Results\n              Our analyses of client-reported outcomes showed a decrease in overall psychosocial difficulties, depressive symptoms, and subclinical psychosis symptoms. Moreover, outcomes showed improved social interaction with peers, quality of life, and feelings of empowerment and fewer contacts with the police/legal system. In addition, analyses of clinician-reported outcomes showed a decrease in problems related to family life, peer relationships, school/work attendance, emotional symptoms, and attentional problems. Problems related to personal finance, school and work status, substance misuse, disruptive and aggressive behavior, self-injury, and self-care and independence remained unchanged.\n            \n            \n              Conclusion\n              Our results showed that clients participating in Youth Flexible ACT improved in symptomatic, social, and personal recovery outcomes over 18 months. With its integrated approach and personalized care, this service delivery model is promising for adolescents unable to engage successfully in regular (office based) mental health support services.","container-title":"Social Psychiatry and Psychiatric Epidemiology","DOI":"10.1007/s00127-023-02508-x","ISSN":"0933-7954, 1433-9285","journalAbbreviation":"Soc Psychiatry Psychiatr Epidemiol","language":"en","source":"DOI.org (Crossref)","title":"Effects of Youth Flexible Assertive Community Treatment: outcomes of an 18-month observational study","title-short":"Effects of Youth Flexible Assertive Community Treatment","URL":"https://link.springer.com/10.1007/s00127-023-02508-x","author":[{"family":"Broersen","given":"Marieke"},{"family":"Creemers","given":"Daan H. M."},{"family":"Frieswijk","given":"Nynke"},{"family":"Vermulst","given":"Ad A."},{"family":"Kroon","given":"Hans"}],"accessed":{"date-parts":[["2023",8,9]]},"issued":{"date-parts":[["2023",6,6]]}}},{"id":629,"uris":["http://zotero.org/groups/5103846/items/B38S9TG7"],"itemData":{"id":629,"type":"article-journal","abstract":"Youth Flexible Assertive Community Treatment (Youth Flexible ACT) is a client- and family-centered service delivery model for young people up to 24 years of age who have interrelated psychiatric- and social problems across multiple life domains and do not readily engage with office-based mental health services. Youth Flexible ACT teams were set up to meet the multifaceted needs of this subgroup in an integrated manner. In this paper, we present a case study to (1) describe the core principles of Youth Flexible ACT and (2) illustrate the application of the mental healthcare model. Subsequently, we describe the contribution of model elements to a positive care process and discuss the challenges of the team in working with the model. The case study displays the importance of integrated flexible and personalized care services to enable adolescents to remain engaged in care.","container-title":"Frontiers in Psychiatry","DOI":"10.3389/fpsyt.2022.903523","ISSN":"1664-0640","journalAbbreviation":"Front. Psychiatry","page":"903523","source":"DOI.org (Crossref)","title":"Case Study in Youth Flexible Assertive Community Treatment: An Illustration of the Need for Integrated Care","title-short":"Case Study in Youth Flexible Assertive Community Treatment","volume":"13","author":[{"family":"Broersen","given":"Marieke"},{"family":"Frieswijk","given":"Nynke"},{"family":"Coolen","given":"Rob"},{"family":"Creemers","given":"Daan H. M."},{"family":"Kroon","given":"Hans"}],"issued":{"date-parts":[["2022",5,12]]}}}],"schema":"https://github.com/citation-style-language/schema/raw/master/csl-citation.json"}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(38,146,147)</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5176FD7B"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5CE73C50"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i/>
          <w:iCs/>
          <w:color w:val="000000" w:themeColor="text1"/>
          <w:lang w:val="en-GB"/>
        </w:rPr>
        <w:t>Early intervention models</w:t>
      </w:r>
    </w:p>
    <w:p w14:paraId="2E01A0BB"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EIP services can accept CYP aged 14 years old and over</w:t>
      </w:r>
      <w:r>
        <w:rPr>
          <w:rFonts w:ascii="Arial" w:eastAsia="Calibri" w:hAnsi="Arial" w:cs="Arial"/>
          <w:color w:val="000000" w:themeColor="text1"/>
          <w:lang w:val="en-GB"/>
        </w:rPr>
        <w:t>.</w:t>
      </w:r>
    </w:p>
    <w:p w14:paraId="0F7FED58" w14:textId="77777777" w:rsidR="00693812" w:rsidRPr="00F472D7" w:rsidRDefault="00693812" w:rsidP="00693812">
      <w:pPr>
        <w:spacing w:after="0" w:line="480" w:lineRule="auto"/>
        <w:jc w:val="both"/>
        <w:rPr>
          <w:rFonts w:ascii="Arial" w:eastAsia="Calibri" w:hAnsi="Arial" w:cs="Arial"/>
          <w:i/>
          <w:iCs/>
          <w:color w:val="000000" w:themeColor="text1"/>
          <w:lang w:val="en-GB"/>
        </w:rPr>
      </w:pPr>
    </w:p>
    <w:p w14:paraId="39C1006B" w14:textId="77777777" w:rsidR="00693812" w:rsidRPr="00F472D7" w:rsidRDefault="00693812" w:rsidP="00693812">
      <w:pPr>
        <w:spacing w:after="0" w:line="480" w:lineRule="auto"/>
        <w:jc w:val="both"/>
        <w:rPr>
          <w:rFonts w:ascii="Arial" w:eastAsia="Calibri" w:hAnsi="Arial" w:cs="Arial"/>
          <w:i/>
          <w:iCs/>
          <w:color w:val="000000" w:themeColor="text1"/>
          <w:lang w:val="en-GB"/>
        </w:rPr>
      </w:pPr>
      <w:r w:rsidRPr="00F472D7">
        <w:rPr>
          <w:rFonts w:ascii="Arial" w:eastAsia="Calibri" w:hAnsi="Arial" w:cs="Arial"/>
          <w:i/>
          <w:iCs/>
          <w:color w:val="000000" w:themeColor="text1"/>
          <w:lang w:val="en-GB"/>
        </w:rPr>
        <w:t xml:space="preserve">Adolescent forensic community services </w:t>
      </w:r>
    </w:p>
    <w:p w14:paraId="3C39CC3B" w14:textId="03C65706" w:rsidR="00693812" w:rsidRPr="00F472D7" w:rsidRDefault="00693812" w:rsidP="00693812">
      <w:pPr>
        <w:spacing w:after="0" w:line="480" w:lineRule="auto"/>
        <w:jc w:val="both"/>
        <w:rPr>
          <w:rFonts w:ascii="Arial" w:eastAsia="Calibri" w:hAnsi="Arial" w:cs="Arial"/>
          <w:color w:val="000000" w:themeColor="text1"/>
          <w:highlight w:val="yellow"/>
          <w:lang w:val="en-GB"/>
        </w:rPr>
      </w:pPr>
      <w:r w:rsidRPr="00F472D7">
        <w:rPr>
          <w:rFonts w:ascii="Arial" w:eastAsia="Calibri" w:hAnsi="Arial" w:cs="Arial"/>
          <w:color w:val="000000" w:themeColor="text1"/>
          <w:lang w:val="en-GB"/>
        </w:rPr>
        <w:t xml:space="preserve">‘Adolescent forensic community services’ provide assessment and intervention for young people with complex mental health needs and a high risk of offending behaviour, and sometimes also provide in-reach to juvenile secure estates and children’s homes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{"citationID":"uaolxPxU","properties":{"formattedCitation":"(129)","plainCitation":"(129)","noteIndex":0},"citationItems":[{"id":367,"uris":["http://zotero.org/groups/5103846/items/TZVNX3GS"],"itemData":{"id":367,"type":"article-journal","container-title":"Child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(129)</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They aim in part to avoid inpatient admissions and shorten inpatient lengths of stay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{"citationID":"5GtLi0Rr","properties":{"formattedCitation":"(129)","plainCitation":"(129)","noteIndex":0},"citationItems":[{"id":367,"uris":["http://zotero.org/groups/5103846/items/TZVNX3GS"],"itemData":{"id":367,"type":"article-journal","container-title":"Child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(129)</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105CD897" w14:textId="77777777" w:rsidR="00693812" w:rsidRPr="00F472D7" w:rsidRDefault="00693812" w:rsidP="00693812">
      <w:pPr>
        <w:spacing w:after="0" w:line="480" w:lineRule="auto"/>
        <w:jc w:val="both"/>
        <w:rPr>
          <w:rFonts w:ascii="Arial" w:eastAsia="Calibri Light" w:hAnsi="Arial" w:cs="Arial"/>
          <w:color w:val="1F3763"/>
          <w:sz w:val="24"/>
          <w:szCs w:val="24"/>
          <w:lang w:val="en-GB"/>
        </w:rPr>
      </w:pPr>
    </w:p>
    <w:p w14:paraId="54EDD493" w14:textId="358ECE70" w:rsidR="00693812" w:rsidRPr="00F472D7" w:rsidRDefault="00693812" w:rsidP="00693812">
      <w:pPr>
        <w:pStyle w:val="Heading3"/>
        <w:rPr>
          <w:rFonts w:eastAsia="Calibri Light"/>
          <w:lang w:val="en-GB"/>
        </w:rPr>
      </w:pPr>
      <w:r>
        <w:rPr>
          <w:rFonts w:eastAsia="Calibri Light"/>
          <w:lang w:val="en-GB"/>
        </w:rPr>
        <w:t>4.</w:t>
      </w:r>
      <w:r w:rsidRPr="00F472D7">
        <w:rPr>
          <w:rFonts w:eastAsia="Calibri Light"/>
          <w:lang w:val="en-GB"/>
        </w:rPr>
        <w:t>2. Hospital-based alternatives</w:t>
      </w:r>
    </w:p>
    <w:p w14:paraId="4300DC53"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p>
    <w:p w14:paraId="13113C97"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r w:rsidRPr="00F472D7">
        <w:rPr>
          <w:rFonts w:ascii="Arial" w:eastAsia="Calibri" w:hAnsi="Arial" w:cs="Arial"/>
          <w:color w:val="000000" w:themeColor="text1"/>
          <w:u w:val="single"/>
          <w:lang w:val="en-GB"/>
        </w:rPr>
        <w:t>Models involving general hospital medical care</w:t>
      </w:r>
    </w:p>
    <w:p w14:paraId="174E1791" w14:textId="77777777" w:rsidR="00693812" w:rsidRPr="00F472D7" w:rsidRDefault="00693812" w:rsidP="00693812">
      <w:pPr>
        <w:spacing w:after="0" w:line="480" w:lineRule="auto"/>
        <w:jc w:val="both"/>
        <w:rPr>
          <w:rFonts w:ascii="Arial" w:eastAsia="Calibri" w:hAnsi="Arial" w:cs="Arial"/>
          <w:i/>
          <w:iCs/>
          <w:color w:val="000000" w:themeColor="text1"/>
          <w:lang w:val="en-GB"/>
        </w:rPr>
      </w:pPr>
    </w:p>
    <w:p w14:paraId="29EADDAF" w14:textId="77777777" w:rsidR="00693812" w:rsidRPr="00F472D7" w:rsidRDefault="00693812" w:rsidP="00693812">
      <w:pPr>
        <w:spacing w:after="0" w:line="480" w:lineRule="auto"/>
        <w:jc w:val="both"/>
        <w:rPr>
          <w:rFonts w:ascii="Arial" w:eastAsia="Calibri" w:hAnsi="Arial" w:cs="Arial"/>
          <w:i/>
          <w:iCs/>
          <w:color w:val="000000" w:themeColor="text1"/>
          <w:lang w:val="en-GB"/>
        </w:rPr>
      </w:pPr>
      <w:r w:rsidRPr="00F472D7">
        <w:rPr>
          <w:rFonts w:ascii="Arial" w:eastAsia="Calibri" w:hAnsi="Arial" w:cs="Arial"/>
          <w:i/>
          <w:iCs/>
          <w:color w:val="000000" w:themeColor="text1"/>
          <w:lang w:val="en-GB"/>
        </w:rPr>
        <w:t>Enhanced psychiatric liaison services</w:t>
      </w:r>
    </w:p>
    <w:p w14:paraId="32474B68" w14:textId="548D24A3"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The ‘Enhanced psychiatric liaison models’ (‘Enhanced 24’ and ‘Comprehensive’ models) described above serve both adults and CYP aged 16 and over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{"citationID":"SNXoNilh","properties":{"formattedCitation":"(148)","plainCitation":"(148)","noteIndex":0},"citationItems":[{"id":395,"uris":["http://zotero.org/groups/5103846/items/FQQ2CV7J"],"itemData":{"id":395,"type":"document","publisher":"Psychiatric Liaison Accreditation Network (PLAN) &amp; Royal College of Psychiatrists","title":"Quality Standards for Liaison Psychiatry Services, Sixth Edition","URL":"https://www.rcpsych.ac.uk/docs/default-source/improving-care/ccqi/quality-networks/psychiatric-liaison-services-plan/quality-standards-for-liaison-psychiatry-services---sixth-edition-20209b6be47cb0f249f697850e1222d6b6e1.pdf?sfvrsn=1ddd53f2_0","editor":[{"family":"Baugh","given":"Cassie"},{"family":"Blanchard","given":"Eve"},{"family":"Hopkins","given":"India"}],"issued":{"date-parts":[["2020"]]}}}],"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(148)</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‘Paediatric psychiatric liaison’ services specifically provide support to CYP of all ages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{"citationID":"zQyE7Tsb","properties":{"formattedCitation":"(149)","plainCitation":"(149)","noteIndex":0},"citationItems":[{"id":513,"uris":["http://zotero.org/groups/5103846/items/J8UVE8E9"],"itemData":{"id":513,"type":"document","publisher":"Care Quality Commission","title":"Review of children and young people's mental health services. Phase One supporting documentation: Summary of recent policy and literature","URL":"https://www.cqc.org.uk/sites/default/files/20171027_cypmhphase1_literaturereview.pdf","author":[{"family":"CQC","given":""}],"issued":{"date-parts":[["2017"]]}}}],"schema":"https://github.com/citation-style-language/schema/raw/master/csl-citation.json"}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(149)</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74249D89" w14:textId="77777777" w:rsidR="00693812" w:rsidRPr="00F472D7" w:rsidRDefault="00693812" w:rsidP="00693812">
      <w:pPr>
        <w:spacing w:after="0" w:line="480" w:lineRule="auto"/>
        <w:jc w:val="both"/>
        <w:rPr>
          <w:rFonts w:ascii="Arial" w:eastAsia="Calibri" w:hAnsi="Arial" w:cs="Arial"/>
          <w:i/>
          <w:iCs/>
          <w:color w:val="000000" w:themeColor="text1"/>
          <w:lang w:val="en-GB"/>
        </w:rPr>
      </w:pPr>
    </w:p>
    <w:p w14:paraId="3BBC78EC" w14:textId="77777777" w:rsidR="00693812" w:rsidRPr="00F472D7" w:rsidRDefault="00693812" w:rsidP="00693812">
      <w:pPr>
        <w:spacing w:after="0" w:line="480" w:lineRule="auto"/>
        <w:jc w:val="both"/>
        <w:rPr>
          <w:rFonts w:ascii="Arial" w:eastAsia="Calibri" w:hAnsi="Arial" w:cs="Arial"/>
          <w:i/>
          <w:iCs/>
          <w:color w:val="000000" w:themeColor="text1"/>
          <w:lang w:val="en-GB"/>
        </w:rPr>
      </w:pPr>
      <w:r w:rsidRPr="00F472D7">
        <w:rPr>
          <w:rFonts w:ascii="Arial" w:eastAsia="Calibri" w:hAnsi="Arial" w:cs="Arial"/>
          <w:i/>
          <w:iCs/>
          <w:color w:val="000000" w:themeColor="text1"/>
          <w:lang w:val="en-GB"/>
        </w:rPr>
        <w:t>Time-limited admission to general medical wards with specialist community eating disorder team input</w:t>
      </w:r>
    </w:p>
    <w:p w14:paraId="4877BBCB" w14:textId="0FCA081F"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As described above in the adult section, this model also exists for CYP with eating disorders requiring medical stabilisation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{"citationID":"LF7mGTL1","properties":{"formattedCitation":"(150)","plainCitation":"(150)","noteIndex":0},"citationItems":[{"id":385,"uris":["http://zotero.org/groups/5103846/items/HUJ2IGQW"],"itemData":{"id":385,"type":"webpage","title":"Community Eating Disorder Service for Children and Young People","URL":"https://www.cnwl.nhs.uk/services/mental-health-services/eating-disorders/community-eating-disorder-service-children-and-young-people","author":[{"family":"Central &amp; North West London NHS Foundation Trust","given":""}]}}],"schema":"https://github.com/citation-style-language/schema/raw/master/csl-citation.json"}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(150)</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346C2E38"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p>
    <w:p w14:paraId="3535DB28"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r w:rsidRPr="00F472D7">
        <w:rPr>
          <w:rFonts w:ascii="Arial" w:eastAsia="Calibri" w:hAnsi="Arial" w:cs="Arial"/>
          <w:color w:val="000000" w:themeColor="text1"/>
          <w:u w:val="single"/>
          <w:lang w:val="en-GB"/>
        </w:rPr>
        <w:t>Brief-stay crisis units</w:t>
      </w:r>
    </w:p>
    <w:p w14:paraId="6E256BF0" w14:textId="5306DE0B"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Some types of ‘Brief-stay crisis units’ can also provide care to CYP, including ‘Psychiatric emergency service centres’, ‘23-hour crisis stabilisation units’ and ‘Behavioural assessment units’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{"citationID":"8GnS9Ln1","properties":{"formattedCitation":"(151,152)","plainCitation":"(151,152)","noteIndex":0},"citationItems":[{"id":529,"uris":["http://zotero.org/groups/5103846/items/SNFJUTRZ"],"itemData":{"id":529,"type":"document","publisher":"Substance Abuse and Mental Health Services Administration","title":"Substance Abuse and Mental Health Services Administration: National Guidelines for Child and Youth Behavioral Health Crisis Care","URL":"https://store.samhsa.gov/sites/default/files/SAMHSA_Digital_Download/pep-22-01-02-001.pdf","author":[{"family":"SAMHSA","given":""}],"issued":{"date-parts":[["2022"]]}}},{"id":209,"uris":["http://zotero.org/groups/5103846/items/Z4M86WQ5"],"itemData":{"id":209,"type":"article-journal","container-title":"JOURNAL OF MENTAL HEALTH AND CLINICAL PSYCHOLOGY","DOI":"10.29245/2578-2959/2018/3.1124","ISSN":"25782959","issue":"3","journalAbbreviation":"J Mental Health &amp; Clin Psychology","page":"23-26","source":"DOI.org (Crossref)","title":"Behavioral Health Crisis Stabilization Centers: A New Normal","title-short":"Behavioral Health Crisis Stabilization Centers","volume":"2","author":[{"family":"Saxon","given":"Verletta"},{"family":"Mukherjee","given":"D"},{"family":"Thomas","given":"D"}],"issued":{"date-parts":[["2018",5,1]]}}}],"schema":"https://github.com/citation-style-language/schema/raw/master/csl-citation.json"}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(151,152)</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2CAAD14C"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p>
    <w:p w14:paraId="302C14DF"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u w:val="single"/>
          <w:lang w:val="en-GB"/>
        </w:rPr>
        <w:t>Short-stay acute inpatient wards</w:t>
      </w:r>
    </w:p>
    <w:p w14:paraId="262974B2" w14:textId="7640D9F5"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‘Short-stay acute inpatient psychiatric wards’ also exist which can accept CYP aged 16 and over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{"citationID":"lW4fOdl0","properties":{"formattedCitation":"(1)","plainCitation":"(1)","noteIndex":0},"citationItems":[{"id":204,"uris":["http://zotero.org/groups/5103846/items/QPTRTHQL"],"itemData":{"id":204,"type":"article-journal","abstract":"Background\n              Reducing use of hospital wards and improving their quality are central aims of mental health service policy. However, no comprehensive synthesis is available of evidence on residential alternatives to standard acute psychiatric wards.\n            \n            \n              Aims\n              To assess the effectiveness and cost-effectiveness of and satisfaction with residential alternatives to standard acute in-patient mental health services.\n            \n            \n              Method\n              A systematic search identified controlled studies comparing residential alternatives with standard in-patient services. Studies were described and assessed for methodological quality. Results from higher quality studies are presented and discussed.\n            \n            \n              Results\n              Twenty-seven relevant studies were identified. Nine studies of moderate quality provide no contraindication to identified alternative service models and limited preliminary evidence that community-based alternatives may be cheaper and individuals more satisfied than in standard acute wards.\n            \n            \n              Conclusions\n              More research is needed to establish the effectiveness of service models and target populations for residential alternatives to standard acute wards. Community-based residential crisis services may provide a feasible and acceptable alternative to hospital admission for some people with acute mental illness.","container-title":"British Journal of Psychiatry","DOI":"10.1192/bjp.bp.108.058347","ISSN":"0007-1250, 1472-1465","issue":"2","journalAbbreviation":"Br J Psychiatry","language":"en","page":"109-117","source":"DOI.org (Crossref)","title":"Residential alternatives to acute psychiatric hospital admission: systematic review","title-short":"Residential alternatives to acute psychiatric hospital admission","volume":"195","author":[{"family":"Lloyd-Evans","given":"Brynmor"},{"family":"Slade","given":"Mike"},{"family":"Jagielska","given":"Dorota"},{"family":"Johnson","given":"Sonia"}],"issued":{"date-parts":[["2009",8]]}}}],"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1F6EA7A8"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p>
    <w:p w14:paraId="7322AD72"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u w:val="single"/>
          <w:lang w:val="en-GB"/>
        </w:rPr>
        <w:t>Inpatient psychiatric services with a specific therapeutic model</w:t>
      </w:r>
    </w:p>
    <w:p w14:paraId="1464F151" w14:textId="1BFE2440"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Some therapeutic models implemented in adult inpatient services have also been implemented in inpatient services for CYP, including ‘</w:t>
      </w:r>
      <w:proofErr w:type="spellStart"/>
      <w:r w:rsidRPr="00F472D7">
        <w:rPr>
          <w:rFonts w:ascii="Arial" w:eastAsia="Calibri" w:hAnsi="Arial" w:cs="Arial"/>
          <w:color w:val="000000" w:themeColor="text1"/>
          <w:lang w:val="en-GB"/>
        </w:rPr>
        <w:t>Safewards</w:t>
      </w:r>
      <w:proofErr w:type="spellEnd"/>
      <w:r w:rsidRPr="00F472D7">
        <w:rPr>
          <w:rFonts w:ascii="Arial" w:eastAsia="Calibri" w:hAnsi="Arial" w:cs="Arial"/>
          <w:color w:val="000000" w:themeColor="text1"/>
          <w:lang w:val="en-GB"/>
        </w:rPr>
        <w:t xml:space="preserve">’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{"citationID":"Q2NgXIpK","properties":{"formattedCitation":"(153,154)","plainCitation":"(153,154)","noteIndex":0},"citationItems":[{"id":561,"uris":["http://zotero.org/groups/5103846/items/62NPEJXQ"],"itemData":{"id":561,"type":"document","publisher":"The University of Melbourne","title":"Safewards Victorian Trial Final Evaluation Report","URL":"https://www.health.vic.gov.au/sites/default/files/migrated/files/collections/research-and-reports/s/safewards-final-evaluation-report.pdf","author":[{"family":"Hamilton","given":"Bridget"},{"family":"Fletcher","given":"Justine"},{"family":"Sands","given":"Natasha"},{"family":"Roper","given":"Catherine"},{"family":"Elsom","given":"Steve"}],"issued":{"date-parts":[["2016"]]}}},{"id":132,"uris":["http://zotero.org/groups/5103846/items/B8YGE7FY"],"itemData":{"id":132,"type":"article-journal","container-title":"International Journal of Mental Health Nursing","DOI":"10.1111/inm.12674","ISSN":"1445-8330, 1447-0349","issue":"3","journalAbbreviation":"Int J Mental Health Nurs","language":"en","page":"399-405","source":"DOI.org (Crossref)","title":"Impact of the implementation of the safewards model on the social climate on adolescent psychiatric wards","volume":"29","author":[{"family":"Hottinen","given":"Anja"},{"family":"Rytilä</w:instrText>
      </w:r>
      <w:r w:rsidR="00937ACD">
        <w:rPr>
          <w:rFonts w:ascii="Cambria Math" w:eastAsia="Calibri" w:hAnsi="Cambria Math" w:cs="Cambria Math"/>
          <w:color w:val="000000" w:themeColor="text1"/>
          <w:lang w:val="en-GB"/>
        </w:rPr>
        <w:instrText>‐</w:instrText>
      </w:r>
      <w:r w:rsidR="00937ACD">
        <w:rPr>
          <w:rFonts w:ascii="Arial" w:eastAsia="Calibri" w:hAnsi="Arial" w:cs="Arial"/>
          <w:color w:val="000000" w:themeColor="text1"/>
          <w:lang w:val="en-GB"/>
        </w:rPr>
        <w:instrText xml:space="preserve">Manninen","given":"Minna"},{"family":"Laurén","given":"Jenny"},{"family":"Autio","given":"Silva"},{"family":"Laiho","given":"Tero"},{"family":"Lindberg","given":"Nina"}],"issued":{"date-parts":[["2020",6]]}}}],"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(153,154)</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‘Six Core Strategies’ and the ‘HOPES’ model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{"citationID":"nyhD4BtD","properties":{"formattedCitation":"(64)","plainCitation":"(64)","noteIndex":0},"citationItems":[{"id":566,"uris":["http://zotero.org/groups/5103846/items/HB4UK3X3"],"itemData":{"id":566,"type":"webpage","title":"Mersey Care NHS Foundation Trust website","URL":"https://www.merseycare.nhs.uk/hopes-model","issued":{"literal":"n.d."}}}],"schema":"https://github.com/citation-style-language/schema/raw/master/csl-citation.json"}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(64)</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Furthermore, an evaluation of the ‘BA’ model described in </w:t>
      </w:r>
      <w:r w:rsidRPr="00F472D7">
        <w:rPr>
          <w:rFonts w:ascii="Arial" w:eastAsia="Calibri" w:hAnsi="Arial" w:cs="Arial"/>
          <w:i/>
          <w:iCs/>
          <w:color w:val="000000" w:themeColor="text1"/>
          <w:lang w:val="en-GB"/>
        </w:rPr>
        <w:t xml:space="preserve">Section </w:t>
      </w:r>
      <w:r w:rsidR="00A54A9E">
        <w:rPr>
          <w:rFonts w:ascii="Arial" w:eastAsia="Calibri" w:hAnsi="Arial" w:cs="Arial"/>
          <w:i/>
          <w:iCs/>
          <w:color w:val="000000" w:themeColor="text1"/>
          <w:lang w:val="en-GB"/>
        </w:rPr>
        <w:t>1</w:t>
      </w:r>
      <w:r w:rsidRPr="00F472D7">
        <w:rPr>
          <w:rFonts w:ascii="Arial" w:eastAsia="Calibri" w:hAnsi="Arial" w:cs="Arial"/>
          <w:i/>
          <w:iCs/>
          <w:color w:val="000000" w:themeColor="text1"/>
          <w:lang w:val="en-GB"/>
        </w:rPr>
        <w:t>.2</w:t>
      </w:r>
      <w:r w:rsidR="00CA13DF">
        <w:rPr>
          <w:rFonts w:ascii="Arial" w:eastAsia="Calibri" w:hAnsi="Arial" w:cs="Arial"/>
          <w:i/>
          <w:iCs/>
          <w:color w:val="000000" w:themeColor="text1"/>
          <w:lang w:val="en-GB"/>
        </w:rPr>
        <w:t>.</w:t>
      </w:r>
      <w:r w:rsidRPr="00F472D7">
        <w:rPr>
          <w:rFonts w:ascii="Arial" w:eastAsia="Calibri" w:hAnsi="Arial" w:cs="Arial"/>
          <w:i/>
          <w:iCs/>
          <w:color w:val="000000" w:themeColor="text1"/>
          <w:lang w:val="en-GB"/>
        </w:rPr>
        <w:t>,</w:t>
      </w:r>
      <w:r w:rsidRPr="00F472D7">
        <w:rPr>
          <w:rFonts w:ascii="Arial" w:eastAsia="Calibri" w:hAnsi="Arial" w:cs="Arial"/>
          <w:color w:val="000000" w:themeColor="text1"/>
          <w:lang w:val="en-GB"/>
        </w:rPr>
        <w:t xml:space="preserve"> adapted for adolescents, is currently in progress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{"citationID":"Qt7gymEJ","properties":{"formattedCitation":"(155)","plainCitation":"(155)","noteIndex":0},"citationItems":[{"id":565,"uris":["http://zotero.org/groups/5103846/items/N6RRP2DU"],"itemData":{"id":565,"type":"webpage","title":"Brief Admission for Adolescents Who Self-Harm ClinicalTrials.gov Protocol","URL":"https://classic.clinicaltrials.gov/ct2/show/NCT04962373","author":[{"family":"Westling","given":"Sophie"}],"issued":{"date-parts":[["2022"]]}}}],"schema":"https://github.com/citation-style-language/schema/raw/master/csl-citation.json"}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(155)</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w:t>
      </w:r>
    </w:p>
    <w:p w14:paraId="7F8A707C" w14:textId="77777777" w:rsidR="00693812" w:rsidRPr="00F472D7" w:rsidRDefault="00693812" w:rsidP="00693812">
      <w:pPr>
        <w:spacing w:after="0" w:line="480" w:lineRule="auto"/>
        <w:jc w:val="both"/>
        <w:rPr>
          <w:rFonts w:ascii="Arial" w:eastAsia="Calibri" w:hAnsi="Arial" w:cs="Arial"/>
          <w:color w:val="000000" w:themeColor="text1"/>
          <w:u w:val="single"/>
          <w:lang w:val="en-GB"/>
        </w:rPr>
      </w:pPr>
    </w:p>
    <w:p w14:paraId="7D0A50DC" w14:textId="77777777"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u w:val="single"/>
          <w:lang w:val="en-GB"/>
        </w:rPr>
        <w:t>Inpatient wards for specific groups</w:t>
      </w:r>
    </w:p>
    <w:p w14:paraId="0FCD0608" w14:textId="506AF468" w:rsidR="00693812" w:rsidRPr="00F472D7"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As for adults, there are ‘Specialist eating disorder wards’ for CYP, and ‘Early psychosis wards’ which can accept CYP aged 16 and over. Specialist wards also exist for deaf CYP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{"citationID":"xjeZ30pV","properties":{"formattedCitation":"(156)","plainCitation":"(156)","noteIndex":0},"citationItems":[{"id":542,"uris":["http://zotero.org/groups/5103846/items/YSMIP4GY"],"itemData":{"id":542,"type":"webpage","container-title":"South West London and St George's Mental Health NHS Trust","title":"Corner House - National Deaf CAMHS","URL":"https://www.swlstg.nhs.uk/our-services/find-a-service/service/corner-house-national-deaf-camhs#:~:text=Corner%20House%20is%20a%20six,complex%20emotional%20and%20psychological%20problems.","issued":{"literal":"n.d."}}}],"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(156)</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xml:space="preserve">. There are also inpatient wards specifically for children under the age of 13, which may provide schooling, support to parents/carers and age-appropriate therapeutic activities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{"citationID":"cQtI6jCB","properties":{"formattedCitation":"(157)","plainCitation":"(157)","noteIndex":0},"citationItems":[{"id":396,"uris":["http://zotero.org/groups/5103846/items/RMMJBJ7N"],"itemData":{"id":396,"type":"webpage","title":"Collingham Inpatient Service","URL":"https://www.cnwl.nhs.uk/camhs/our-services/inpatient/collingham-inpatient-service-2","author":[{"family":"Central and North West London NHS Foundation Trust","given":""}],"issued":{"date-parts":[["2023"]]}}}],"schema":"https://github.com/citation-style-language/schema/raw/master/csl-citation.json"}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(157)</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w:t>
      </w:r>
    </w:p>
    <w:p w14:paraId="476D08FE" w14:textId="77777777" w:rsidR="00693812" w:rsidRPr="00F472D7" w:rsidRDefault="00693812" w:rsidP="00693812">
      <w:pPr>
        <w:spacing w:after="0" w:line="480" w:lineRule="auto"/>
        <w:jc w:val="both"/>
        <w:rPr>
          <w:rFonts w:ascii="Arial" w:eastAsia="Calibri Light" w:hAnsi="Arial" w:cs="Arial"/>
          <w:color w:val="1F3763"/>
          <w:sz w:val="24"/>
          <w:szCs w:val="24"/>
          <w:lang w:val="en-GB"/>
        </w:rPr>
      </w:pPr>
    </w:p>
    <w:p w14:paraId="3CFED8EE" w14:textId="74E5FE1B" w:rsidR="00693812" w:rsidRPr="00F472D7" w:rsidRDefault="00693812" w:rsidP="00693812">
      <w:pPr>
        <w:pStyle w:val="Heading3"/>
        <w:rPr>
          <w:rFonts w:eastAsia="Calibri Light"/>
          <w:lang w:val="en-GB"/>
        </w:rPr>
      </w:pPr>
      <w:r>
        <w:rPr>
          <w:rFonts w:eastAsia="Calibri Light"/>
          <w:lang w:val="en-GB"/>
        </w:rPr>
        <w:t>4.</w:t>
      </w:r>
      <w:r w:rsidRPr="00F472D7">
        <w:rPr>
          <w:rFonts w:eastAsia="Calibri Light"/>
          <w:lang w:val="en-GB"/>
        </w:rPr>
        <w:t>3</w:t>
      </w:r>
      <w:r>
        <w:rPr>
          <w:rFonts w:eastAsia="Calibri Light"/>
          <w:lang w:val="en-GB"/>
        </w:rPr>
        <w:t>.</w:t>
      </w:r>
      <w:r w:rsidRPr="00F472D7">
        <w:rPr>
          <w:rFonts w:eastAsia="Calibri Light"/>
          <w:lang w:val="en-GB"/>
        </w:rPr>
        <w:t xml:space="preserve"> Cross-setting approaches</w:t>
      </w:r>
    </w:p>
    <w:p w14:paraId="17D50871" w14:textId="77777777" w:rsidR="00693812" w:rsidRPr="00F472D7" w:rsidRDefault="00693812" w:rsidP="00693812">
      <w:pPr>
        <w:spacing w:after="0" w:line="480" w:lineRule="auto"/>
        <w:jc w:val="both"/>
        <w:rPr>
          <w:rFonts w:ascii="Arial" w:eastAsia="Calibri" w:hAnsi="Arial" w:cs="Arial"/>
          <w:color w:val="000000" w:themeColor="text1"/>
          <w:lang w:val="en-GB"/>
        </w:rPr>
      </w:pPr>
    </w:p>
    <w:p w14:paraId="62B192B1" w14:textId="4EDD92BE" w:rsidR="00693812" w:rsidRDefault="00693812" w:rsidP="00693812">
      <w:pPr>
        <w:spacing w:after="0" w:line="480" w:lineRule="auto"/>
        <w:jc w:val="both"/>
        <w:rPr>
          <w:rFonts w:ascii="Arial" w:eastAsia="Calibri" w:hAnsi="Arial" w:cs="Arial"/>
          <w:color w:val="000000" w:themeColor="text1"/>
          <w:lang w:val="en-GB"/>
        </w:rPr>
      </w:pPr>
      <w:r w:rsidRPr="00F472D7">
        <w:rPr>
          <w:rFonts w:ascii="Arial" w:eastAsia="Calibri" w:hAnsi="Arial" w:cs="Arial"/>
          <w:color w:val="000000" w:themeColor="text1"/>
          <w:lang w:val="en-GB"/>
        </w:rPr>
        <w:t xml:space="preserve">Multisystemic therapy is a cross-setting model specific to CYP aged 10 and over. It aims to engage multiple systems in order to provide intensive support to CYP and their families in their natural environments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{"citationID":"zpQ17DhG","properties":{"formattedCitation":"(129)","plainCitation":"(129)","noteIndex":0},"citationItems":[{"id":367,"uris":["http://zotero.org/groups/5103846/items/TZVNX3GS"],"itemData":{"id":367,"type":"article-journal","container-title":"Child and Adolescent Mental Health","DOI":"10.1111/j.1475-3588.2007.00481.x","ISSN":"1475357X, 14753588","issue":"4","language":"en","page":"173-180","source":"DOI.org (Crossref)","title":"Tier 4 Child and Adolescent Mental Health Services (CAMHS) - Inpatient Care, Day Services and Alternatives: An Overview of Tier 4 CAMHS Provision in the UK","title-short":"Tier 4 Child and Adolescent Mental Health Services (CAMHS) - Inpatient Care, Day Services and Alternatives","volume":"13","author":[{"family":"McDougall","given":"Tim"},{"family":"Worrall-Davies","given":"Anne"},{"family":"Hewson","given":"Lesley"},{"family":"Richardson","given":"Greg"},{"family":"Cotgrove","given":"Andrew"}],"issued":{"date-parts":[["2008",11]]}}}],"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(129)</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It has been implemented with both forensic and non-</w:t>
      </w:r>
      <w:r w:rsidRPr="00F472D7">
        <w:rPr>
          <w:rFonts w:ascii="Arial" w:eastAsia="Calibri" w:hAnsi="Arial" w:cs="Arial"/>
          <w:color w:val="000000" w:themeColor="text1"/>
          <w:lang w:val="en-GB"/>
        </w:rPr>
        <w:lastRenderedPageBreak/>
        <w:t xml:space="preserve">forensic populations. ‘Wraparound with intensive services’, previously described, is for CYP aged 0-20 </w:t>
      </w:r>
      <w:r w:rsidRPr="00F472D7">
        <w:rPr>
          <w:rFonts w:ascii="Arial" w:eastAsia="Calibri" w:hAnsi="Arial" w:cs="Arial"/>
          <w:color w:val="000000" w:themeColor="text1"/>
          <w:lang w:val="en-GB"/>
        </w:rPr>
        <w:fldChar w:fldCharType="begin"/>
      </w:r>
      <w:r w:rsidR="00937ACD">
        <w:rPr>
          <w:rFonts w:ascii="Arial" w:eastAsia="Calibri" w:hAnsi="Arial" w:cs="Arial"/>
          <w:color w:val="000000" w:themeColor="text1"/>
          <w:lang w:val="en-GB"/>
        </w:rPr>
        <w:instrText xml:space="preserve"> ADDIN ZOTERO_ITEM CSL_CITATION {"citationID":"qJ3LOjWD","properties":{"formattedCitation":"(90)","plainCitation":"(90)","noteIndex":0},"citationItems":[{"id":585,"uris":["http://zotero.org/groups/5103846/items/R8BLWSZU"],"itemData":{"id":585,"type":"article-journal","container-title":"Administration and Policy in Mental Health and Mental Health Services Research","DOI":"10.1007/s10488-014-0571-3","ISSN":"0894-587X, 1573-3289","issue":"3","journalAbbreviation":"Adm Policy Ment Health","language":"en","page":"309-322","source":"DOI.org (Crossref)","title":"Effectiveness of Wraparound Versus Case Management for Children and Adolescents: Results of a Randomized Study","title-short":"Effectiveness of Wraparound Versus Case Management for Children and Adolescents","volume":"42","author":[{"family":"Bruns","given":"Eric J."},{"family":"Pullmann","given":"Michael D."},{"family":"Sather","given":"April"},{"family":"Brinson","given":"Ramona Denby"},{"family":"Ramey","given":"Michelle"}],"issued":{"date-parts":[["2015",5]]}}}],"schema":"https://github.com/citation-style-language/schema/raw/master/csl-citation.json"} </w:instrText>
      </w:r>
      <w:r w:rsidRPr="00F472D7">
        <w:rPr>
          <w:rFonts w:ascii="Arial" w:eastAsia="Calibri" w:hAnsi="Arial" w:cs="Arial"/>
          <w:color w:val="000000" w:themeColor="text1"/>
          <w:lang w:val="en-GB"/>
        </w:rPr>
        <w:fldChar w:fldCharType="separate"/>
      </w:r>
      <w:r w:rsidR="00937ACD" w:rsidRPr="00937ACD">
        <w:rPr>
          <w:rFonts w:ascii="Arial" w:hAnsi="Arial" w:cs="Arial"/>
        </w:rPr>
        <w:t>(90)</w:t>
      </w:r>
      <w:r w:rsidRPr="00F472D7">
        <w:rPr>
          <w:rFonts w:ascii="Arial" w:eastAsia="Calibri" w:hAnsi="Arial" w:cs="Arial"/>
          <w:color w:val="000000" w:themeColor="text1"/>
          <w:lang w:val="en-GB"/>
        </w:rPr>
        <w:fldChar w:fldCharType="end"/>
      </w:r>
      <w:r w:rsidRPr="00F472D7">
        <w:rPr>
          <w:rFonts w:ascii="Arial" w:eastAsia="Calibri" w:hAnsi="Arial" w:cs="Arial"/>
          <w:color w:val="000000" w:themeColor="text1"/>
          <w:lang w:val="en-GB"/>
        </w:rPr>
        <w:t>. Likewise, ‘Open Dialogue’ (but not peer-supported open dialogue), ‘Therapeutic Communities’, ‘DTCs’, the ‘Sanctuary model’, ‘Enabling Environments’, ‘Need-adapted Treatment’,</w:t>
      </w:r>
      <w:r>
        <w:rPr>
          <w:rFonts w:ascii="Arial" w:eastAsia="Calibri" w:hAnsi="Arial" w:cs="Arial"/>
          <w:color w:val="000000" w:themeColor="text1"/>
          <w:lang w:val="en-GB"/>
        </w:rPr>
        <w:t xml:space="preserve"> and</w:t>
      </w:r>
      <w:r w:rsidRPr="00F472D7">
        <w:rPr>
          <w:rFonts w:ascii="Arial" w:eastAsia="Calibri" w:hAnsi="Arial" w:cs="Arial"/>
          <w:color w:val="000000" w:themeColor="text1"/>
          <w:lang w:val="en-GB"/>
        </w:rPr>
        <w:t xml:space="preserve"> the ‘Trieste model’ have also been implemented for CYP populations. </w:t>
      </w:r>
    </w:p>
    <w:p w14:paraId="4C0D899E" w14:textId="77777777" w:rsidR="00C23179" w:rsidRDefault="00C23179" w:rsidP="00693812">
      <w:pPr>
        <w:spacing w:after="0" w:line="480" w:lineRule="auto"/>
        <w:jc w:val="both"/>
        <w:rPr>
          <w:rFonts w:ascii="Arial" w:eastAsia="Calibri" w:hAnsi="Arial" w:cs="Arial"/>
          <w:color w:val="000000" w:themeColor="text1"/>
          <w:lang w:val="en-GB"/>
        </w:rPr>
      </w:pPr>
    </w:p>
    <w:p w14:paraId="5DB8C1C0" w14:textId="23FFA5D2" w:rsidR="00C23179" w:rsidRPr="00F50897" w:rsidRDefault="00C23179" w:rsidP="00F50897">
      <w:pPr>
        <w:pStyle w:val="Heading2"/>
        <w:rPr>
          <w:rFonts w:eastAsia="Calibri"/>
          <w:lang w:val="en-GB"/>
        </w:rPr>
      </w:pPr>
      <w:r>
        <w:rPr>
          <w:rFonts w:eastAsia="Calibri"/>
          <w:lang w:val="en-GB"/>
        </w:rPr>
        <w:t>References</w:t>
      </w:r>
    </w:p>
    <w:p w14:paraId="6D3F119E" w14:textId="77777777" w:rsidR="00937ACD" w:rsidRPr="00937ACD" w:rsidRDefault="00937ACD" w:rsidP="00937ACD">
      <w:pPr>
        <w:pStyle w:val="Bibliography"/>
        <w:rPr>
          <w:rFonts w:ascii="Aptos" w:hAnsi="Aptos"/>
        </w:rPr>
      </w:pPr>
      <w:r>
        <w:fldChar w:fldCharType="begin"/>
      </w:r>
      <w:r>
        <w:instrText xml:space="preserve"> ADDIN ZOTERO_BIBL {"uncited":[],"omitted":[],"custom":[]} CSL_BIBLIOGRAPHY </w:instrText>
      </w:r>
      <w:r>
        <w:fldChar w:fldCharType="separate"/>
      </w:r>
      <w:r w:rsidRPr="00937ACD">
        <w:rPr>
          <w:rFonts w:ascii="Aptos" w:hAnsi="Aptos"/>
        </w:rPr>
        <w:t>1.</w:t>
      </w:r>
      <w:r w:rsidRPr="00937ACD">
        <w:rPr>
          <w:rFonts w:ascii="Aptos" w:hAnsi="Aptos"/>
        </w:rPr>
        <w:tab/>
        <w:t xml:space="preserve">Lloyd-Evans B, Slade M, Jagielska D, Johnson S. Residential alternatives to acute psychiatric hospital admission: systematic review. Br J Psychiatry. 2009 Aug;195(2):109–17. </w:t>
      </w:r>
    </w:p>
    <w:p w14:paraId="2793BFB4" w14:textId="77777777" w:rsidR="00937ACD" w:rsidRPr="00937ACD" w:rsidRDefault="00937ACD" w:rsidP="00937ACD">
      <w:pPr>
        <w:pStyle w:val="Bibliography"/>
        <w:rPr>
          <w:rFonts w:ascii="Aptos" w:hAnsi="Aptos"/>
        </w:rPr>
      </w:pPr>
      <w:r w:rsidRPr="00937ACD">
        <w:rPr>
          <w:rFonts w:ascii="Aptos" w:hAnsi="Aptos"/>
        </w:rPr>
        <w:t>2.</w:t>
      </w:r>
      <w:r w:rsidRPr="00937ACD">
        <w:rPr>
          <w:rFonts w:ascii="Aptos" w:hAnsi="Aptos"/>
        </w:rPr>
        <w:tab/>
        <w:t>Cooke A, McNicholas S, Rose A. Women and Power: Drayton Park Women’s Crisis House. In: Inside Out, Outside In: Transforming Mental Health Practices [Internet]. PCCS Books; 2019. Available from: https://www.candi.nhs.uk/sites/default/files/Women%20and%20Power%20-%20The%20Drayton%20Park%20Women%27s%20Crisis%20House.pdf</w:t>
      </w:r>
    </w:p>
    <w:p w14:paraId="6A2E260B" w14:textId="77777777" w:rsidR="00937ACD" w:rsidRPr="00937ACD" w:rsidRDefault="00937ACD" w:rsidP="00937ACD">
      <w:pPr>
        <w:pStyle w:val="Bibliography"/>
        <w:rPr>
          <w:rFonts w:ascii="Aptos" w:hAnsi="Aptos"/>
        </w:rPr>
      </w:pPr>
      <w:r w:rsidRPr="00937ACD">
        <w:rPr>
          <w:rFonts w:ascii="Aptos" w:hAnsi="Aptos"/>
        </w:rPr>
        <w:t>3.</w:t>
      </w:r>
      <w:r w:rsidRPr="00937ACD">
        <w:rPr>
          <w:rFonts w:ascii="Aptos" w:hAnsi="Aptos"/>
        </w:rPr>
        <w:tab/>
        <w:t xml:space="preserve">Killaspy H, Dalton J, McNicholas S, Johnson S. Drayton Park, an alternative to hospital admission for women in acute mental health crisis. Psychiatr bull. 2000 Mar;24(3):101–4. </w:t>
      </w:r>
    </w:p>
    <w:p w14:paraId="0776630B" w14:textId="77777777" w:rsidR="00937ACD" w:rsidRPr="00937ACD" w:rsidRDefault="00937ACD" w:rsidP="00937ACD">
      <w:pPr>
        <w:pStyle w:val="Bibliography"/>
        <w:rPr>
          <w:rFonts w:ascii="Aptos" w:hAnsi="Aptos"/>
        </w:rPr>
      </w:pPr>
      <w:r w:rsidRPr="00937ACD">
        <w:rPr>
          <w:rFonts w:ascii="Aptos" w:hAnsi="Aptos"/>
        </w:rPr>
        <w:t>4.</w:t>
      </w:r>
      <w:r w:rsidRPr="00937ACD">
        <w:rPr>
          <w:rFonts w:ascii="Aptos" w:hAnsi="Aptos"/>
        </w:rPr>
        <w:tab/>
        <w:t xml:space="preserve">Howard L, Flach C, Leese M, Byford S, Killaspy H, Cole L, et al. Effectiveness and cost-effectiveness of admissions to women’s crisis houses compared with traditional psychiatric wards: pilot patient-preference randomised controlled trial. Br J Psychiatry. 2010 Aug;197(S53):s32–40. </w:t>
      </w:r>
    </w:p>
    <w:p w14:paraId="63C257D0" w14:textId="77777777" w:rsidR="00937ACD" w:rsidRPr="00937ACD" w:rsidRDefault="00937ACD" w:rsidP="00937ACD">
      <w:pPr>
        <w:pStyle w:val="Bibliography"/>
        <w:rPr>
          <w:rFonts w:ascii="Aptos" w:hAnsi="Aptos"/>
        </w:rPr>
      </w:pPr>
      <w:r w:rsidRPr="00937ACD">
        <w:rPr>
          <w:rFonts w:ascii="Aptos" w:hAnsi="Aptos"/>
        </w:rPr>
        <w:t>5.</w:t>
      </w:r>
      <w:r w:rsidRPr="00937ACD">
        <w:rPr>
          <w:rFonts w:ascii="Aptos" w:hAnsi="Aptos"/>
        </w:rPr>
        <w:tab/>
        <w:t xml:space="preserve">Johnson S, Bingham C, Billings J, Pilling S, Morant N, Bebbington P, et al. Women’s experiences of admission to a crisis house and to acute hospital wards: A qualitative study. Journal of Mental Health. 2004 Jun;13(3):247–62. </w:t>
      </w:r>
    </w:p>
    <w:p w14:paraId="31AFB6F5" w14:textId="77777777" w:rsidR="00937ACD" w:rsidRPr="00937ACD" w:rsidRDefault="00937ACD" w:rsidP="00937ACD">
      <w:pPr>
        <w:pStyle w:val="Bibliography"/>
        <w:rPr>
          <w:rFonts w:ascii="Aptos" w:hAnsi="Aptos"/>
        </w:rPr>
      </w:pPr>
      <w:r w:rsidRPr="00937ACD">
        <w:rPr>
          <w:rFonts w:ascii="Aptos" w:hAnsi="Aptos"/>
        </w:rPr>
        <w:t>6.</w:t>
      </w:r>
      <w:r w:rsidRPr="00937ACD">
        <w:rPr>
          <w:rFonts w:ascii="Aptos" w:hAnsi="Aptos"/>
        </w:rPr>
        <w:tab/>
        <w:t xml:space="preserve">Stupak R, Dobroczyński B. From Mental Health Industry to Humane Care. Suggestions for an Alternative Systemic Approach to Distress. IJERPH. 2021 Jun 20;18(12):6625. </w:t>
      </w:r>
    </w:p>
    <w:p w14:paraId="3D0A9A2A" w14:textId="77777777" w:rsidR="00937ACD" w:rsidRPr="00937ACD" w:rsidRDefault="00937ACD" w:rsidP="00937ACD">
      <w:pPr>
        <w:pStyle w:val="Bibliography"/>
        <w:rPr>
          <w:rFonts w:ascii="Aptos" w:hAnsi="Aptos"/>
        </w:rPr>
      </w:pPr>
      <w:r w:rsidRPr="00937ACD">
        <w:rPr>
          <w:rFonts w:ascii="Aptos" w:hAnsi="Aptos"/>
        </w:rPr>
        <w:t>7.</w:t>
      </w:r>
      <w:r w:rsidRPr="00937ACD">
        <w:rPr>
          <w:rFonts w:ascii="Aptos" w:hAnsi="Aptos"/>
        </w:rPr>
        <w:tab/>
        <w:t xml:space="preserve">Dalton-Locke C, Johnson S, Harju-Seppänen J, Lyons N, Sheridan Rains L, Stuart R, et al. Emerging models and trends in mental health crisis care in England: a national investigation of crisis care systems. BMC Health Serv Res. 2021 Dec;21(1):1174. </w:t>
      </w:r>
    </w:p>
    <w:p w14:paraId="5AC909D5" w14:textId="77777777" w:rsidR="00937ACD" w:rsidRPr="00937ACD" w:rsidRDefault="00937ACD" w:rsidP="00937ACD">
      <w:pPr>
        <w:pStyle w:val="Bibliography"/>
        <w:rPr>
          <w:rFonts w:ascii="Aptos" w:hAnsi="Aptos"/>
        </w:rPr>
      </w:pPr>
      <w:r w:rsidRPr="00937ACD">
        <w:rPr>
          <w:rFonts w:ascii="Aptos" w:hAnsi="Aptos"/>
        </w:rPr>
        <w:t>8.</w:t>
      </w:r>
      <w:r w:rsidRPr="00937ACD">
        <w:rPr>
          <w:rFonts w:ascii="Aptos" w:hAnsi="Aptos"/>
        </w:rPr>
        <w:tab/>
        <w:t>Harflett N, Jennings Y. Evaluation of the Shared Lives Mental Health Project [Internet]. Bath, United Kingdom: Shared Lives Plus; 2016. Available from: https://www.ndti.org.uk/assets/files/Final_NDTi_Cabinet_Office_SLP_MH_Eval_Report.pdf</w:t>
      </w:r>
    </w:p>
    <w:p w14:paraId="6D8B22A4" w14:textId="77777777" w:rsidR="00937ACD" w:rsidRPr="00937ACD" w:rsidRDefault="00937ACD" w:rsidP="00937ACD">
      <w:pPr>
        <w:pStyle w:val="Bibliography"/>
        <w:rPr>
          <w:rFonts w:ascii="Aptos" w:hAnsi="Aptos"/>
        </w:rPr>
      </w:pPr>
      <w:r w:rsidRPr="00937ACD">
        <w:rPr>
          <w:rFonts w:ascii="Aptos" w:hAnsi="Aptos"/>
        </w:rPr>
        <w:t>9.</w:t>
      </w:r>
      <w:r w:rsidRPr="00937ACD">
        <w:rPr>
          <w:rFonts w:ascii="Aptos" w:hAnsi="Aptos"/>
        </w:rPr>
        <w:tab/>
        <w:t>Marshall M, Sledge W, Wiersma D, Crowther R, Kluiter H, Bond GR, et al. Systematic reviews of the effectiveness of day care for people with severe mental disorders: (1) Acute day hospital versus admission; (2) Vocational rehabilitation; (3) Day hospital versus outpatient care. Health Technol Assess [Internet]. 2001 [cited 2023 Jun 23];5(21). Available from: https://www.journalslibrary.nihr.ac.uk/hta/hta5210/</w:t>
      </w:r>
    </w:p>
    <w:p w14:paraId="0DBCEDDC" w14:textId="77777777" w:rsidR="00937ACD" w:rsidRPr="00937ACD" w:rsidRDefault="00937ACD" w:rsidP="00937ACD">
      <w:pPr>
        <w:pStyle w:val="Bibliography"/>
        <w:rPr>
          <w:rFonts w:ascii="Aptos" w:hAnsi="Aptos"/>
        </w:rPr>
      </w:pPr>
      <w:r w:rsidRPr="00937ACD">
        <w:rPr>
          <w:rFonts w:ascii="Aptos" w:hAnsi="Aptos"/>
        </w:rPr>
        <w:lastRenderedPageBreak/>
        <w:t>10.</w:t>
      </w:r>
      <w:r w:rsidRPr="00937ACD">
        <w:rPr>
          <w:rFonts w:ascii="Aptos" w:hAnsi="Aptos"/>
        </w:rPr>
        <w:tab/>
        <w:t xml:space="preserve">Morant N, Davidson M, Wackett J, Lamb D, Pinfold V, Smith D, et al. Acute day units for mental health crises: a qualitative study of service user and staff views and experiences. BMC Psychiatry. 2021 Dec;21(1):146. </w:t>
      </w:r>
    </w:p>
    <w:p w14:paraId="23FDC333" w14:textId="77777777" w:rsidR="00937ACD" w:rsidRPr="00937ACD" w:rsidRDefault="00937ACD" w:rsidP="00937ACD">
      <w:pPr>
        <w:pStyle w:val="Bibliography"/>
        <w:rPr>
          <w:rFonts w:ascii="Aptos" w:hAnsi="Aptos"/>
        </w:rPr>
      </w:pPr>
      <w:r w:rsidRPr="00937ACD">
        <w:rPr>
          <w:rFonts w:ascii="Aptos" w:hAnsi="Aptos"/>
        </w:rPr>
        <w:t>11.</w:t>
      </w:r>
      <w:r w:rsidRPr="00937ACD">
        <w:rPr>
          <w:rFonts w:ascii="Aptos" w:hAnsi="Aptos"/>
        </w:rPr>
        <w:tab/>
        <w:t xml:space="preserve">Madden S, Hay P, Touyz S. Systematic review of evidence for different treatment settings in anorexia nervosa. WJP. 2015;5(1):147. </w:t>
      </w:r>
    </w:p>
    <w:p w14:paraId="593650CB" w14:textId="77777777" w:rsidR="00937ACD" w:rsidRPr="00937ACD" w:rsidRDefault="00937ACD" w:rsidP="00937ACD">
      <w:pPr>
        <w:pStyle w:val="Bibliography"/>
        <w:rPr>
          <w:rFonts w:ascii="Aptos" w:hAnsi="Aptos"/>
        </w:rPr>
      </w:pPr>
      <w:r w:rsidRPr="00937ACD">
        <w:rPr>
          <w:rFonts w:ascii="Aptos" w:hAnsi="Aptos"/>
        </w:rPr>
        <w:t>12.</w:t>
      </w:r>
      <w:r w:rsidRPr="00937ACD">
        <w:rPr>
          <w:rFonts w:ascii="Aptos" w:hAnsi="Aptos"/>
        </w:rPr>
        <w:tab/>
        <w:t xml:space="preserve">Bateman A, Fonagy P. Effectiveness of Partial Hospitalization in the Treatment of Borderline Personality Disorder: A Randomized Controlled Trial. AJP. 1999 Oct;156(10):1563–9. </w:t>
      </w:r>
    </w:p>
    <w:p w14:paraId="13C670B6" w14:textId="77777777" w:rsidR="00937ACD" w:rsidRPr="00937ACD" w:rsidRDefault="00937ACD" w:rsidP="00937ACD">
      <w:pPr>
        <w:pStyle w:val="Bibliography"/>
        <w:rPr>
          <w:rFonts w:ascii="Aptos" w:hAnsi="Aptos"/>
        </w:rPr>
      </w:pPr>
      <w:r w:rsidRPr="00937ACD">
        <w:rPr>
          <w:rFonts w:ascii="Aptos" w:hAnsi="Aptos"/>
        </w:rPr>
        <w:t>13.</w:t>
      </w:r>
      <w:r w:rsidRPr="00937ACD">
        <w:rPr>
          <w:rFonts w:ascii="Aptos" w:hAnsi="Aptos"/>
        </w:rPr>
        <w:tab/>
        <w:t xml:space="preserve">Antonsen BT, Klungsøyr O, Kamps A, Hummelen B, Johansen MS, Pedersen G, et al. Step-down versus outpatient psychotherapeutic treatment for personality disorders: 6-year follow-up of the Ullevål personality project. BMC Psychiatry. 2014 Dec;14(1):119. </w:t>
      </w:r>
    </w:p>
    <w:p w14:paraId="3EDEBE59" w14:textId="77777777" w:rsidR="00937ACD" w:rsidRPr="00937ACD" w:rsidRDefault="00937ACD" w:rsidP="00937ACD">
      <w:pPr>
        <w:pStyle w:val="Bibliography"/>
        <w:rPr>
          <w:rFonts w:ascii="Aptos" w:hAnsi="Aptos"/>
        </w:rPr>
      </w:pPr>
      <w:r w:rsidRPr="00937ACD">
        <w:rPr>
          <w:rFonts w:ascii="Aptos" w:hAnsi="Aptos"/>
        </w:rPr>
        <w:t>14.</w:t>
      </w:r>
      <w:r w:rsidRPr="00937ACD">
        <w:rPr>
          <w:rFonts w:ascii="Aptos" w:hAnsi="Aptos"/>
        </w:rPr>
        <w:tab/>
        <w:t xml:space="preserve">Johnson S. Crisis resolution and home treatment teams: an evolving model. Adv psychiatr treat. 2013 Mar;19(2):115–23. </w:t>
      </w:r>
    </w:p>
    <w:p w14:paraId="02393A12" w14:textId="77777777" w:rsidR="00937ACD" w:rsidRPr="00937ACD" w:rsidRDefault="00937ACD" w:rsidP="00937ACD">
      <w:pPr>
        <w:pStyle w:val="Bibliography"/>
        <w:rPr>
          <w:rFonts w:ascii="Aptos" w:hAnsi="Aptos"/>
        </w:rPr>
      </w:pPr>
      <w:r w:rsidRPr="00937ACD">
        <w:rPr>
          <w:rFonts w:ascii="Aptos" w:hAnsi="Aptos"/>
        </w:rPr>
        <w:t>15.</w:t>
      </w:r>
      <w:r w:rsidRPr="00937ACD">
        <w:rPr>
          <w:rFonts w:ascii="Aptos" w:hAnsi="Aptos"/>
        </w:rPr>
        <w:tab/>
        <w:t xml:space="preserve">Lloyd-Evans B, Bond GR, Ruud T, Ivanecka A, Gray R, Osborn D, et al. Development of a measure of model fidelity for mental health Crisis Resolution Teams. BMC Psychiatry. 2016 Dec;16(1):427. </w:t>
      </w:r>
    </w:p>
    <w:p w14:paraId="687580EE" w14:textId="77777777" w:rsidR="00937ACD" w:rsidRPr="00937ACD" w:rsidRDefault="00937ACD" w:rsidP="00937ACD">
      <w:pPr>
        <w:pStyle w:val="Bibliography"/>
        <w:rPr>
          <w:rFonts w:ascii="Aptos" w:hAnsi="Aptos"/>
        </w:rPr>
      </w:pPr>
      <w:r w:rsidRPr="00937ACD">
        <w:rPr>
          <w:rFonts w:ascii="Aptos" w:hAnsi="Aptos"/>
        </w:rPr>
        <w:t>16.</w:t>
      </w:r>
      <w:r w:rsidRPr="00937ACD">
        <w:rPr>
          <w:rFonts w:ascii="Aptos" w:hAnsi="Aptos"/>
        </w:rPr>
        <w:tab/>
        <w:t xml:space="preserve">Boege I, Schepker R, Fegert JM. Vom Hometreatment zur stationsäquivalenten Behandlung (StäB): Ein systematischer Review aufsuchender Behandlung in Deutschland. Zeitschrift für Kinder- und Jugendpsychiatrie und Psychotherapie. 2020 Sep 1;48(5):393–406. </w:t>
      </w:r>
    </w:p>
    <w:p w14:paraId="7EE013BC" w14:textId="77777777" w:rsidR="00937ACD" w:rsidRPr="00937ACD" w:rsidRDefault="00937ACD" w:rsidP="00937ACD">
      <w:pPr>
        <w:pStyle w:val="Bibliography"/>
        <w:rPr>
          <w:rFonts w:ascii="Aptos" w:hAnsi="Aptos"/>
        </w:rPr>
      </w:pPr>
      <w:r w:rsidRPr="00937ACD">
        <w:rPr>
          <w:rFonts w:ascii="Aptos" w:hAnsi="Aptos"/>
        </w:rPr>
        <w:t>17.</w:t>
      </w:r>
      <w:r w:rsidRPr="00937ACD">
        <w:rPr>
          <w:rFonts w:ascii="Aptos" w:hAnsi="Aptos"/>
        </w:rPr>
        <w:tab/>
        <w:t xml:space="preserve">Lay B, Blanz B, Schmidt MH. Effectiveness of home treatment in children and adolescents with externalizing psychiatric disorders. European Child &amp; Adolescent Psychiatry. 2001 Mar;10(S1):S80–90. </w:t>
      </w:r>
    </w:p>
    <w:p w14:paraId="75620C01" w14:textId="77777777" w:rsidR="00937ACD" w:rsidRPr="00937ACD" w:rsidRDefault="00937ACD" w:rsidP="00937ACD">
      <w:pPr>
        <w:pStyle w:val="Bibliography"/>
        <w:rPr>
          <w:rFonts w:ascii="Aptos" w:hAnsi="Aptos"/>
        </w:rPr>
      </w:pPr>
      <w:r w:rsidRPr="00937ACD">
        <w:rPr>
          <w:rFonts w:ascii="Aptos" w:hAnsi="Aptos"/>
        </w:rPr>
        <w:t>18.</w:t>
      </w:r>
      <w:r w:rsidRPr="00937ACD">
        <w:rPr>
          <w:rFonts w:ascii="Aptos" w:hAnsi="Aptos"/>
        </w:rPr>
        <w:tab/>
        <w:t>Marcus N, Stergiopoulos V. Re</w:t>
      </w:r>
      <w:r w:rsidRPr="00937ACD">
        <w:rPr>
          <w:rFonts w:ascii="Aptos" w:hAnsi="Aptos" w:cs="Cambria Math"/>
        </w:rPr>
        <w:t>‐</w:t>
      </w:r>
      <w:r w:rsidRPr="00937ACD">
        <w:rPr>
          <w:rFonts w:ascii="Aptos" w:hAnsi="Aptos"/>
        </w:rPr>
        <w:t>examining mental health crisis intervention: A rapid review comparing outcomes across police, co</w:t>
      </w:r>
      <w:r w:rsidRPr="00937ACD">
        <w:rPr>
          <w:rFonts w:ascii="Aptos" w:hAnsi="Aptos" w:cs="Cambria Math"/>
        </w:rPr>
        <w:t>‐</w:t>
      </w:r>
      <w:r w:rsidRPr="00937ACD">
        <w:rPr>
          <w:rFonts w:ascii="Aptos" w:hAnsi="Aptos"/>
        </w:rPr>
        <w:t>responder and non</w:t>
      </w:r>
      <w:r w:rsidRPr="00937ACD">
        <w:rPr>
          <w:rFonts w:ascii="Aptos" w:hAnsi="Aptos" w:cs="Cambria Math"/>
        </w:rPr>
        <w:t>‐</w:t>
      </w:r>
      <w:r w:rsidRPr="00937ACD">
        <w:rPr>
          <w:rFonts w:ascii="Aptos" w:hAnsi="Aptos"/>
        </w:rPr>
        <w:t>police models. Health Social Care Comm. 2022 Sep;30(5):1665</w:t>
      </w:r>
      <w:r w:rsidRPr="00937ACD">
        <w:rPr>
          <w:rFonts w:ascii="Aptos" w:hAnsi="Aptos" w:cs="Aptos"/>
        </w:rPr>
        <w:t>–</w:t>
      </w:r>
      <w:r w:rsidRPr="00937ACD">
        <w:rPr>
          <w:rFonts w:ascii="Aptos" w:hAnsi="Aptos"/>
        </w:rPr>
        <w:t xml:space="preserve">79. </w:t>
      </w:r>
    </w:p>
    <w:p w14:paraId="4D73742E" w14:textId="77777777" w:rsidR="00937ACD" w:rsidRPr="00937ACD" w:rsidRDefault="00937ACD" w:rsidP="00937ACD">
      <w:pPr>
        <w:pStyle w:val="Bibliography"/>
        <w:rPr>
          <w:rFonts w:ascii="Aptos" w:hAnsi="Aptos"/>
        </w:rPr>
      </w:pPr>
      <w:r w:rsidRPr="00937ACD">
        <w:rPr>
          <w:rFonts w:ascii="Aptos" w:hAnsi="Aptos"/>
        </w:rPr>
        <w:t>19.</w:t>
      </w:r>
      <w:r w:rsidRPr="00937ACD">
        <w:rPr>
          <w:rFonts w:ascii="Aptos" w:hAnsi="Aptos"/>
        </w:rPr>
        <w:tab/>
        <w:t xml:space="preserve">Preyde M, Frensch K, Cameron G, Hazineh L, Riosa PB. Mental Health Outcomes of Children and Youth Accessing Residential Programs or a Home-Based Alternative. Social Work in Mental Health. 2010 Dec 30;9(1):1–21. </w:t>
      </w:r>
    </w:p>
    <w:p w14:paraId="613CDF40" w14:textId="77777777" w:rsidR="00937ACD" w:rsidRPr="00937ACD" w:rsidRDefault="00937ACD" w:rsidP="00937ACD">
      <w:pPr>
        <w:pStyle w:val="Bibliography"/>
        <w:rPr>
          <w:rFonts w:ascii="Aptos" w:hAnsi="Aptos"/>
        </w:rPr>
      </w:pPr>
      <w:r w:rsidRPr="00937ACD">
        <w:rPr>
          <w:rFonts w:ascii="Aptos" w:hAnsi="Aptos"/>
        </w:rPr>
        <w:t>20.</w:t>
      </w:r>
      <w:r w:rsidRPr="00937ACD">
        <w:rPr>
          <w:rFonts w:ascii="Aptos" w:hAnsi="Aptos"/>
        </w:rPr>
        <w:tab/>
        <w:t xml:space="preserve">Preyde M, Frensch K, Cameron G, White S, Penny R, Lazure K. Long-term Outcomes of Children and Youth accessing Residential or Intensive Home-based Treatment: Three year follow up. J Child Fam Stud. 2011 Oct;20(5):660–8. </w:t>
      </w:r>
    </w:p>
    <w:p w14:paraId="774D9295" w14:textId="77777777" w:rsidR="00937ACD" w:rsidRPr="00937ACD" w:rsidRDefault="00937ACD" w:rsidP="00937ACD">
      <w:pPr>
        <w:pStyle w:val="Bibliography"/>
        <w:rPr>
          <w:rFonts w:ascii="Aptos" w:hAnsi="Aptos"/>
        </w:rPr>
      </w:pPr>
      <w:r w:rsidRPr="00937ACD">
        <w:rPr>
          <w:rFonts w:ascii="Aptos" w:hAnsi="Aptos"/>
        </w:rPr>
        <w:t>21.</w:t>
      </w:r>
      <w:r w:rsidRPr="00937ACD">
        <w:rPr>
          <w:rFonts w:ascii="Aptos" w:hAnsi="Aptos"/>
        </w:rPr>
        <w:tab/>
        <w:t xml:space="preserve">Schmidt MH, Lay B, Göpel C, Naab S, Blanz B. Home treatment for children and adolescents with psychiatric disorders. Eur Child Adolesc Psychiatry. 2006 Aug;15(5):265–76. </w:t>
      </w:r>
    </w:p>
    <w:p w14:paraId="75FD5364" w14:textId="77777777" w:rsidR="00937ACD" w:rsidRPr="00937ACD" w:rsidRDefault="00937ACD" w:rsidP="00937ACD">
      <w:pPr>
        <w:pStyle w:val="Bibliography"/>
        <w:rPr>
          <w:rFonts w:ascii="Aptos" w:hAnsi="Aptos"/>
        </w:rPr>
      </w:pPr>
      <w:r w:rsidRPr="00937ACD">
        <w:rPr>
          <w:rFonts w:ascii="Aptos" w:hAnsi="Aptos"/>
        </w:rPr>
        <w:t>22.</w:t>
      </w:r>
      <w:r w:rsidRPr="00937ACD">
        <w:rPr>
          <w:rFonts w:ascii="Aptos" w:hAnsi="Aptos"/>
        </w:rPr>
        <w:tab/>
        <w:t xml:space="preserve">Odejimi O, Bagchi D, Tadros G. Typology of psychiatric emergency services in the United Kingdom: a narrative literature review. BMC Psychiatry. 2020 Dec;20(1):587. </w:t>
      </w:r>
    </w:p>
    <w:p w14:paraId="12750783" w14:textId="77777777" w:rsidR="00937ACD" w:rsidRPr="00937ACD" w:rsidRDefault="00937ACD" w:rsidP="00937ACD">
      <w:pPr>
        <w:pStyle w:val="Bibliography"/>
        <w:rPr>
          <w:rFonts w:ascii="Aptos" w:hAnsi="Aptos"/>
        </w:rPr>
      </w:pPr>
      <w:r w:rsidRPr="00937ACD">
        <w:rPr>
          <w:rFonts w:ascii="Aptos" w:hAnsi="Aptos"/>
        </w:rPr>
        <w:t>23.</w:t>
      </w:r>
      <w:r w:rsidRPr="00937ACD">
        <w:rPr>
          <w:rFonts w:ascii="Aptos" w:hAnsi="Aptos"/>
        </w:rPr>
        <w:tab/>
        <w:t>Lifeguard Pharmacy. Lifeguard Pharmacy: Supportive signposting for people in danger from themselves or others [Internet]. 2023. Available from: https://lifeguardpharmacy.lincoln.ac.uk/</w:t>
      </w:r>
    </w:p>
    <w:p w14:paraId="2EADDA86" w14:textId="77777777" w:rsidR="00937ACD" w:rsidRPr="00937ACD" w:rsidRDefault="00937ACD" w:rsidP="00937ACD">
      <w:pPr>
        <w:pStyle w:val="Bibliography"/>
        <w:rPr>
          <w:rFonts w:ascii="Aptos" w:hAnsi="Aptos"/>
        </w:rPr>
      </w:pPr>
      <w:r w:rsidRPr="00937ACD">
        <w:rPr>
          <w:rFonts w:ascii="Aptos" w:hAnsi="Aptos"/>
        </w:rPr>
        <w:lastRenderedPageBreak/>
        <w:t>24.</w:t>
      </w:r>
      <w:r w:rsidRPr="00937ACD">
        <w:rPr>
          <w:rFonts w:ascii="Aptos" w:hAnsi="Aptos"/>
        </w:rPr>
        <w:tab/>
        <w:t>Health Innovation Network, NHS England. Evaluating NHS Mental Health Crisis Hubs in London: Final Report [Internet]. 2022. Available from: https://healthinnovationnetwork.com/wp-content/uploads/2022/11/MH-Crisis-Hubs-Evaluation-Final-Report.pdf</w:t>
      </w:r>
    </w:p>
    <w:p w14:paraId="5EA5076B" w14:textId="77777777" w:rsidR="00937ACD" w:rsidRPr="00937ACD" w:rsidRDefault="00937ACD" w:rsidP="00937ACD">
      <w:pPr>
        <w:pStyle w:val="Bibliography"/>
        <w:rPr>
          <w:rFonts w:ascii="Aptos" w:hAnsi="Aptos"/>
        </w:rPr>
      </w:pPr>
      <w:r w:rsidRPr="00937ACD">
        <w:rPr>
          <w:rFonts w:ascii="Aptos" w:hAnsi="Aptos"/>
        </w:rPr>
        <w:t>25.</w:t>
      </w:r>
      <w:r w:rsidRPr="00937ACD">
        <w:rPr>
          <w:rFonts w:ascii="Aptos" w:hAnsi="Aptos"/>
        </w:rPr>
        <w:tab/>
        <w:t>Johnson S, Dalton</w:t>
      </w:r>
      <w:r w:rsidRPr="00937ACD">
        <w:rPr>
          <w:rFonts w:ascii="Cambria Math" w:hAnsi="Cambria Math" w:cs="Cambria Math"/>
        </w:rPr>
        <w:t>‐</w:t>
      </w:r>
      <w:r w:rsidRPr="00937ACD">
        <w:rPr>
          <w:rFonts w:ascii="Aptos" w:hAnsi="Aptos"/>
        </w:rPr>
        <w:t>Locke C, Baker J, Hanlon C, Salisbury TT, Fossey M, et al. Acute psychiatric care: approaches to increasing the range of services and improving access and quality of care. World Psychiatry. 2022 Jun;21(2):220</w:t>
      </w:r>
      <w:r w:rsidRPr="00937ACD">
        <w:rPr>
          <w:rFonts w:ascii="Aptos" w:hAnsi="Aptos" w:cs="Aptos"/>
        </w:rPr>
        <w:t>–</w:t>
      </w:r>
      <w:r w:rsidRPr="00937ACD">
        <w:rPr>
          <w:rFonts w:ascii="Aptos" w:hAnsi="Aptos"/>
        </w:rPr>
        <w:t xml:space="preserve">36. </w:t>
      </w:r>
    </w:p>
    <w:p w14:paraId="7C1A6B4F" w14:textId="77777777" w:rsidR="00937ACD" w:rsidRPr="00937ACD" w:rsidRDefault="00937ACD" w:rsidP="00937ACD">
      <w:pPr>
        <w:pStyle w:val="Bibliography"/>
        <w:rPr>
          <w:rFonts w:ascii="Aptos" w:hAnsi="Aptos"/>
        </w:rPr>
      </w:pPr>
      <w:r w:rsidRPr="00937ACD">
        <w:rPr>
          <w:rFonts w:ascii="Aptos" w:hAnsi="Aptos"/>
        </w:rPr>
        <w:t>26.</w:t>
      </w:r>
      <w:r w:rsidRPr="00937ACD">
        <w:rPr>
          <w:rFonts w:ascii="Aptos" w:hAnsi="Aptos"/>
        </w:rPr>
        <w:tab/>
        <w:t xml:space="preserve">Cotton MA, Johnson S, Bindman J, Sandor A, White IR, Thornicroft G, et al. An investigation of factors associated with psychiatric hospital admission despite the presence of crisis resolution teams. BMC Psychiatry. 2007 Dec;7(1):52. </w:t>
      </w:r>
    </w:p>
    <w:p w14:paraId="1C93B4EE" w14:textId="77777777" w:rsidR="00937ACD" w:rsidRPr="00937ACD" w:rsidRDefault="00937ACD" w:rsidP="00937ACD">
      <w:pPr>
        <w:pStyle w:val="Bibliography"/>
        <w:rPr>
          <w:rFonts w:ascii="Aptos" w:hAnsi="Aptos"/>
        </w:rPr>
      </w:pPr>
      <w:r w:rsidRPr="00937ACD">
        <w:rPr>
          <w:rFonts w:ascii="Aptos" w:hAnsi="Aptos"/>
        </w:rPr>
        <w:t>27.</w:t>
      </w:r>
      <w:r w:rsidRPr="00937ACD">
        <w:rPr>
          <w:rFonts w:ascii="Aptos" w:hAnsi="Aptos"/>
        </w:rPr>
        <w:tab/>
        <w:t>Australian National University. Evaluation of Transition to Recovery (TRec) Program. [Internet]. 2015. Available from: https://www.wcs.org.au/services/mental-health/transition-to-recovery/anu-evaluation-of-the-transition-to-recovery-program/</w:t>
      </w:r>
    </w:p>
    <w:p w14:paraId="6990D26B" w14:textId="77777777" w:rsidR="00937ACD" w:rsidRPr="00937ACD" w:rsidRDefault="00937ACD" w:rsidP="00937ACD">
      <w:pPr>
        <w:pStyle w:val="Bibliography"/>
        <w:rPr>
          <w:rFonts w:ascii="Aptos" w:hAnsi="Aptos"/>
        </w:rPr>
      </w:pPr>
      <w:r w:rsidRPr="00937ACD">
        <w:rPr>
          <w:rFonts w:ascii="Aptos" w:hAnsi="Aptos"/>
        </w:rPr>
        <w:t>28.</w:t>
      </w:r>
      <w:r w:rsidRPr="00937ACD">
        <w:rPr>
          <w:rFonts w:ascii="Aptos" w:hAnsi="Aptos"/>
        </w:rPr>
        <w:tab/>
        <w:t>Woden Community Service. Woden Community Service [Internet]. Available from: https://www.wcs.org.au</w:t>
      </w:r>
    </w:p>
    <w:p w14:paraId="73E54968" w14:textId="77777777" w:rsidR="00937ACD" w:rsidRPr="00937ACD" w:rsidRDefault="00937ACD" w:rsidP="00937ACD">
      <w:pPr>
        <w:pStyle w:val="Bibliography"/>
        <w:rPr>
          <w:rFonts w:ascii="Aptos" w:hAnsi="Aptos"/>
        </w:rPr>
      </w:pPr>
      <w:r w:rsidRPr="00937ACD">
        <w:rPr>
          <w:rFonts w:ascii="Aptos" w:hAnsi="Aptos"/>
        </w:rPr>
        <w:t>29.</w:t>
      </w:r>
      <w:r w:rsidRPr="00937ACD">
        <w:rPr>
          <w:rFonts w:ascii="Aptos" w:hAnsi="Aptos"/>
        </w:rPr>
        <w:tab/>
        <w:t>New York Association of Psychiatric Rehabilitation Services Inc. Peer Bridger Project [Internet]. Available from: https://www.nyaprs.org/peer-bridger</w:t>
      </w:r>
    </w:p>
    <w:p w14:paraId="3E3E0242" w14:textId="77777777" w:rsidR="00937ACD" w:rsidRPr="00937ACD" w:rsidRDefault="00937ACD" w:rsidP="00937ACD">
      <w:pPr>
        <w:pStyle w:val="Bibliography"/>
        <w:rPr>
          <w:rFonts w:ascii="Aptos" w:hAnsi="Aptos"/>
        </w:rPr>
      </w:pPr>
      <w:r w:rsidRPr="00937ACD">
        <w:rPr>
          <w:rFonts w:ascii="Aptos" w:hAnsi="Aptos"/>
        </w:rPr>
        <w:t>30.</w:t>
      </w:r>
      <w:r w:rsidRPr="00937ACD">
        <w:rPr>
          <w:rFonts w:ascii="Aptos" w:hAnsi="Aptos"/>
        </w:rPr>
        <w:tab/>
        <w:t xml:space="preserve">Grenyer BFS, Lewis KL, Fanaian M, Kotze B. Treatment of personality disorder using a whole of service stepped care approach: A cluster randomized controlled trial. van Wouwe JP, editor. PLoS ONE. 2018 Nov 6;13(11):e0206472. </w:t>
      </w:r>
    </w:p>
    <w:p w14:paraId="6BE971F8" w14:textId="77777777" w:rsidR="00937ACD" w:rsidRPr="00937ACD" w:rsidRDefault="00937ACD" w:rsidP="00937ACD">
      <w:pPr>
        <w:pStyle w:val="Bibliography"/>
        <w:rPr>
          <w:rFonts w:ascii="Aptos" w:hAnsi="Aptos"/>
        </w:rPr>
      </w:pPr>
      <w:r w:rsidRPr="00937ACD">
        <w:rPr>
          <w:rFonts w:ascii="Aptos" w:hAnsi="Aptos"/>
        </w:rPr>
        <w:t>31.</w:t>
      </w:r>
      <w:r w:rsidRPr="00937ACD">
        <w:rPr>
          <w:rFonts w:ascii="Aptos" w:hAnsi="Aptos"/>
        </w:rPr>
        <w:tab/>
        <w:t>Rosen A, Clenaghan P, Emerton F, Richards S. Integration of the crisis resolution function within community mental health teams. In: Johnson S, Needle J, Bindman JP, Thornicroft G, editors. Crisis Resolution and Home Treatment in Mental Health [Internet]. 1st ed. Cambridge University Press; 2008 [cited 2023 Aug 8]. p. 235–50. Available from: https://www.cambridge.org/core/product/identifier/CBO9780511543906A033/type/book_part</w:t>
      </w:r>
    </w:p>
    <w:p w14:paraId="75C628AF" w14:textId="77777777" w:rsidR="00937ACD" w:rsidRPr="00937ACD" w:rsidRDefault="00937ACD" w:rsidP="00937ACD">
      <w:pPr>
        <w:pStyle w:val="Bibliography"/>
        <w:rPr>
          <w:rFonts w:ascii="Aptos" w:hAnsi="Aptos"/>
        </w:rPr>
      </w:pPr>
      <w:r w:rsidRPr="00937ACD">
        <w:rPr>
          <w:rFonts w:ascii="Aptos" w:hAnsi="Aptos"/>
        </w:rPr>
        <w:t>32.</w:t>
      </w:r>
      <w:r w:rsidRPr="00937ACD">
        <w:rPr>
          <w:rFonts w:ascii="Aptos" w:hAnsi="Aptos"/>
        </w:rPr>
        <w:tab/>
        <w:t>Puntis S, Minichino A, De Crescenzo F, Harrison R, Cipriani A, Lennox B. Specialised early intervention teams for recent-onset psychosis. Cochrane Schizophrenia Group, editor. Cochrane Database of Systematic Reviews [Internet]. 2020 Nov 2 [cited 2024 Jun 13];2021(2). Available from: http://doi.wiley.com/10.1002/14651858.CD013288.pub2</w:t>
      </w:r>
    </w:p>
    <w:p w14:paraId="4E13A980" w14:textId="77777777" w:rsidR="00937ACD" w:rsidRPr="00937ACD" w:rsidRDefault="00937ACD" w:rsidP="00937ACD">
      <w:pPr>
        <w:pStyle w:val="Bibliography"/>
        <w:rPr>
          <w:rFonts w:ascii="Aptos" w:hAnsi="Aptos"/>
        </w:rPr>
      </w:pPr>
      <w:r w:rsidRPr="00937ACD">
        <w:rPr>
          <w:rFonts w:ascii="Aptos" w:hAnsi="Aptos"/>
        </w:rPr>
        <w:t>33.</w:t>
      </w:r>
      <w:r w:rsidRPr="00937ACD">
        <w:rPr>
          <w:rFonts w:ascii="Aptos" w:hAnsi="Aptos"/>
        </w:rPr>
        <w:tab/>
        <w:t xml:space="preserve">O’Connell N, O’Connor K, McGrath D, Vagge L, Mockler D, Jennings R, et al. Early Intervention in Psychosis services: A systematic review and narrative synthesis of the barriers and facilitators to implementation. Eur Psychiatr. 2022;65(1):e2. </w:t>
      </w:r>
    </w:p>
    <w:p w14:paraId="635A6AF1" w14:textId="77777777" w:rsidR="00937ACD" w:rsidRPr="00937ACD" w:rsidRDefault="00937ACD" w:rsidP="00937ACD">
      <w:pPr>
        <w:pStyle w:val="Bibliography"/>
        <w:rPr>
          <w:rFonts w:ascii="Aptos" w:hAnsi="Aptos"/>
        </w:rPr>
      </w:pPr>
      <w:r w:rsidRPr="00937ACD">
        <w:rPr>
          <w:rFonts w:ascii="Aptos" w:hAnsi="Aptos"/>
        </w:rPr>
        <w:t>34.</w:t>
      </w:r>
      <w:r w:rsidRPr="00937ACD">
        <w:rPr>
          <w:rFonts w:ascii="Aptos" w:hAnsi="Aptos"/>
        </w:rPr>
        <w:tab/>
        <w:t>Skalli L, Nicole L. Programmes pour premiers épisodes psychotiques</w:t>
      </w:r>
      <w:r w:rsidRPr="00937ACD">
        <w:rPr>
          <w:rFonts w:ascii="Arial" w:hAnsi="Arial" w:cs="Arial"/>
        </w:rPr>
        <w:t> </w:t>
      </w:r>
      <w:r w:rsidRPr="00937ACD">
        <w:rPr>
          <w:rFonts w:ascii="Aptos" w:hAnsi="Aptos"/>
        </w:rPr>
        <w:t>: une revue syst</w:t>
      </w:r>
      <w:r w:rsidRPr="00937ACD">
        <w:rPr>
          <w:rFonts w:ascii="Aptos" w:hAnsi="Aptos" w:cs="Aptos"/>
        </w:rPr>
        <w:t>é</w:t>
      </w:r>
      <w:r w:rsidRPr="00937ACD">
        <w:rPr>
          <w:rFonts w:ascii="Aptos" w:hAnsi="Aptos"/>
        </w:rPr>
        <w:t>matique de la litt</w:t>
      </w:r>
      <w:r w:rsidRPr="00937ACD">
        <w:rPr>
          <w:rFonts w:ascii="Aptos" w:hAnsi="Aptos" w:cs="Aptos"/>
        </w:rPr>
        <w:t>é</w:t>
      </w:r>
      <w:r w:rsidRPr="00937ACD">
        <w:rPr>
          <w:rFonts w:ascii="Aptos" w:hAnsi="Aptos"/>
        </w:rPr>
        <w:t>rature. L</w:t>
      </w:r>
      <w:r w:rsidRPr="00937ACD">
        <w:rPr>
          <w:rFonts w:ascii="Aptos" w:hAnsi="Aptos" w:cs="Aptos"/>
        </w:rPr>
        <w:t>’</w:t>
      </w:r>
      <w:r w:rsidRPr="00937ACD">
        <w:rPr>
          <w:rFonts w:ascii="Aptos" w:hAnsi="Aptos"/>
        </w:rPr>
        <w:t>Enc</w:t>
      </w:r>
      <w:r w:rsidRPr="00937ACD">
        <w:rPr>
          <w:rFonts w:ascii="Aptos" w:hAnsi="Aptos" w:cs="Aptos"/>
        </w:rPr>
        <w:t>é</w:t>
      </w:r>
      <w:r w:rsidRPr="00937ACD">
        <w:rPr>
          <w:rFonts w:ascii="Aptos" w:hAnsi="Aptos"/>
        </w:rPr>
        <w:t>phale. 2011 May;37:S66</w:t>
      </w:r>
      <w:r w:rsidRPr="00937ACD">
        <w:rPr>
          <w:rFonts w:ascii="Aptos" w:hAnsi="Aptos" w:cs="Aptos"/>
        </w:rPr>
        <w:t>–</w:t>
      </w:r>
      <w:r w:rsidRPr="00937ACD">
        <w:rPr>
          <w:rFonts w:ascii="Aptos" w:hAnsi="Aptos"/>
        </w:rPr>
        <w:t xml:space="preserve">76. </w:t>
      </w:r>
    </w:p>
    <w:p w14:paraId="1EC5786B" w14:textId="77777777" w:rsidR="00937ACD" w:rsidRPr="00937ACD" w:rsidRDefault="00937ACD" w:rsidP="00937ACD">
      <w:pPr>
        <w:pStyle w:val="Bibliography"/>
        <w:rPr>
          <w:rFonts w:ascii="Aptos" w:hAnsi="Aptos"/>
        </w:rPr>
      </w:pPr>
      <w:r w:rsidRPr="00937ACD">
        <w:rPr>
          <w:rFonts w:ascii="Aptos" w:hAnsi="Aptos"/>
        </w:rPr>
        <w:t>35.</w:t>
      </w:r>
      <w:r w:rsidRPr="00937ACD">
        <w:rPr>
          <w:rFonts w:ascii="Aptos" w:hAnsi="Aptos"/>
        </w:rPr>
        <w:tab/>
        <w:t xml:space="preserve">Bertelsen M, Jeppesen P, Petersen L, Thorup A, Øhlenschlæger J, le Quach P, et al. Five-Year Follow-up of a Randomized Multicenter Trial of Intensive Early Intervention vs Standard Treatment for Patients With a First Episode of Psychotic Illness: The OPUS Trial. Arch Gen Psychiatry. 2008 Jul 7;65(7):762. </w:t>
      </w:r>
    </w:p>
    <w:p w14:paraId="18A964AF" w14:textId="77777777" w:rsidR="00937ACD" w:rsidRPr="00937ACD" w:rsidRDefault="00937ACD" w:rsidP="00937ACD">
      <w:pPr>
        <w:pStyle w:val="Bibliography"/>
        <w:rPr>
          <w:rFonts w:ascii="Aptos" w:hAnsi="Aptos"/>
        </w:rPr>
      </w:pPr>
      <w:r w:rsidRPr="00937ACD">
        <w:rPr>
          <w:rFonts w:ascii="Aptos" w:hAnsi="Aptos"/>
        </w:rPr>
        <w:t>36.</w:t>
      </w:r>
      <w:r w:rsidRPr="00937ACD">
        <w:rPr>
          <w:rFonts w:ascii="Aptos" w:hAnsi="Aptos"/>
        </w:rPr>
        <w:tab/>
        <w:t xml:space="preserve">McCrone P, Craig TKJ, Power P, Garety PA. Cost-effectiveness of an early intervention service for people with psychosis. Br J Psychiatry. 2010 May;196(5):377–82. </w:t>
      </w:r>
    </w:p>
    <w:p w14:paraId="35884FD0" w14:textId="77777777" w:rsidR="00937ACD" w:rsidRPr="00937ACD" w:rsidRDefault="00937ACD" w:rsidP="00937ACD">
      <w:pPr>
        <w:pStyle w:val="Bibliography"/>
        <w:rPr>
          <w:rFonts w:ascii="Aptos" w:hAnsi="Aptos"/>
        </w:rPr>
      </w:pPr>
      <w:r w:rsidRPr="00937ACD">
        <w:rPr>
          <w:rFonts w:ascii="Aptos" w:hAnsi="Aptos"/>
        </w:rPr>
        <w:lastRenderedPageBreak/>
        <w:t>37.</w:t>
      </w:r>
      <w:r w:rsidRPr="00937ACD">
        <w:rPr>
          <w:rFonts w:ascii="Aptos" w:hAnsi="Aptos"/>
        </w:rPr>
        <w:tab/>
        <w:t xml:space="preserve">Rubin A, Springer DW, Trawver K, editors. Psychosocial treatment of schizophrenia: clinician’s guide to evidence-based practice. Hoboken, N.J: John Wiley &amp; Sons; 2010. 388 p. (Clinician’s guide to evidence-based practice series). </w:t>
      </w:r>
    </w:p>
    <w:p w14:paraId="496AA7EB" w14:textId="77777777" w:rsidR="00937ACD" w:rsidRPr="00937ACD" w:rsidRDefault="00937ACD" w:rsidP="00937ACD">
      <w:pPr>
        <w:pStyle w:val="Bibliography"/>
        <w:rPr>
          <w:rFonts w:ascii="Aptos" w:hAnsi="Aptos"/>
        </w:rPr>
      </w:pPr>
      <w:r w:rsidRPr="00937ACD">
        <w:rPr>
          <w:rFonts w:ascii="Aptos" w:hAnsi="Aptos"/>
        </w:rPr>
        <w:t>38.</w:t>
      </w:r>
      <w:r w:rsidRPr="00937ACD">
        <w:rPr>
          <w:rFonts w:ascii="Aptos" w:hAnsi="Aptos"/>
        </w:rPr>
        <w:tab/>
        <w:t>Conrad N. Hilton Foundation, The National Center on Family Homelessness, National Alliance to End Homelessness, ZERO TO THREE: National Center for Infants, Toddlers and Families. Step by Step: A Comprehensive Approach to Case Management [Internet]. 2011. Available from: https://www.air.org/sites/default/files/March%202011%20-%20Step%20by%20Step%20-%20A%20Comprehensive%20Approach%20to%20Case%20Management.pdf</w:t>
      </w:r>
    </w:p>
    <w:p w14:paraId="1BB8B58B" w14:textId="77777777" w:rsidR="00937ACD" w:rsidRPr="00937ACD" w:rsidRDefault="00937ACD" w:rsidP="00937ACD">
      <w:pPr>
        <w:pStyle w:val="Bibliography"/>
        <w:rPr>
          <w:rFonts w:ascii="Aptos" w:hAnsi="Aptos"/>
        </w:rPr>
      </w:pPr>
      <w:r w:rsidRPr="00937ACD">
        <w:rPr>
          <w:rFonts w:ascii="Aptos" w:hAnsi="Aptos"/>
        </w:rPr>
        <w:t>39.</w:t>
      </w:r>
      <w:r w:rsidRPr="00937ACD">
        <w:rPr>
          <w:rFonts w:ascii="Aptos" w:hAnsi="Aptos"/>
        </w:rPr>
        <w:tab/>
        <w:t xml:space="preserve">Sood L, Owen A, Onyon R, Sharma A, Nigriello J, Markham D, et al. Flexible assertive community treatment (FACT) model in specialist psychosis teams: An evaluation. BJPsych Bull. 2017 Aug;41(4):192–6. </w:t>
      </w:r>
    </w:p>
    <w:p w14:paraId="181960CD" w14:textId="77777777" w:rsidR="00937ACD" w:rsidRPr="00937ACD" w:rsidRDefault="00937ACD" w:rsidP="00937ACD">
      <w:pPr>
        <w:pStyle w:val="Bibliography"/>
        <w:rPr>
          <w:rFonts w:ascii="Aptos" w:hAnsi="Aptos"/>
        </w:rPr>
      </w:pPr>
      <w:r w:rsidRPr="00937ACD">
        <w:rPr>
          <w:rFonts w:ascii="Aptos" w:hAnsi="Aptos"/>
        </w:rPr>
        <w:t>40.</w:t>
      </w:r>
      <w:r w:rsidRPr="00937ACD">
        <w:rPr>
          <w:rFonts w:ascii="Aptos" w:hAnsi="Aptos"/>
        </w:rPr>
        <w:tab/>
        <w:t xml:space="preserve">Wright-Berryman JL, McGuire AB, Salyers MP. A Review of Consumer-Provided Services on Assertive Community Treatment and Intensive Case Management Teams: Implications for Future Research and Practice. J Am Psychiatr Nurses Assoc. 2011 Jan;17(1):37–44. </w:t>
      </w:r>
    </w:p>
    <w:p w14:paraId="20A36101" w14:textId="77777777" w:rsidR="00937ACD" w:rsidRPr="00937ACD" w:rsidRDefault="00937ACD" w:rsidP="00937ACD">
      <w:pPr>
        <w:pStyle w:val="Bibliography"/>
        <w:rPr>
          <w:rFonts w:ascii="Aptos" w:hAnsi="Aptos"/>
        </w:rPr>
      </w:pPr>
      <w:r w:rsidRPr="00937ACD">
        <w:rPr>
          <w:rFonts w:ascii="Aptos" w:hAnsi="Aptos"/>
        </w:rPr>
        <w:t>41.</w:t>
      </w:r>
      <w:r w:rsidRPr="00937ACD">
        <w:rPr>
          <w:rFonts w:ascii="Aptos" w:hAnsi="Aptos"/>
        </w:rPr>
        <w:tab/>
        <w:t xml:space="preserve">Solomon P, Draine J. One-year outcomes of a randomized trial of consumer case management. Evaluation and Program Planning. 1995 Apr;18(2):117–27. </w:t>
      </w:r>
    </w:p>
    <w:p w14:paraId="36CD369C" w14:textId="77777777" w:rsidR="00937ACD" w:rsidRPr="00937ACD" w:rsidRDefault="00937ACD" w:rsidP="00937ACD">
      <w:pPr>
        <w:pStyle w:val="Bibliography"/>
        <w:rPr>
          <w:rFonts w:ascii="Aptos" w:hAnsi="Aptos"/>
        </w:rPr>
      </w:pPr>
      <w:r w:rsidRPr="00937ACD">
        <w:rPr>
          <w:rFonts w:ascii="Aptos" w:hAnsi="Aptos"/>
        </w:rPr>
        <w:t>42.</w:t>
      </w:r>
      <w:r w:rsidRPr="00937ACD">
        <w:rPr>
          <w:rFonts w:ascii="Aptos" w:hAnsi="Aptos"/>
        </w:rPr>
        <w:tab/>
        <w:t xml:space="preserve">Sells D, Davidson L, Jewell C, Falzer P, Rowe M. The Treatment Relationship in Peer-Based and Regular Case Management for Clients With Severe Mental Illness. PS. 2006 Aug;57(8):1179–84. </w:t>
      </w:r>
    </w:p>
    <w:p w14:paraId="79B4D0F1" w14:textId="77777777" w:rsidR="00937ACD" w:rsidRPr="00937ACD" w:rsidRDefault="00937ACD" w:rsidP="00937ACD">
      <w:pPr>
        <w:pStyle w:val="Bibliography"/>
        <w:rPr>
          <w:rFonts w:ascii="Aptos" w:hAnsi="Aptos"/>
        </w:rPr>
      </w:pPr>
      <w:r w:rsidRPr="00937ACD">
        <w:rPr>
          <w:rFonts w:ascii="Aptos" w:hAnsi="Aptos"/>
        </w:rPr>
        <w:t>43.</w:t>
      </w:r>
      <w:r w:rsidRPr="00937ACD">
        <w:rPr>
          <w:rFonts w:ascii="Aptos" w:hAnsi="Aptos"/>
        </w:rPr>
        <w:tab/>
        <w:t xml:space="preserve">Clarke GN, Herinckx HA, Kinney RF, Paulson RI, Cutler DL, Lewis K, et al. Psychiatric hospitalizations, arrests, emergency room visits, and homelessness of clients with serious and persistent mental illness: findings from a randomized trial of two ACT programs vs. usual care. Mental Health Services Research. 2000;2(3):155–64. </w:t>
      </w:r>
    </w:p>
    <w:p w14:paraId="28C09853" w14:textId="77777777" w:rsidR="00937ACD" w:rsidRPr="00937ACD" w:rsidRDefault="00937ACD" w:rsidP="00937ACD">
      <w:pPr>
        <w:pStyle w:val="Bibliography"/>
        <w:rPr>
          <w:rFonts w:ascii="Aptos" w:hAnsi="Aptos"/>
        </w:rPr>
      </w:pPr>
      <w:r w:rsidRPr="00937ACD">
        <w:rPr>
          <w:rFonts w:ascii="Aptos" w:hAnsi="Aptos"/>
        </w:rPr>
        <w:t>44.</w:t>
      </w:r>
      <w:r w:rsidRPr="00937ACD">
        <w:rPr>
          <w:rFonts w:ascii="Aptos" w:hAnsi="Aptos"/>
        </w:rPr>
        <w:tab/>
        <w:t xml:space="preserve">Evans R, Connell J, Ablard S, Rimmer M, O’Keeffe C, Mason S. The impact of different liaison psychiatry models on the emergency department: A systematic review of the international evidence. Journal of Psychosomatic Research. 2019 Apr;119:53–64. </w:t>
      </w:r>
    </w:p>
    <w:p w14:paraId="7FA07BD8" w14:textId="77777777" w:rsidR="00937ACD" w:rsidRPr="00937ACD" w:rsidRDefault="00937ACD" w:rsidP="00937ACD">
      <w:pPr>
        <w:pStyle w:val="Bibliography"/>
        <w:rPr>
          <w:rFonts w:ascii="Aptos" w:hAnsi="Aptos"/>
        </w:rPr>
      </w:pPr>
      <w:r w:rsidRPr="00937ACD">
        <w:rPr>
          <w:rFonts w:ascii="Aptos" w:hAnsi="Aptos"/>
        </w:rPr>
        <w:t>45.</w:t>
      </w:r>
      <w:r w:rsidRPr="00937ACD">
        <w:rPr>
          <w:rFonts w:ascii="Aptos" w:hAnsi="Aptos"/>
        </w:rPr>
        <w:tab/>
        <w:t xml:space="preserve">Walker A, Barrett JR, Lee W, West RM, Guthrie E, Trigwell P, et al. Organisation and delivery of liaison psychiatry services in general hospitals in England: results of a national survey. BMJ Open. 2018 Aug;8(8):e023091. </w:t>
      </w:r>
    </w:p>
    <w:p w14:paraId="4ABC098D" w14:textId="77777777" w:rsidR="00937ACD" w:rsidRPr="00937ACD" w:rsidRDefault="00937ACD" w:rsidP="00937ACD">
      <w:pPr>
        <w:pStyle w:val="Bibliography"/>
        <w:rPr>
          <w:rFonts w:ascii="Aptos" w:hAnsi="Aptos"/>
        </w:rPr>
      </w:pPr>
      <w:r w:rsidRPr="00937ACD">
        <w:rPr>
          <w:rFonts w:ascii="Aptos" w:hAnsi="Aptos"/>
        </w:rPr>
        <w:t>46.</w:t>
      </w:r>
      <w:r w:rsidRPr="00937ACD">
        <w:rPr>
          <w:rFonts w:ascii="Aptos" w:hAnsi="Aptos"/>
        </w:rPr>
        <w:tab/>
        <w:t xml:space="preserve">Jasmin K, Walker A, Guthrie E, Trigwell P, Quirk A, Hewison J, et al. Integrated liaison psychiatry services in England: a qualitative study of the views of liaison practitioners and acute hospital staffs from four distinctly different kinds of liaison service. BMC Health Serv Res. 2019 Dec;19(1):522. </w:t>
      </w:r>
    </w:p>
    <w:p w14:paraId="2AC73845" w14:textId="77777777" w:rsidR="00937ACD" w:rsidRPr="00937ACD" w:rsidRDefault="00937ACD" w:rsidP="00937ACD">
      <w:pPr>
        <w:pStyle w:val="Bibliography"/>
        <w:rPr>
          <w:rFonts w:ascii="Aptos" w:hAnsi="Aptos"/>
        </w:rPr>
      </w:pPr>
      <w:r w:rsidRPr="00937ACD">
        <w:rPr>
          <w:rFonts w:ascii="Aptos" w:hAnsi="Aptos"/>
        </w:rPr>
        <w:t>47.</w:t>
      </w:r>
      <w:r w:rsidRPr="00937ACD">
        <w:rPr>
          <w:rFonts w:ascii="Aptos" w:hAnsi="Aptos"/>
        </w:rPr>
        <w:tab/>
        <w:t>Becker L, Saunders R, Hardy R, Pilling S. The RAID model of liaison psychiatry. Report on the evaluation of four pilot services in east London [Internet]. UCL Partners; 2016. Available from: https://www.ucl.ac.uk/pals/sites/pals/files/uclp_raid_evaluation_report.pdf</w:t>
      </w:r>
    </w:p>
    <w:p w14:paraId="37C684EF" w14:textId="77777777" w:rsidR="00937ACD" w:rsidRPr="00937ACD" w:rsidRDefault="00937ACD" w:rsidP="00937ACD">
      <w:pPr>
        <w:pStyle w:val="Bibliography"/>
        <w:rPr>
          <w:rFonts w:ascii="Aptos" w:hAnsi="Aptos"/>
        </w:rPr>
      </w:pPr>
      <w:r w:rsidRPr="00937ACD">
        <w:rPr>
          <w:rFonts w:ascii="Aptos" w:hAnsi="Aptos"/>
        </w:rPr>
        <w:t>48.</w:t>
      </w:r>
      <w:r w:rsidRPr="00937ACD">
        <w:rPr>
          <w:rFonts w:ascii="Aptos" w:hAnsi="Aptos"/>
        </w:rPr>
        <w:tab/>
        <w:t>Royal College of Psychiatrists. Liaison psychiatry services [Internet]. 2018. Available from: https://www.rcpsych.ac.uk/mental-health/treatments-and-wellbeing/liaison-psychiatry-services</w:t>
      </w:r>
    </w:p>
    <w:p w14:paraId="55E6A4CE" w14:textId="77777777" w:rsidR="00937ACD" w:rsidRPr="00937ACD" w:rsidRDefault="00937ACD" w:rsidP="00937ACD">
      <w:pPr>
        <w:pStyle w:val="Bibliography"/>
        <w:rPr>
          <w:rFonts w:ascii="Aptos" w:hAnsi="Aptos"/>
        </w:rPr>
      </w:pPr>
      <w:r w:rsidRPr="00937ACD">
        <w:rPr>
          <w:rFonts w:ascii="Aptos" w:hAnsi="Aptos"/>
        </w:rPr>
        <w:lastRenderedPageBreak/>
        <w:t>49.</w:t>
      </w:r>
      <w:r w:rsidRPr="00937ACD">
        <w:rPr>
          <w:rFonts w:ascii="Aptos" w:hAnsi="Aptos"/>
        </w:rPr>
        <w:tab/>
        <w:t>NHS England, NICE, National Collaborating Centre for Mental Health. Adult eating disorders: community, inpatient and intensive day patient care. Guidance for commissioners and providers. [Internet]. 2019. Available from: https://www.england.nhs.uk/wp-content/uploads/2019/08/aed-guidance.pdf</w:t>
      </w:r>
    </w:p>
    <w:p w14:paraId="0C4D66D4" w14:textId="77777777" w:rsidR="00937ACD" w:rsidRPr="00937ACD" w:rsidRDefault="00937ACD" w:rsidP="00937ACD">
      <w:pPr>
        <w:pStyle w:val="Bibliography"/>
        <w:rPr>
          <w:rFonts w:ascii="Aptos" w:hAnsi="Aptos"/>
        </w:rPr>
      </w:pPr>
      <w:r w:rsidRPr="00937ACD">
        <w:rPr>
          <w:rFonts w:ascii="Aptos" w:hAnsi="Aptos"/>
        </w:rPr>
        <w:t>50.</w:t>
      </w:r>
      <w:r w:rsidRPr="00937ACD">
        <w:rPr>
          <w:rFonts w:ascii="Aptos" w:hAnsi="Aptos"/>
        </w:rPr>
        <w:tab/>
        <w:t>Royal College of Psychiatrists. Medical Emergencies in Eating Disorders: Guidance on Recognition and Management. [Internet]. 2023. Available from: https://www.rcpsych.ac.uk/docs/default-source/improving-care/better-mh-policy/college-reports/college-report-cr233-medical-emergencies-in-eating-disorders-(meed)-guidance.pdf?sfvrsn=2d327483_55</w:t>
      </w:r>
    </w:p>
    <w:p w14:paraId="106E8D63" w14:textId="77777777" w:rsidR="00937ACD" w:rsidRPr="00937ACD" w:rsidRDefault="00937ACD" w:rsidP="00937ACD">
      <w:pPr>
        <w:pStyle w:val="Bibliography"/>
        <w:rPr>
          <w:rFonts w:ascii="Aptos" w:hAnsi="Aptos"/>
        </w:rPr>
      </w:pPr>
      <w:r w:rsidRPr="00937ACD">
        <w:rPr>
          <w:rFonts w:ascii="Aptos" w:hAnsi="Aptos"/>
        </w:rPr>
        <w:t>51.</w:t>
      </w:r>
      <w:r w:rsidRPr="00937ACD">
        <w:rPr>
          <w:rFonts w:ascii="Aptos" w:hAnsi="Aptos"/>
        </w:rPr>
        <w:tab/>
        <w:t xml:space="preserve">Anderson K, Goldsmith LP, Lomani J, Ali Z, Clarke G, Crowe C, et al. Short-stay crisis units for mental health patients on crisis care pathways: systematic review and meta-analysis. BJPsych open. 2022 Jul;8(4):e144. </w:t>
      </w:r>
    </w:p>
    <w:p w14:paraId="7C32D58B" w14:textId="77777777" w:rsidR="00937ACD" w:rsidRPr="00937ACD" w:rsidRDefault="00937ACD" w:rsidP="00937ACD">
      <w:pPr>
        <w:pStyle w:val="Bibliography"/>
        <w:rPr>
          <w:rFonts w:ascii="Aptos" w:hAnsi="Aptos"/>
        </w:rPr>
      </w:pPr>
      <w:r w:rsidRPr="00937ACD">
        <w:rPr>
          <w:rFonts w:ascii="Aptos" w:hAnsi="Aptos"/>
        </w:rPr>
        <w:t>52.</w:t>
      </w:r>
      <w:r w:rsidRPr="00937ACD">
        <w:rPr>
          <w:rFonts w:ascii="Aptos" w:hAnsi="Aptos"/>
        </w:rPr>
        <w:tab/>
        <w:t xml:space="preserve">Bowers L. Safewards: a new model of conflict and containment on psychiatric wards: Safewards: description of the model. J Psychiatr Ment Health Nurs. 2014 Aug;21(6):499–508. </w:t>
      </w:r>
    </w:p>
    <w:p w14:paraId="453739BF" w14:textId="77777777" w:rsidR="00937ACD" w:rsidRPr="00937ACD" w:rsidRDefault="00937ACD" w:rsidP="00937ACD">
      <w:pPr>
        <w:pStyle w:val="Bibliography"/>
        <w:rPr>
          <w:rFonts w:ascii="Aptos" w:hAnsi="Aptos"/>
        </w:rPr>
      </w:pPr>
      <w:r w:rsidRPr="00937ACD">
        <w:rPr>
          <w:rFonts w:ascii="Aptos" w:hAnsi="Aptos"/>
        </w:rPr>
        <w:t>53.</w:t>
      </w:r>
      <w:r w:rsidRPr="00937ACD">
        <w:rPr>
          <w:rFonts w:ascii="Aptos" w:hAnsi="Aptos"/>
        </w:rPr>
        <w:tab/>
        <w:t>Huckshorn K. Six Core Strategies for Reducing Seclusion and Restraint Use [Internet]. National Association of State Mental Health Program Directors (NASMHPD); 2006. Available from: https://www.nasmhpd.org/sites/default/files/2022-08/Consolidated%2520Six%2520Core%2520Strategies%2520Document.pdf</w:t>
      </w:r>
    </w:p>
    <w:p w14:paraId="72AF1ECA" w14:textId="77777777" w:rsidR="00937ACD" w:rsidRPr="00937ACD" w:rsidRDefault="00937ACD" w:rsidP="00937ACD">
      <w:pPr>
        <w:pStyle w:val="Bibliography"/>
        <w:rPr>
          <w:rFonts w:ascii="Aptos" w:hAnsi="Aptos"/>
        </w:rPr>
      </w:pPr>
      <w:r w:rsidRPr="00937ACD">
        <w:rPr>
          <w:rFonts w:ascii="Aptos" w:hAnsi="Aptos"/>
        </w:rPr>
        <w:t>54.</w:t>
      </w:r>
      <w:r w:rsidRPr="00937ACD">
        <w:rPr>
          <w:rFonts w:ascii="Aptos" w:hAnsi="Aptos"/>
        </w:rPr>
        <w:tab/>
        <w:t>Simpson A, Janner M. Star Wards Survey Report 2009/10 [Internet]. City Research Online; 2019. Available from: https://openaccess.city.ac.uk/id/eprint/7246/1/Star%20Wards%20Survey%20Report%20_Final%2005052010_V2.pdf</w:t>
      </w:r>
    </w:p>
    <w:p w14:paraId="433D1362" w14:textId="77777777" w:rsidR="00937ACD" w:rsidRPr="00937ACD" w:rsidRDefault="00937ACD" w:rsidP="00937ACD">
      <w:pPr>
        <w:pStyle w:val="Bibliography"/>
        <w:rPr>
          <w:rFonts w:ascii="Aptos" w:hAnsi="Aptos"/>
        </w:rPr>
      </w:pPr>
      <w:r w:rsidRPr="00937ACD">
        <w:rPr>
          <w:rFonts w:ascii="Aptos" w:hAnsi="Aptos"/>
        </w:rPr>
        <w:t>55.</w:t>
      </w:r>
      <w:r w:rsidRPr="00937ACD">
        <w:rPr>
          <w:rFonts w:ascii="Aptos" w:hAnsi="Aptos"/>
        </w:rPr>
        <w:tab/>
        <w:t xml:space="preserve">Finch K, Lawrence D, Williams MO, Thompson AR, Hartwright C. A Systematic Review of the Effectiveness of Safewards: Has Enthusiasm Exceeded Evidence? Issues in Mental Health Nursing. 2022 Feb 1;43(2):119–36. </w:t>
      </w:r>
    </w:p>
    <w:p w14:paraId="191D74F0" w14:textId="77777777" w:rsidR="00937ACD" w:rsidRPr="00937ACD" w:rsidRDefault="00937ACD" w:rsidP="00937ACD">
      <w:pPr>
        <w:pStyle w:val="Bibliography"/>
        <w:rPr>
          <w:rFonts w:ascii="Aptos" w:hAnsi="Aptos"/>
        </w:rPr>
      </w:pPr>
      <w:r w:rsidRPr="00937ACD">
        <w:rPr>
          <w:rFonts w:ascii="Aptos" w:hAnsi="Aptos"/>
        </w:rPr>
        <w:t>56.</w:t>
      </w:r>
      <w:r w:rsidRPr="00937ACD">
        <w:rPr>
          <w:rFonts w:ascii="Aptos" w:hAnsi="Aptos"/>
        </w:rPr>
        <w:tab/>
        <w:t>Ward</w:t>
      </w:r>
      <w:r w:rsidRPr="00937ACD">
        <w:rPr>
          <w:rFonts w:ascii="Cambria Math" w:hAnsi="Cambria Math" w:cs="Cambria Math"/>
        </w:rPr>
        <w:t>‐</w:t>
      </w:r>
      <w:r w:rsidRPr="00937ACD">
        <w:rPr>
          <w:rFonts w:ascii="Aptos" w:hAnsi="Aptos"/>
        </w:rPr>
        <w:t>Stockham K, Kapp S, Jarden R, Gerdtz M, Daniel C. Effect of Safewards on reducing conflict and containment and the experiences of staff and consumers: A mixed</w:t>
      </w:r>
      <w:r w:rsidRPr="00937ACD">
        <w:rPr>
          <w:rFonts w:ascii="Cambria Math" w:hAnsi="Cambria Math" w:cs="Cambria Math"/>
        </w:rPr>
        <w:t>‐</w:t>
      </w:r>
      <w:r w:rsidRPr="00937ACD">
        <w:rPr>
          <w:rFonts w:ascii="Aptos" w:hAnsi="Aptos"/>
        </w:rPr>
        <w:t>methods systematic review. Int J Mental Health Nurs. 2022 Feb;31(1):199</w:t>
      </w:r>
      <w:r w:rsidRPr="00937ACD">
        <w:rPr>
          <w:rFonts w:ascii="Aptos" w:hAnsi="Aptos" w:cs="Aptos"/>
        </w:rPr>
        <w:t>–</w:t>
      </w:r>
      <w:r w:rsidRPr="00937ACD">
        <w:rPr>
          <w:rFonts w:ascii="Aptos" w:hAnsi="Aptos"/>
        </w:rPr>
        <w:t xml:space="preserve">221. </w:t>
      </w:r>
    </w:p>
    <w:p w14:paraId="1A1BE8F7" w14:textId="77777777" w:rsidR="00937ACD" w:rsidRPr="00937ACD" w:rsidRDefault="00937ACD" w:rsidP="00937ACD">
      <w:pPr>
        <w:pStyle w:val="Bibliography"/>
        <w:rPr>
          <w:rFonts w:ascii="Aptos" w:hAnsi="Aptos"/>
        </w:rPr>
      </w:pPr>
      <w:r w:rsidRPr="00937ACD">
        <w:rPr>
          <w:rFonts w:ascii="Aptos" w:hAnsi="Aptos"/>
        </w:rPr>
        <w:t>57.</w:t>
      </w:r>
      <w:r w:rsidRPr="00937ACD">
        <w:rPr>
          <w:rFonts w:ascii="Aptos" w:hAnsi="Aptos"/>
        </w:rPr>
        <w:tab/>
        <w:t xml:space="preserve">Mullen A, Browne G, Hamilton B, Skinner S, Happell B. Safewards: An integrative review of the literature within inpatient and forensic mental health units. Int J Mental Health Nurs. 2022 Oct;31(5):1090–108. </w:t>
      </w:r>
    </w:p>
    <w:p w14:paraId="3BC51409" w14:textId="77777777" w:rsidR="00937ACD" w:rsidRPr="00937ACD" w:rsidRDefault="00937ACD" w:rsidP="00937ACD">
      <w:pPr>
        <w:pStyle w:val="Bibliography"/>
        <w:rPr>
          <w:rFonts w:ascii="Aptos" w:hAnsi="Aptos"/>
        </w:rPr>
      </w:pPr>
      <w:r w:rsidRPr="00937ACD">
        <w:rPr>
          <w:rFonts w:ascii="Aptos" w:hAnsi="Aptos"/>
        </w:rPr>
        <w:t>58.</w:t>
      </w:r>
      <w:r w:rsidRPr="00937ACD">
        <w:rPr>
          <w:rFonts w:ascii="Aptos" w:hAnsi="Aptos"/>
        </w:rPr>
        <w:tab/>
        <w:t xml:space="preserve">Gordon W, Morton T, Brooks G. Launching the Tidal Model: evaluating the evidence: Launching the Tidal Model. Journal of Psychiatric and Mental Health Nursing. 2005 Dec;12(6):703–12. </w:t>
      </w:r>
    </w:p>
    <w:p w14:paraId="129E81FA" w14:textId="77777777" w:rsidR="00937ACD" w:rsidRPr="00937ACD" w:rsidRDefault="00937ACD" w:rsidP="00937ACD">
      <w:pPr>
        <w:pStyle w:val="Bibliography"/>
        <w:rPr>
          <w:rFonts w:ascii="Aptos" w:hAnsi="Aptos"/>
        </w:rPr>
      </w:pPr>
      <w:r w:rsidRPr="00937ACD">
        <w:rPr>
          <w:rFonts w:ascii="Aptos" w:hAnsi="Aptos"/>
        </w:rPr>
        <w:t>59.</w:t>
      </w:r>
      <w:r w:rsidRPr="00937ACD">
        <w:rPr>
          <w:rFonts w:ascii="Aptos" w:hAnsi="Aptos"/>
        </w:rPr>
        <w:tab/>
        <w:t xml:space="preserve">Berger JL. Incorporation of the tidal model into the interdisciplinary plan of care - a program quality improvement project. J Psychiatr Ment Health Nurs. 2006 Aug;13(4):464–7. </w:t>
      </w:r>
    </w:p>
    <w:p w14:paraId="65ED0C17" w14:textId="77777777" w:rsidR="00937ACD" w:rsidRPr="00937ACD" w:rsidRDefault="00937ACD" w:rsidP="00937ACD">
      <w:pPr>
        <w:pStyle w:val="Bibliography"/>
        <w:rPr>
          <w:rFonts w:ascii="Aptos" w:hAnsi="Aptos"/>
        </w:rPr>
      </w:pPr>
      <w:r w:rsidRPr="00937ACD">
        <w:rPr>
          <w:rFonts w:ascii="Aptos" w:hAnsi="Aptos"/>
        </w:rPr>
        <w:t>60.</w:t>
      </w:r>
      <w:r w:rsidRPr="00937ACD">
        <w:rPr>
          <w:rFonts w:ascii="Aptos" w:hAnsi="Aptos"/>
        </w:rPr>
        <w:tab/>
        <w:t xml:space="preserve">Stevenson C, Fletcher E. The Tidal Model: the questions answered. Mental Health Practice. 2002 May;5(8):29–37. </w:t>
      </w:r>
    </w:p>
    <w:p w14:paraId="51F5B801" w14:textId="77777777" w:rsidR="00937ACD" w:rsidRPr="00937ACD" w:rsidRDefault="00937ACD" w:rsidP="00937ACD">
      <w:pPr>
        <w:pStyle w:val="Bibliography"/>
        <w:rPr>
          <w:rFonts w:ascii="Aptos" w:hAnsi="Aptos"/>
        </w:rPr>
      </w:pPr>
      <w:r w:rsidRPr="00937ACD">
        <w:rPr>
          <w:rFonts w:ascii="Aptos" w:hAnsi="Aptos"/>
        </w:rPr>
        <w:lastRenderedPageBreak/>
        <w:t>61.</w:t>
      </w:r>
      <w:r w:rsidRPr="00937ACD">
        <w:rPr>
          <w:rFonts w:ascii="Aptos" w:hAnsi="Aptos"/>
        </w:rPr>
        <w:tab/>
        <w:t xml:space="preserve">Cook NR, Phillips BN, Sadler D. The tidal model as experienced by patients and nurses in a regional forensic unit. J Psychiatr Ment Health Nurs. 2005 Oct;12(5):536–40. </w:t>
      </w:r>
    </w:p>
    <w:p w14:paraId="5AA0DC8C" w14:textId="77777777" w:rsidR="00937ACD" w:rsidRPr="00937ACD" w:rsidRDefault="00937ACD" w:rsidP="00937ACD">
      <w:pPr>
        <w:pStyle w:val="Bibliography"/>
        <w:rPr>
          <w:rFonts w:ascii="Aptos" w:hAnsi="Aptos"/>
        </w:rPr>
      </w:pPr>
      <w:r w:rsidRPr="00937ACD">
        <w:rPr>
          <w:rFonts w:ascii="Aptos" w:hAnsi="Aptos"/>
        </w:rPr>
        <w:t>62.</w:t>
      </w:r>
      <w:r w:rsidRPr="00937ACD">
        <w:rPr>
          <w:rFonts w:ascii="Aptos" w:hAnsi="Aptos"/>
        </w:rPr>
        <w:tab/>
        <w:t xml:space="preserve">Bowles N, Dodds P. The use of refocusing in acute psychiatric care. Nursing Times. 2002;98(22):44–5. </w:t>
      </w:r>
    </w:p>
    <w:p w14:paraId="6839CD0F" w14:textId="77777777" w:rsidR="00937ACD" w:rsidRPr="00937ACD" w:rsidRDefault="00937ACD" w:rsidP="00937ACD">
      <w:pPr>
        <w:pStyle w:val="Bibliography"/>
        <w:rPr>
          <w:rFonts w:ascii="Aptos" w:hAnsi="Aptos"/>
        </w:rPr>
      </w:pPr>
      <w:r w:rsidRPr="00937ACD">
        <w:rPr>
          <w:rFonts w:ascii="Aptos" w:hAnsi="Aptos"/>
        </w:rPr>
        <w:t>63.</w:t>
      </w:r>
      <w:r w:rsidRPr="00937ACD">
        <w:rPr>
          <w:rFonts w:ascii="Aptos" w:hAnsi="Aptos"/>
        </w:rPr>
        <w:tab/>
        <w:t xml:space="preserve">Saunders KRK, McGuinness E, Barnett P, Foye U, Sears J, Carlisle S, et al. A scoping review of trauma informed approaches in acute, crisis, emergency, and residential mental health care. BMC Psychiatry. 2023 Aug 7;23(1):567. </w:t>
      </w:r>
    </w:p>
    <w:p w14:paraId="0C7CAF5D" w14:textId="77777777" w:rsidR="00937ACD" w:rsidRPr="00937ACD" w:rsidRDefault="00937ACD" w:rsidP="00937ACD">
      <w:pPr>
        <w:pStyle w:val="Bibliography"/>
        <w:rPr>
          <w:rFonts w:ascii="Aptos" w:hAnsi="Aptos"/>
        </w:rPr>
      </w:pPr>
      <w:r w:rsidRPr="00937ACD">
        <w:rPr>
          <w:rFonts w:ascii="Aptos" w:hAnsi="Aptos"/>
        </w:rPr>
        <w:t>64.</w:t>
      </w:r>
      <w:r w:rsidRPr="00937ACD">
        <w:rPr>
          <w:rFonts w:ascii="Aptos" w:hAnsi="Aptos"/>
        </w:rPr>
        <w:tab/>
        <w:t>Mersey Care NHS Foundation Trust website [Internet]. n.d. Available from: https://www.merseycare.nhs.uk/hopes-model</w:t>
      </w:r>
    </w:p>
    <w:p w14:paraId="26604061" w14:textId="77777777" w:rsidR="00937ACD" w:rsidRPr="00937ACD" w:rsidRDefault="00937ACD" w:rsidP="00937ACD">
      <w:pPr>
        <w:pStyle w:val="Bibliography"/>
        <w:rPr>
          <w:rFonts w:ascii="Aptos" w:hAnsi="Aptos"/>
        </w:rPr>
      </w:pPr>
      <w:r w:rsidRPr="00937ACD">
        <w:rPr>
          <w:rFonts w:ascii="Aptos" w:hAnsi="Aptos"/>
        </w:rPr>
        <w:t>65.</w:t>
      </w:r>
      <w:r w:rsidRPr="00937ACD">
        <w:rPr>
          <w:rFonts w:ascii="Aptos" w:hAnsi="Aptos"/>
        </w:rPr>
        <w:tab/>
        <w:t xml:space="preserve">Nyttingnes O, Rugkåsa J. The Introduction of Medication-Free Mental Health Services in Norway: An Analysis of the Framing and Impact of Arguments From Different Standpoints. Front Psychiatry. 2021 Jul 19;12:685024. </w:t>
      </w:r>
    </w:p>
    <w:p w14:paraId="5592888D" w14:textId="77777777" w:rsidR="00937ACD" w:rsidRPr="00937ACD" w:rsidRDefault="00937ACD" w:rsidP="00937ACD">
      <w:pPr>
        <w:pStyle w:val="Bibliography"/>
        <w:rPr>
          <w:rFonts w:ascii="Aptos" w:hAnsi="Aptos"/>
        </w:rPr>
      </w:pPr>
      <w:r w:rsidRPr="00937ACD">
        <w:rPr>
          <w:rFonts w:ascii="Aptos" w:hAnsi="Aptos"/>
        </w:rPr>
        <w:t>66.</w:t>
      </w:r>
      <w:r w:rsidRPr="00937ACD">
        <w:rPr>
          <w:rFonts w:ascii="Aptos" w:hAnsi="Aptos"/>
        </w:rPr>
        <w:tab/>
        <w:t xml:space="preserve">Westling S, Daukantaite D, Liljedahl SI, Oh Y, Westrin Å, Flyckt L, et al. Effect of Brief Admission to Hospital by Self-referral for Individuals Who Self-harm and Are at Risk of Suicide: A Randomized Clinical Trial. JAMA Netw Open. 2019 Jun 7;2(6):e195463. </w:t>
      </w:r>
    </w:p>
    <w:p w14:paraId="718D75B7" w14:textId="77777777" w:rsidR="00937ACD" w:rsidRPr="00937ACD" w:rsidRDefault="00937ACD" w:rsidP="00937ACD">
      <w:pPr>
        <w:pStyle w:val="Bibliography"/>
        <w:rPr>
          <w:rFonts w:ascii="Aptos" w:hAnsi="Aptos"/>
        </w:rPr>
      </w:pPr>
      <w:r w:rsidRPr="00937ACD">
        <w:rPr>
          <w:rFonts w:ascii="Aptos" w:hAnsi="Aptos"/>
        </w:rPr>
        <w:t>67.</w:t>
      </w:r>
      <w:r w:rsidRPr="00937ACD">
        <w:rPr>
          <w:rFonts w:ascii="Aptos" w:hAnsi="Aptos"/>
        </w:rPr>
        <w:tab/>
        <w:t xml:space="preserve">Koekkoek B, van der Snoek R, Oosterwijk K, van Meijel B. Preventive Psychiatric Admission for Patients With Borderline Personality Disorder: A Pilot Study. Perspectives in Psychiatric Care. 2010 Apr;46(2):127–34. </w:t>
      </w:r>
    </w:p>
    <w:p w14:paraId="5AE9EE48" w14:textId="77777777" w:rsidR="00937ACD" w:rsidRPr="00937ACD" w:rsidRDefault="00937ACD" w:rsidP="00937ACD">
      <w:pPr>
        <w:pStyle w:val="Bibliography"/>
        <w:rPr>
          <w:rFonts w:ascii="Aptos" w:hAnsi="Aptos"/>
        </w:rPr>
      </w:pPr>
      <w:r w:rsidRPr="00937ACD">
        <w:rPr>
          <w:rFonts w:ascii="Aptos" w:hAnsi="Aptos"/>
        </w:rPr>
        <w:t>68.</w:t>
      </w:r>
      <w:r w:rsidRPr="00937ACD">
        <w:rPr>
          <w:rFonts w:ascii="Aptos" w:hAnsi="Aptos"/>
        </w:rPr>
        <w:tab/>
        <w:t>Souza R, Palmer L, Tarant E, Kaselionyte J, editors. Standards for Adult Inpatient Mental Health Services for Deaf People [Internet]. The Royal College of Psychiatrists; 2015. Available from: https://www.rcpsych.ac.uk/docs/default-source/improving-care/ccqi/quality-networks/deaf-services-qnmhd/qnmhd_standards_2nd_edition_2015.pdf?sfvrsn=b9b9be33_2</w:t>
      </w:r>
    </w:p>
    <w:p w14:paraId="5B672349" w14:textId="77777777" w:rsidR="00937ACD" w:rsidRPr="00937ACD" w:rsidRDefault="00937ACD" w:rsidP="00937ACD">
      <w:pPr>
        <w:pStyle w:val="Bibliography"/>
        <w:rPr>
          <w:rFonts w:ascii="Aptos" w:hAnsi="Aptos"/>
        </w:rPr>
      </w:pPr>
      <w:r w:rsidRPr="00937ACD">
        <w:rPr>
          <w:rFonts w:ascii="Aptos" w:hAnsi="Aptos"/>
        </w:rPr>
        <w:t>69.</w:t>
      </w:r>
      <w:r w:rsidRPr="00937ACD">
        <w:rPr>
          <w:rFonts w:ascii="Aptos" w:hAnsi="Aptos"/>
        </w:rPr>
        <w:tab/>
        <w:t>Cygnet Health Website [Internet]. n.d. Available from: https://www.cygnethealth.co.uk/services/personality-disorder/</w:t>
      </w:r>
    </w:p>
    <w:p w14:paraId="1EC18D46" w14:textId="77777777" w:rsidR="00937ACD" w:rsidRPr="00937ACD" w:rsidRDefault="00937ACD" w:rsidP="00937ACD">
      <w:pPr>
        <w:pStyle w:val="Bibliography"/>
        <w:rPr>
          <w:rFonts w:ascii="Aptos" w:hAnsi="Aptos"/>
        </w:rPr>
      </w:pPr>
      <w:r w:rsidRPr="00937ACD">
        <w:rPr>
          <w:rFonts w:ascii="Aptos" w:hAnsi="Aptos"/>
        </w:rPr>
        <w:t>70.</w:t>
      </w:r>
      <w:r w:rsidRPr="00937ACD">
        <w:rPr>
          <w:rFonts w:ascii="Aptos" w:hAnsi="Aptos"/>
        </w:rPr>
        <w:tab/>
        <w:t>Yue AC, Philbey AW, Crawford OA, Zimbron J. The Impact of Stopping Risk Assessment Checklists at a Specialist Personality Disorder Unit. Cureus [Internet]. 2023 Jan 18 [cited 2023 Jun 23]; Available from: https://www.cureus.com/articles/106062-the-impact-of-stopping-risk-assessment-checklists-at-a-specialist-personality-disorder-unit</w:t>
      </w:r>
    </w:p>
    <w:p w14:paraId="02558389" w14:textId="77777777" w:rsidR="00937ACD" w:rsidRPr="00937ACD" w:rsidRDefault="00937ACD" w:rsidP="00937ACD">
      <w:pPr>
        <w:pStyle w:val="Bibliography"/>
        <w:rPr>
          <w:rFonts w:ascii="Aptos" w:hAnsi="Aptos"/>
        </w:rPr>
      </w:pPr>
      <w:r w:rsidRPr="00937ACD">
        <w:rPr>
          <w:rFonts w:ascii="Aptos" w:hAnsi="Aptos"/>
        </w:rPr>
        <w:t>71.</w:t>
      </w:r>
      <w:r w:rsidRPr="00937ACD">
        <w:rPr>
          <w:rFonts w:ascii="Aptos" w:hAnsi="Aptos"/>
        </w:rPr>
        <w:tab/>
        <w:t>West London NHS Trust Website [Internet]. n.d. Available from: https://www.westlondon.nhs.uk/our-services/adult/mental-health-services/cassel-hospital</w:t>
      </w:r>
    </w:p>
    <w:p w14:paraId="25A3CEBA" w14:textId="77777777" w:rsidR="00937ACD" w:rsidRPr="00937ACD" w:rsidRDefault="00937ACD" w:rsidP="00937ACD">
      <w:pPr>
        <w:pStyle w:val="Bibliography"/>
        <w:rPr>
          <w:rFonts w:ascii="Aptos" w:hAnsi="Aptos"/>
        </w:rPr>
      </w:pPr>
      <w:r w:rsidRPr="00937ACD">
        <w:rPr>
          <w:rFonts w:ascii="Aptos" w:hAnsi="Aptos"/>
        </w:rPr>
        <w:t>72.</w:t>
      </w:r>
      <w:r w:rsidRPr="00937ACD">
        <w:rPr>
          <w:rFonts w:ascii="Aptos" w:hAnsi="Aptos"/>
        </w:rPr>
        <w:tab/>
        <w:t xml:space="preserve">Kotilahti E, West M, Isomaa R, Karhunen L, Rocks T, Ruusunen A. Treatment interventions for Severe and Enduring Eating Disorders: Systematic review. Int J Eat Disord. 2020 Aug;53(8):1280–302. </w:t>
      </w:r>
    </w:p>
    <w:p w14:paraId="183E72A4" w14:textId="77777777" w:rsidR="00937ACD" w:rsidRPr="00937ACD" w:rsidRDefault="00937ACD" w:rsidP="00937ACD">
      <w:pPr>
        <w:pStyle w:val="Bibliography"/>
        <w:rPr>
          <w:rFonts w:ascii="Aptos" w:hAnsi="Aptos"/>
        </w:rPr>
      </w:pPr>
      <w:r w:rsidRPr="00937ACD">
        <w:rPr>
          <w:rFonts w:ascii="Aptos" w:hAnsi="Aptos"/>
        </w:rPr>
        <w:t>73.</w:t>
      </w:r>
      <w:r w:rsidRPr="00937ACD">
        <w:rPr>
          <w:rFonts w:ascii="Aptos" w:hAnsi="Aptos"/>
        </w:rPr>
        <w:tab/>
        <w:t xml:space="preserve">Siebert S, Leopold K, Baumgardt J, von Hardenberg LS, Burkhardt E, Bechdolf A. Specialized inpatient treatment for young people with early psychosis: acute-treatment and 12-month results. Eur Arch Psychiatry Clin Neurosci. 2022 Oct;272(7):1–14. </w:t>
      </w:r>
    </w:p>
    <w:p w14:paraId="2EC0C97B" w14:textId="77777777" w:rsidR="00937ACD" w:rsidRPr="00937ACD" w:rsidRDefault="00937ACD" w:rsidP="00937ACD">
      <w:pPr>
        <w:pStyle w:val="Bibliography"/>
        <w:rPr>
          <w:rFonts w:ascii="Aptos" w:hAnsi="Aptos"/>
        </w:rPr>
      </w:pPr>
      <w:r w:rsidRPr="00937ACD">
        <w:rPr>
          <w:rFonts w:ascii="Aptos" w:hAnsi="Aptos"/>
        </w:rPr>
        <w:t>74.</w:t>
      </w:r>
      <w:r w:rsidRPr="00937ACD">
        <w:rPr>
          <w:rFonts w:ascii="Aptos" w:hAnsi="Aptos"/>
        </w:rPr>
        <w:tab/>
        <w:t>CAMH. Crisis and Critical Care Unit 5 Early Psychosis Unit (EPU - CCC5) [Internet]. n.d. Available from: https://www.camh.ca/en/your-care/programs-and-services/crisis-and-</w:t>
      </w:r>
      <w:r w:rsidRPr="00937ACD">
        <w:rPr>
          <w:rFonts w:ascii="Aptos" w:hAnsi="Aptos"/>
        </w:rPr>
        <w:lastRenderedPageBreak/>
        <w:t>critical-care-unit-5#:~:text=The%20Early%20Psychosis%20Unit%20(EPU)%20is%20a%20specialist%20inpatient%20unit,mental%20health%20issues%20with%20psychosis.</w:t>
      </w:r>
    </w:p>
    <w:p w14:paraId="34FE4D99" w14:textId="77777777" w:rsidR="00937ACD" w:rsidRPr="00937ACD" w:rsidRDefault="00937ACD" w:rsidP="00937ACD">
      <w:pPr>
        <w:pStyle w:val="Bibliography"/>
        <w:rPr>
          <w:rFonts w:ascii="Aptos" w:hAnsi="Aptos"/>
        </w:rPr>
      </w:pPr>
      <w:r w:rsidRPr="00937ACD">
        <w:rPr>
          <w:rFonts w:ascii="Aptos" w:hAnsi="Aptos"/>
        </w:rPr>
        <w:t>75.</w:t>
      </w:r>
      <w:r w:rsidRPr="00937ACD">
        <w:rPr>
          <w:rFonts w:ascii="Aptos" w:hAnsi="Aptos"/>
        </w:rPr>
        <w:tab/>
        <w:t>The Sanctuary Institute [Internet]. Available from: https://www.thesanctuaryinstitute.org/about-us/the-sanctuary-model/</w:t>
      </w:r>
    </w:p>
    <w:p w14:paraId="1AF3BF3A" w14:textId="77777777" w:rsidR="00937ACD" w:rsidRPr="00937ACD" w:rsidRDefault="00937ACD" w:rsidP="00937ACD">
      <w:pPr>
        <w:pStyle w:val="Bibliography"/>
        <w:rPr>
          <w:rFonts w:ascii="Aptos" w:hAnsi="Aptos"/>
        </w:rPr>
      </w:pPr>
      <w:r w:rsidRPr="00937ACD">
        <w:rPr>
          <w:rFonts w:ascii="Aptos" w:hAnsi="Aptos"/>
        </w:rPr>
        <w:t>76.</w:t>
      </w:r>
      <w:r w:rsidRPr="00937ACD">
        <w:rPr>
          <w:rFonts w:ascii="Aptos" w:hAnsi="Aptos"/>
        </w:rPr>
        <w:tab/>
        <w:t>The Consortium for Therapeutic Communities. The Consortium for Therapeutic Communities [Internet]. 2022. Available from: https://therapeuticcommunities.org/</w:t>
      </w:r>
    </w:p>
    <w:p w14:paraId="13FBC2FA" w14:textId="77777777" w:rsidR="00937ACD" w:rsidRPr="00937ACD" w:rsidRDefault="00937ACD" w:rsidP="00937ACD">
      <w:pPr>
        <w:pStyle w:val="Bibliography"/>
        <w:rPr>
          <w:rFonts w:ascii="Aptos" w:hAnsi="Aptos"/>
        </w:rPr>
      </w:pPr>
      <w:r w:rsidRPr="00937ACD">
        <w:rPr>
          <w:rFonts w:ascii="Aptos" w:hAnsi="Aptos"/>
        </w:rPr>
        <w:t>77.</w:t>
      </w:r>
      <w:r w:rsidRPr="00937ACD">
        <w:rPr>
          <w:rFonts w:ascii="Aptos" w:hAnsi="Aptos"/>
        </w:rPr>
        <w:tab/>
        <w:t>Warren F. Therapeutic communities. In: Brown JM, Campbell EA, editors. The Cambridge Handbook of Forensic Psychology [Internet]. 1st ed. Cambridge University Press; 2010 [cited 2023 Jun 23]. p. 423–33. Available from: https://www.cambridge.org/core/product/identifier/9780511730290%23c87809-6482/type/book_part</w:t>
      </w:r>
    </w:p>
    <w:p w14:paraId="3C73BF6C" w14:textId="77777777" w:rsidR="00937ACD" w:rsidRPr="00937ACD" w:rsidRDefault="00937ACD" w:rsidP="00937ACD">
      <w:pPr>
        <w:pStyle w:val="Bibliography"/>
        <w:rPr>
          <w:rFonts w:ascii="Aptos" w:hAnsi="Aptos"/>
        </w:rPr>
      </w:pPr>
      <w:r w:rsidRPr="00937ACD">
        <w:rPr>
          <w:rFonts w:ascii="Aptos" w:hAnsi="Aptos"/>
        </w:rPr>
        <w:t>78.</w:t>
      </w:r>
      <w:r w:rsidRPr="00937ACD">
        <w:rPr>
          <w:rFonts w:ascii="Aptos" w:hAnsi="Aptos"/>
        </w:rPr>
        <w:tab/>
        <w:t xml:space="preserve">Norton K, Bloom SL. The Art and Challenges of Long-Term and Short-Term Democratic Therapeutic Communities. Psychiatr Q. 2004;75(3):249–61. </w:t>
      </w:r>
    </w:p>
    <w:p w14:paraId="3F835A77" w14:textId="77777777" w:rsidR="00937ACD" w:rsidRPr="00937ACD" w:rsidRDefault="00937ACD" w:rsidP="00937ACD">
      <w:pPr>
        <w:pStyle w:val="Bibliography"/>
        <w:rPr>
          <w:rFonts w:ascii="Aptos" w:hAnsi="Aptos"/>
        </w:rPr>
      </w:pPr>
      <w:r w:rsidRPr="00937ACD">
        <w:rPr>
          <w:rFonts w:ascii="Aptos" w:hAnsi="Aptos"/>
        </w:rPr>
        <w:t>79.</w:t>
      </w:r>
      <w:r w:rsidRPr="00937ACD">
        <w:rPr>
          <w:rFonts w:ascii="Aptos" w:hAnsi="Aptos"/>
        </w:rPr>
        <w:tab/>
        <w:t>Royal College of Psychiatrists. Enabling Environments (EE) [Internet]. 2023. Available from: https://www.rcpsych.ac.uk/improving-care/ccqi/quality-networks-accreditation/enabling-environments-network-ee</w:t>
      </w:r>
    </w:p>
    <w:p w14:paraId="2D3264F8" w14:textId="77777777" w:rsidR="00937ACD" w:rsidRPr="00937ACD" w:rsidRDefault="00937ACD" w:rsidP="00937ACD">
      <w:pPr>
        <w:pStyle w:val="Bibliography"/>
        <w:rPr>
          <w:rFonts w:ascii="Aptos" w:hAnsi="Aptos"/>
        </w:rPr>
      </w:pPr>
      <w:r w:rsidRPr="00937ACD">
        <w:rPr>
          <w:rFonts w:ascii="Aptos" w:hAnsi="Aptos"/>
        </w:rPr>
        <w:t>80.</w:t>
      </w:r>
      <w:r w:rsidRPr="00937ACD">
        <w:rPr>
          <w:rFonts w:ascii="Aptos" w:hAnsi="Aptos"/>
        </w:rPr>
        <w:tab/>
        <w:t xml:space="preserve">Alanen YO, Lehtinen K, Räkköläinen V, Aaltonen J. Need-adapted treatment of new schizophrenic patients: experiences and results of the Turku Project. Acta Psychiatr Scand. 1991 May;83(5):363–72. </w:t>
      </w:r>
    </w:p>
    <w:p w14:paraId="01583A7D" w14:textId="77777777" w:rsidR="00937ACD" w:rsidRPr="00937ACD" w:rsidRDefault="00937ACD" w:rsidP="00937ACD">
      <w:pPr>
        <w:pStyle w:val="Bibliography"/>
        <w:rPr>
          <w:rFonts w:ascii="Aptos" w:hAnsi="Aptos"/>
        </w:rPr>
      </w:pPr>
      <w:r w:rsidRPr="00937ACD">
        <w:rPr>
          <w:rFonts w:ascii="Aptos" w:hAnsi="Aptos"/>
        </w:rPr>
        <w:t>81.</w:t>
      </w:r>
      <w:r w:rsidRPr="00937ACD">
        <w:rPr>
          <w:rFonts w:ascii="Aptos" w:hAnsi="Aptos"/>
        </w:rPr>
        <w:tab/>
        <w:t xml:space="preserve">Cullberg J. Integrating intensive psychosocial therapy and low dose medical treatment in a total material of first episode psychotic patients compared to “treatment as usual” a 3 year follow-up. Med Arh. 1999;53(3):167–70. </w:t>
      </w:r>
    </w:p>
    <w:p w14:paraId="30C89053" w14:textId="77777777" w:rsidR="00937ACD" w:rsidRPr="00937ACD" w:rsidRDefault="00937ACD" w:rsidP="00937ACD">
      <w:pPr>
        <w:pStyle w:val="Bibliography"/>
        <w:rPr>
          <w:rFonts w:ascii="Aptos" w:hAnsi="Aptos"/>
        </w:rPr>
      </w:pPr>
      <w:r w:rsidRPr="00937ACD">
        <w:rPr>
          <w:rFonts w:ascii="Aptos" w:hAnsi="Aptos"/>
        </w:rPr>
        <w:t>82.</w:t>
      </w:r>
      <w:r w:rsidRPr="00937ACD">
        <w:rPr>
          <w:rFonts w:ascii="Aptos" w:hAnsi="Aptos"/>
        </w:rPr>
        <w:tab/>
        <w:t xml:space="preserve">Cullberg J, Levander S, Holmqvist R, Mattsson M, Wieselgren IM. One-year outcome in first episode psychosis patients in the Swedish Parachute project: One-year outcome in first episode psychosis patients. Acta Psychiatrica Scandinavica. 2002 Oct;106(4):276–85. </w:t>
      </w:r>
    </w:p>
    <w:p w14:paraId="19557B80" w14:textId="77777777" w:rsidR="00937ACD" w:rsidRPr="00937ACD" w:rsidRDefault="00937ACD" w:rsidP="00937ACD">
      <w:pPr>
        <w:pStyle w:val="Bibliography"/>
        <w:rPr>
          <w:rFonts w:ascii="Aptos" w:hAnsi="Aptos"/>
        </w:rPr>
      </w:pPr>
      <w:r w:rsidRPr="00937ACD">
        <w:rPr>
          <w:rFonts w:ascii="Aptos" w:hAnsi="Aptos"/>
        </w:rPr>
        <w:t>83.</w:t>
      </w:r>
      <w:r w:rsidRPr="00937ACD">
        <w:rPr>
          <w:rFonts w:ascii="Aptos" w:hAnsi="Aptos"/>
        </w:rPr>
        <w:tab/>
        <w:t xml:space="preserve">Cullberg J, Mattsson M, Levander S, Holmqvist R, Tomsmark L, Elingfors C, et al. Treatment costs and clinical outcome for first episode schizophrenia patients: a 3-year follow-up of the Swedish “Parachute Project” and Two Comparison Groups. Acta Psychiatr Scand. 2006 Oct;114(4):274–81. </w:t>
      </w:r>
    </w:p>
    <w:p w14:paraId="7F6F9714" w14:textId="77777777" w:rsidR="00937ACD" w:rsidRPr="00937ACD" w:rsidRDefault="00937ACD" w:rsidP="00937ACD">
      <w:pPr>
        <w:pStyle w:val="Bibliography"/>
        <w:rPr>
          <w:rFonts w:ascii="Aptos" w:hAnsi="Aptos"/>
        </w:rPr>
      </w:pPr>
      <w:r w:rsidRPr="00937ACD">
        <w:rPr>
          <w:rFonts w:ascii="Aptos" w:hAnsi="Aptos"/>
        </w:rPr>
        <w:t>84.</w:t>
      </w:r>
      <w:r w:rsidRPr="00937ACD">
        <w:rPr>
          <w:rFonts w:ascii="Aptos" w:hAnsi="Aptos"/>
        </w:rPr>
        <w:tab/>
        <w:t xml:space="preserve">Lehtinen K. Need-adapted treatment of schizophrenia: a five-year follow-up study from the Turku project. Acta Psychiatr Scand. 1993 Feb;87(2):96–101. </w:t>
      </w:r>
    </w:p>
    <w:p w14:paraId="7703DDF3" w14:textId="77777777" w:rsidR="00937ACD" w:rsidRPr="00937ACD" w:rsidRDefault="00937ACD" w:rsidP="00937ACD">
      <w:pPr>
        <w:pStyle w:val="Bibliography"/>
        <w:rPr>
          <w:rFonts w:ascii="Aptos" w:hAnsi="Aptos"/>
        </w:rPr>
      </w:pPr>
      <w:r w:rsidRPr="00937ACD">
        <w:rPr>
          <w:rFonts w:ascii="Aptos" w:hAnsi="Aptos"/>
        </w:rPr>
        <w:t>85.</w:t>
      </w:r>
      <w:r w:rsidRPr="00937ACD">
        <w:rPr>
          <w:rFonts w:ascii="Aptos" w:hAnsi="Aptos"/>
        </w:rPr>
        <w:tab/>
        <w:t xml:space="preserve">Lehtinen V, Aaltonen J, Koffert T, Räkköläinen V, Syvälahti E. Two-year outcome in first-episode psychosis treated according to an integrated model. Is immediate neuroleptisation always needed? Eur psychiatr. 2000 Aug;15(5):312–20. </w:t>
      </w:r>
    </w:p>
    <w:p w14:paraId="6A66A94A" w14:textId="77777777" w:rsidR="00937ACD" w:rsidRPr="00937ACD" w:rsidRDefault="00937ACD" w:rsidP="00937ACD">
      <w:pPr>
        <w:pStyle w:val="Bibliography"/>
        <w:rPr>
          <w:rFonts w:ascii="Aptos" w:hAnsi="Aptos"/>
        </w:rPr>
      </w:pPr>
      <w:r w:rsidRPr="00937ACD">
        <w:rPr>
          <w:rFonts w:ascii="Aptos" w:hAnsi="Aptos"/>
        </w:rPr>
        <w:t>86.</w:t>
      </w:r>
      <w:r w:rsidRPr="00937ACD">
        <w:rPr>
          <w:rFonts w:ascii="Aptos" w:hAnsi="Aptos"/>
        </w:rPr>
        <w:tab/>
        <w:t xml:space="preserve">Lorenz-Artz K, Bierbooms J, Bongers I. Introducing Peer-supported Open Dialogue in changing mental health care. Front Psychol. 2023 Jan 18;13:1056071. </w:t>
      </w:r>
    </w:p>
    <w:p w14:paraId="7F795904" w14:textId="77777777" w:rsidR="00937ACD" w:rsidRPr="00937ACD" w:rsidRDefault="00937ACD" w:rsidP="00937ACD">
      <w:pPr>
        <w:pStyle w:val="Bibliography"/>
        <w:rPr>
          <w:rFonts w:ascii="Aptos" w:hAnsi="Aptos"/>
        </w:rPr>
      </w:pPr>
      <w:r w:rsidRPr="00937ACD">
        <w:rPr>
          <w:rFonts w:ascii="Aptos" w:hAnsi="Aptos"/>
        </w:rPr>
        <w:t>87.</w:t>
      </w:r>
      <w:r w:rsidRPr="00937ACD">
        <w:rPr>
          <w:rFonts w:ascii="Aptos" w:hAnsi="Aptos"/>
        </w:rPr>
        <w:tab/>
        <w:t xml:space="preserve">Pilling S, Clarke K, Parker G, James K, Landau S, Weaver T, et al. Open Dialogue compared to treatment as usual for adults experiencing a mental health crisis: Protocol for the </w:t>
      </w:r>
      <w:r w:rsidRPr="00937ACD">
        <w:rPr>
          <w:rFonts w:ascii="Aptos" w:hAnsi="Aptos"/>
        </w:rPr>
        <w:lastRenderedPageBreak/>
        <w:t xml:space="preserve">ODDESSI multi-site cluster randomised controlled trial. Contemporary Clinical Trials. 2022 Feb;113:106664. </w:t>
      </w:r>
    </w:p>
    <w:p w14:paraId="6D58E630" w14:textId="77777777" w:rsidR="00937ACD" w:rsidRPr="00937ACD" w:rsidRDefault="00937ACD" w:rsidP="00937ACD">
      <w:pPr>
        <w:pStyle w:val="Bibliography"/>
        <w:rPr>
          <w:rFonts w:ascii="Aptos" w:hAnsi="Aptos"/>
        </w:rPr>
      </w:pPr>
      <w:r w:rsidRPr="00937ACD">
        <w:rPr>
          <w:rFonts w:ascii="Aptos" w:hAnsi="Aptos"/>
        </w:rPr>
        <w:t>88.</w:t>
      </w:r>
      <w:r w:rsidRPr="00937ACD">
        <w:rPr>
          <w:rFonts w:ascii="Aptos" w:hAnsi="Aptos"/>
        </w:rPr>
        <w:tab/>
        <w:t xml:space="preserve">Henggeler SW, Rowland MD, Randall J, Ward DM, Pickrel SG, Cunningham PB, et al. Home-Based Multisystemic Therapy as an Alternative to the Hospitalization of Youths in Psychiatric Crisis: Clinical Outcomes. Journal of the American Academy of Child &amp; Adolescent Psychiatry. 1999 Nov;38(11):1331–9. </w:t>
      </w:r>
    </w:p>
    <w:p w14:paraId="0683A378" w14:textId="77777777" w:rsidR="00937ACD" w:rsidRPr="00937ACD" w:rsidRDefault="00937ACD" w:rsidP="00937ACD">
      <w:pPr>
        <w:pStyle w:val="Bibliography"/>
        <w:rPr>
          <w:rFonts w:ascii="Aptos" w:hAnsi="Aptos"/>
        </w:rPr>
      </w:pPr>
      <w:r w:rsidRPr="00937ACD">
        <w:rPr>
          <w:rFonts w:ascii="Aptos" w:hAnsi="Aptos"/>
        </w:rPr>
        <w:t>89.</w:t>
      </w:r>
      <w:r w:rsidRPr="00937ACD">
        <w:rPr>
          <w:rFonts w:ascii="Aptos" w:hAnsi="Aptos"/>
        </w:rPr>
        <w:tab/>
        <w:t>Henggeler SW, Rowland MD, Halliday</w:t>
      </w:r>
      <w:r w:rsidRPr="00937ACD">
        <w:rPr>
          <w:rFonts w:ascii="Cambria Math" w:hAnsi="Cambria Math" w:cs="Cambria Math"/>
        </w:rPr>
        <w:t>‐</w:t>
      </w:r>
      <w:r w:rsidRPr="00937ACD">
        <w:rPr>
          <w:rFonts w:ascii="Aptos" w:hAnsi="Aptos"/>
        </w:rPr>
        <w:t>Boykins C, Sheidow AJ, Ward DM, Randall J, et al. One</w:t>
      </w:r>
      <w:r w:rsidRPr="00937ACD">
        <w:rPr>
          <w:rFonts w:ascii="Cambria Math" w:hAnsi="Cambria Math" w:cs="Cambria Math"/>
        </w:rPr>
        <w:t>‐</w:t>
      </w:r>
      <w:r w:rsidRPr="00937ACD">
        <w:rPr>
          <w:rFonts w:ascii="Aptos" w:hAnsi="Aptos"/>
        </w:rPr>
        <w:t>Year Follow</w:t>
      </w:r>
      <w:r w:rsidRPr="00937ACD">
        <w:rPr>
          <w:rFonts w:ascii="Cambria Math" w:hAnsi="Cambria Math" w:cs="Cambria Math"/>
        </w:rPr>
        <w:t>‐</w:t>
      </w:r>
      <w:r w:rsidRPr="00937ACD">
        <w:rPr>
          <w:rFonts w:ascii="Aptos" w:hAnsi="Aptos"/>
        </w:rPr>
        <w:t>up of Multisystemic Therapy as an Alternative to the Hospitalization of Youths in Psychiatric Crisis. Journal of the American Academy of Child &amp; Adolescent Psychiatry. 2003 May;42(5):543</w:t>
      </w:r>
      <w:r w:rsidRPr="00937ACD">
        <w:rPr>
          <w:rFonts w:ascii="Aptos" w:hAnsi="Aptos" w:cs="Aptos"/>
        </w:rPr>
        <w:t>–</w:t>
      </w:r>
      <w:r w:rsidRPr="00937ACD">
        <w:rPr>
          <w:rFonts w:ascii="Aptos" w:hAnsi="Aptos"/>
        </w:rPr>
        <w:t xml:space="preserve">51. </w:t>
      </w:r>
    </w:p>
    <w:p w14:paraId="0322F8F5" w14:textId="77777777" w:rsidR="00937ACD" w:rsidRPr="00937ACD" w:rsidRDefault="00937ACD" w:rsidP="00937ACD">
      <w:pPr>
        <w:pStyle w:val="Bibliography"/>
        <w:rPr>
          <w:rFonts w:ascii="Aptos" w:hAnsi="Aptos"/>
        </w:rPr>
      </w:pPr>
      <w:r w:rsidRPr="00937ACD">
        <w:rPr>
          <w:rFonts w:ascii="Aptos" w:hAnsi="Aptos"/>
        </w:rPr>
        <w:t>90.</w:t>
      </w:r>
      <w:r w:rsidRPr="00937ACD">
        <w:rPr>
          <w:rFonts w:ascii="Aptos" w:hAnsi="Aptos"/>
        </w:rPr>
        <w:tab/>
        <w:t xml:space="preserve">Bruns EJ, Pullmann MD, Sather A, Brinson RD, Ramey M. Effectiveness of Wraparound Versus Case Management for Children and Adolescents: Results of a Randomized Study. Adm Policy Ment Health. 2015 May;42(3):309–22. </w:t>
      </w:r>
    </w:p>
    <w:p w14:paraId="6FB5719E" w14:textId="77777777" w:rsidR="00937ACD" w:rsidRPr="00937ACD" w:rsidRDefault="00937ACD" w:rsidP="00937ACD">
      <w:pPr>
        <w:pStyle w:val="Bibliography"/>
        <w:rPr>
          <w:rFonts w:ascii="Aptos" w:hAnsi="Aptos"/>
        </w:rPr>
      </w:pPr>
      <w:r w:rsidRPr="00937ACD">
        <w:rPr>
          <w:rFonts w:ascii="Aptos" w:hAnsi="Aptos"/>
        </w:rPr>
        <w:t>91.</w:t>
      </w:r>
      <w:r w:rsidRPr="00937ACD">
        <w:rPr>
          <w:rFonts w:ascii="Aptos" w:hAnsi="Aptos"/>
        </w:rPr>
        <w:tab/>
        <w:t xml:space="preserve">Sashidharan SP. Why Trieste matters. Br J Psychiatry. 2022 Feb;220(2):52–3. </w:t>
      </w:r>
    </w:p>
    <w:p w14:paraId="1ED4B775" w14:textId="77777777" w:rsidR="00937ACD" w:rsidRPr="00937ACD" w:rsidRDefault="00937ACD" w:rsidP="00937ACD">
      <w:pPr>
        <w:pStyle w:val="Bibliography"/>
        <w:rPr>
          <w:rFonts w:ascii="Aptos" w:hAnsi="Aptos"/>
        </w:rPr>
      </w:pPr>
      <w:r w:rsidRPr="00937ACD">
        <w:rPr>
          <w:rFonts w:ascii="Aptos" w:hAnsi="Aptos"/>
        </w:rPr>
        <w:t>92.</w:t>
      </w:r>
      <w:r w:rsidRPr="00937ACD">
        <w:rPr>
          <w:rFonts w:ascii="Aptos" w:hAnsi="Aptos"/>
        </w:rPr>
        <w:tab/>
        <w:t>Living Well UK. Community Mental Healthcare: TRIESTE, ITALY [Internet]. 2022. Available from: https://www.livingwellsystems.uk/trieste</w:t>
      </w:r>
    </w:p>
    <w:p w14:paraId="618ED40D" w14:textId="77777777" w:rsidR="00937ACD" w:rsidRPr="00937ACD" w:rsidRDefault="00937ACD" w:rsidP="00937ACD">
      <w:pPr>
        <w:pStyle w:val="Bibliography"/>
        <w:rPr>
          <w:rFonts w:ascii="Aptos" w:hAnsi="Aptos"/>
        </w:rPr>
      </w:pPr>
      <w:r w:rsidRPr="00937ACD">
        <w:rPr>
          <w:rFonts w:ascii="Aptos" w:hAnsi="Aptos"/>
        </w:rPr>
        <w:t>93.</w:t>
      </w:r>
      <w:r w:rsidRPr="00937ACD">
        <w:rPr>
          <w:rFonts w:ascii="Aptos" w:hAnsi="Aptos"/>
        </w:rPr>
        <w:tab/>
        <w:t>Beam Consultancy. Beam Consultancy: Clinical Expertise and Lived Experience in the areas of potentially lethal self harm, suicidality and complex interpersonal dynamics, often described as ‘personality disorder’ [Internet]. 2023. Available from: https://www.beamconsultancy.co.uk</w:t>
      </w:r>
    </w:p>
    <w:p w14:paraId="3F69DAAD" w14:textId="77777777" w:rsidR="00937ACD" w:rsidRPr="00937ACD" w:rsidRDefault="00937ACD" w:rsidP="00937ACD">
      <w:pPr>
        <w:pStyle w:val="Bibliography"/>
        <w:rPr>
          <w:rFonts w:ascii="Aptos" w:hAnsi="Aptos"/>
        </w:rPr>
      </w:pPr>
      <w:r w:rsidRPr="00937ACD">
        <w:rPr>
          <w:rFonts w:ascii="Aptos" w:hAnsi="Aptos"/>
        </w:rPr>
        <w:t>94.</w:t>
      </w:r>
      <w:r w:rsidRPr="00937ACD">
        <w:rPr>
          <w:rFonts w:ascii="Aptos" w:hAnsi="Aptos"/>
        </w:rPr>
        <w:tab/>
        <w:t>Leeds Survivor Led Crisis Services: Trustees’ Report and Financial Statements for the Year Ended 31 March 2018 [Internet]. Leeds Survivor Led Crisis Services; 2018. Available from: https://register-of-charities.charitycommission.gov.uk/charity-search?p_p_id=uk_gov_ccew_onereg_charitydetails_web_portlet_CharityDetailsPortlet&amp;p_p_lifecycle=2&amp;p_p_state=maximized&amp;p_p_mode=view&amp;p_p_resource_id=%2Faccounts-resource&amp;p_p_cacheability=cacheLevelPage&amp;_uk_gov_ccew_onereg_charitydetails_web_portlet_CharityDetailsPortlet_objectiveId=A9335399&amp;_uk_gov_ccew_onereg_charitydetails_web_portlet_CharityDetailsPortlet_priv_r_p_mvcRenderCommandName=%2Faccounts-and-annual-returns&amp;_uk_gov_ccew_onereg_charitydetails_web_portlet_CharityDetailsPortlet_priv_r_p_organisationNumber=3956536</w:t>
      </w:r>
    </w:p>
    <w:p w14:paraId="5AF70486" w14:textId="77777777" w:rsidR="00937ACD" w:rsidRPr="00937ACD" w:rsidRDefault="00937ACD" w:rsidP="00937ACD">
      <w:pPr>
        <w:pStyle w:val="Bibliography"/>
        <w:rPr>
          <w:rFonts w:ascii="Aptos" w:hAnsi="Aptos"/>
        </w:rPr>
      </w:pPr>
      <w:r w:rsidRPr="00937ACD">
        <w:rPr>
          <w:rFonts w:ascii="Aptos" w:hAnsi="Aptos"/>
        </w:rPr>
        <w:t>95.</w:t>
      </w:r>
      <w:r w:rsidRPr="00937ACD">
        <w:rPr>
          <w:rFonts w:ascii="Aptos" w:hAnsi="Aptos"/>
        </w:rPr>
        <w:tab/>
        <w:t>University of Oxford website [Internet]. Co-PACT summary. Available from: https://www.psych.ox.ac.uk/research/chimes/co-pact/co-pact_summary</w:t>
      </w:r>
    </w:p>
    <w:p w14:paraId="5175752D" w14:textId="77777777" w:rsidR="00937ACD" w:rsidRPr="00937ACD" w:rsidRDefault="00937ACD" w:rsidP="00937ACD">
      <w:pPr>
        <w:pStyle w:val="Bibliography"/>
        <w:rPr>
          <w:rFonts w:ascii="Aptos" w:hAnsi="Aptos"/>
        </w:rPr>
      </w:pPr>
      <w:r w:rsidRPr="00937ACD">
        <w:rPr>
          <w:rFonts w:ascii="Aptos" w:hAnsi="Aptos"/>
        </w:rPr>
        <w:t>96.</w:t>
      </w:r>
      <w:r w:rsidRPr="00937ACD">
        <w:rPr>
          <w:rFonts w:ascii="Aptos" w:hAnsi="Aptos"/>
        </w:rPr>
        <w:tab/>
        <w:t>ImROC [Internet]. n.d. Available from: https://imroc.org/resource/co-production-sharing-our-experiences-reflecting-on-our-learning/</w:t>
      </w:r>
    </w:p>
    <w:p w14:paraId="221D19CA" w14:textId="77777777" w:rsidR="00937ACD" w:rsidRPr="00937ACD" w:rsidRDefault="00937ACD" w:rsidP="00937ACD">
      <w:pPr>
        <w:pStyle w:val="Bibliography"/>
        <w:rPr>
          <w:rFonts w:ascii="Aptos" w:hAnsi="Aptos"/>
        </w:rPr>
      </w:pPr>
      <w:r w:rsidRPr="00937ACD">
        <w:rPr>
          <w:rFonts w:ascii="Aptos" w:hAnsi="Aptos"/>
        </w:rPr>
        <w:t>97.</w:t>
      </w:r>
      <w:r w:rsidRPr="00937ACD">
        <w:rPr>
          <w:rFonts w:ascii="Aptos" w:hAnsi="Aptos"/>
        </w:rPr>
        <w:tab/>
        <w:t xml:space="preserve">Killaspy H, Rambarran D, Harden C, Fearon D, Caren G, McClinton K. A comparison of service users placed out of their local area and local rehabilitation service users. Journal of Mental Health. 2009 Jan;18(2):111–20. </w:t>
      </w:r>
    </w:p>
    <w:p w14:paraId="51731713" w14:textId="77777777" w:rsidR="00937ACD" w:rsidRPr="00937ACD" w:rsidRDefault="00937ACD" w:rsidP="00937ACD">
      <w:pPr>
        <w:pStyle w:val="Bibliography"/>
        <w:rPr>
          <w:rFonts w:ascii="Aptos" w:hAnsi="Aptos"/>
        </w:rPr>
      </w:pPr>
      <w:r w:rsidRPr="00937ACD">
        <w:rPr>
          <w:rFonts w:ascii="Aptos" w:hAnsi="Aptos"/>
        </w:rPr>
        <w:t>98.</w:t>
      </w:r>
      <w:r w:rsidRPr="00937ACD">
        <w:rPr>
          <w:rFonts w:ascii="Aptos" w:hAnsi="Aptos"/>
        </w:rPr>
        <w:tab/>
        <w:t xml:space="preserve">Bhui KS, Owiti JA, Palinski A, Ascoli M, De Jongh B, Archer J, et al. A cultural consultation service in East London: Experiences and outcomes from implementation of an innovative service. International Review of Psychiatry. 2015 Jan 2;27(1):11–22. </w:t>
      </w:r>
    </w:p>
    <w:p w14:paraId="474912B0" w14:textId="77777777" w:rsidR="00937ACD" w:rsidRPr="00937ACD" w:rsidRDefault="00937ACD" w:rsidP="00937ACD">
      <w:pPr>
        <w:pStyle w:val="Bibliography"/>
        <w:rPr>
          <w:rFonts w:ascii="Aptos" w:hAnsi="Aptos"/>
        </w:rPr>
      </w:pPr>
      <w:r w:rsidRPr="00937ACD">
        <w:rPr>
          <w:rFonts w:ascii="Aptos" w:hAnsi="Aptos"/>
        </w:rPr>
        <w:lastRenderedPageBreak/>
        <w:t>99.</w:t>
      </w:r>
      <w:r w:rsidRPr="00937ACD">
        <w:rPr>
          <w:rFonts w:ascii="Aptos" w:hAnsi="Aptos"/>
        </w:rPr>
        <w:tab/>
        <w:t xml:space="preserve">Killaspy H. Supported accommodation for people with mental health problems. World Psychiatry. 2016 Feb;15(1):74–5. </w:t>
      </w:r>
    </w:p>
    <w:p w14:paraId="595EBB29" w14:textId="77777777" w:rsidR="00937ACD" w:rsidRPr="00937ACD" w:rsidRDefault="00937ACD" w:rsidP="00937ACD">
      <w:pPr>
        <w:pStyle w:val="Bibliography"/>
        <w:rPr>
          <w:rFonts w:ascii="Aptos" w:hAnsi="Aptos"/>
        </w:rPr>
      </w:pPr>
      <w:r w:rsidRPr="00937ACD">
        <w:rPr>
          <w:rFonts w:ascii="Aptos" w:hAnsi="Aptos"/>
        </w:rPr>
        <w:t>100.</w:t>
      </w:r>
      <w:r w:rsidRPr="00937ACD">
        <w:rPr>
          <w:rFonts w:ascii="Aptos" w:hAnsi="Aptos"/>
        </w:rPr>
        <w:tab/>
        <w:t>National Guideline Alliance. Rehabilitation in adults with complex psychosis and related severe mental health conditions [A] Identifying people who would benefit most from mental health rehabilitation services [NICE Guideline NG181 Evidence Review] [Internet]. The National Institute for Health and Care Excellence; 2020. Available from: https://www.nice.org.uk/guidance/ng181/evidence/a-identifying-people-who-would-benefit-most-from-mental-health-rehabilitation-services-pdf-8833147166</w:t>
      </w:r>
    </w:p>
    <w:p w14:paraId="223EE9D7" w14:textId="77777777" w:rsidR="00937ACD" w:rsidRPr="00937ACD" w:rsidRDefault="00937ACD" w:rsidP="00937ACD">
      <w:pPr>
        <w:pStyle w:val="Bibliography"/>
        <w:rPr>
          <w:rFonts w:ascii="Aptos" w:hAnsi="Aptos"/>
        </w:rPr>
      </w:pPr>
      <w:r w:rsidRPr="00937ACD">
        <w:rPr>
          <w:rFonts w:ascii="Aptos" w:hAnsi="Aptos"/>
        </w:rPr>
        <w:t>101.</w:t>
      </w:r>
      <w:r w:rsidRPr="00937ACD">
        <w:rPr>
          <w:rFonts w:ascii="Aptos" w:hAnsi="Aptos"/>
        </w:rPr>
        <w:tab/>
        <w:t>National Guideline Alliance. Rehabilitation in adults with complex psychosis and related severe mental health conditions [P] The features of supported accommodation and housing that promote successful community living [NICE Guideline No. 181 Evidence Review] [Internet]. The National Institute for Health and Care Excellence; 2020. Available from: https://www.nice.org.uk/guidance/ng181/evidence/p-the-features-of-supported-accommodation-and-housing-that-promote-successful-community-living-pdf-317993297947</w:t>
      </w:r>
    </w:p>
    <w:p w14:paraId="629D9DB1" w14:textId="77777777" w:rsidR="00937ACD" w:rsidRPr="00937ACD" w:rsidRDefault="00937ACD" w:rsidP="00937ACD">
      <w:pPr>
        <w:pStyle w:val="Bibliography"/>
        <w:rPr>
          <w:rFonts w:ascii="Aptos" w:hAnsi="Aptos"/>
        </w:rPr>
      </w:pPr>
      <w:r w:rsidRPr="00937ACD">
        <w:rPr>
          <w:rFonts w:ascii="Aptos" w:hAnsi="Aptos"/>
        </w:rPr>
        <w:t>102.</w:t>
      </w:r>
      <w:r w:rsidRPr="00937ACD">
        <w:rPr>
          <w:rFonts w:ascii="Aptos" w:hAnsi="Aptos"/>
        </w:rPr>
        <w:tab/>
        <w:t xml:space="preserve">Dalton-Locke C, Marston L, McPherson P, Killaspy H. The Effectiveness of Mental Health Rehabilitation Services: A Systematic Review and Narrative Synthesis. Front Psychiatry. 2021 Jan 13;11:607933. </w:t>
      </w:r>
    </w:p>
    <w:p w14:paraId="53B77F2B" w14:textId="77777777" w:rsidR="00937ACD" w:rsidRPr="00937ACD" w:rsidRDefault="00937ACD" w:rsidP="00937ACD">
      <w:pPr>
        <w:pStyle w:val="Bibliography"/>
        <w:rPr>
          <w:rFonts w:ascii="Aptos" w:hAnsi="Aptos"/>
        </w:rPr>
      </w:pPr>
      <w:r w:rsidRPr="00937ACD">
        <w:rPr>
          <w:rFonts w:ascii="Aptos" w:hAnsi="Aptos"/>
        </w:rPr>
        <w:t>103.</w:t>
      </w:r>
      <w:r w:rsidRPr="00937ACD">
        <w:rPr>
          <w:rFonts w:ascii="Aptos" w:hAnsi="Aptos"/>
        </w:rPr>
        <w:tab/>
        <w:t>Homeless Link. Housing first in England: The principles. [Internet]. 2016. Available from: https://www.dahalliance.org.uk/media/10827/1-the-principles-for-housing-first.pdf</w:t>
      </w:r>
    </w:p>
    <w:p w14:paraId="419675BA" w14:textId="77777777" w:rsidR="00937ACD" w:rsidRPr="00937ACD" w:rsidRDefault="00937ACD" w:rsidP="00937ACD">
      <w:pPr>
        <w:pStyle w:val="Bibliography"/>
        <w:rPr>
          <w:rFonts w:ascii="Aptos" w:hAnsi="Aptos"/>
        </w:rPr>
      </w:pPr>
      <w:r w:rsidRPr="00937ACD">
        <w:rPr>
          <w:rFonts w:ascii="Aptos" w:hAnsi="Aptos"/>
        </w:rPr>
        <w:t>104.</w:t>
      </w:r>
      <w:r w:rsidRPr="00937ACD">
        <w:rPr>
          <w:rFonts w:ascii="Aptos" w:hAnsi="Aptos"/>
        </w:rPr>
        <w:tab/>
        <w:t xml:space="preserve">Gilmer TP, Stefancic A, Ettner SL, Manning WG, Tsemberis S. Effect of Full-Service Partnerships on Homelessness, Use and Costs of Mental Health Services, and Quality of Life Among Adults With Serious Mental Illness. Arch Gen Psychiatry. 2010 Jun 1;67(6):645. </w:t>
      </w:r>
    </w:p>
    <w:p w14:paraId="442F49FF" w14:textId="77777777" w:rsidR="00937ACD" w:rsidRPr="00937ACD" w:rsidRDefault="00937ACD" w:rsidP="00937ACD">
      <w:pPr>
        <w:pStyle w:val="Bibliography"/>
        <w:rPr>
          <w:rFonts w:ascii="Aptos" w:hAnsi="Aptos"/>
        </w:rPr>
      </w:pPr>
      <w:r w:rsidRPr="00937ACD">
        <w:rPr>
          <w:rFonts w:ascii="Aptos" w:hAnsi="Aptos"/>
        </w:rPr>
        <w:t>105.</w:t>
      </w:r>
      <w:r w:rsidRPr="00937ACD">
        <w:rPr>
          <w:rFonts w:ascii="Aptos" w:hAnsi="Aptos"/>
        </w:rPr>
        <w:tab/>
        <w:t xml:space="preserve">Gilmer TP, Stefancic A, Tsemberis S, Ettner SL. Full-Service Partnerships Among Adults With Serious Mental Illness in California: Impact on Utilization and Costs. PS. 2014 Sep;65(9):1120–5. </w:t>
      </w:r>
    </w:p>
    <w:p w14:paraId="653684EA" w14:textId="77777777" w:rsidR="00937ACD" w:rsidRPr="00937ACD" w:rsidRDefault="00937ACD" w:rsidP="00937ACD">
      <w:pPr>
        <w:pStyle w:val="Bibliography"/>
        <w:rPr>
          <w:rFonts w:ascii="Aptos" w:hAnsi="Aptos"/>
        </w:rPr>
      </w:pPr>
      <w:r w:rsidRPr="00937ACD">
        <w:rPr>
          <w:rFonts w:ascii="Aptos" w:hAnsi="Aptos"/>
        </w:rPr>
        <w:t>106.</w:t>
      </w:r>
      <w:r w:rsidRPr="00937ACD">
        <w:rPr>
          <w:rFonts w:ascii="Aptos" w:hAnsi="Aptos"/>
        </w:rPr>
        <w:tab/>
        <w:t xml:space="preserve">van Bilsen HPJG. Lessons to be learned from the oldest community psychiatric service in the world: Geel in Belgium. BJPsych Bull. 2016 Aug;40(4):207–11. </w:t>
      </w:r>
    </w:p>
    <w:p w14:paraId="7795F792" w14:textId="77777777" w:rsidR="00937ACD" w:rsidRPr="00937ACD" w:rsidRDefault="00937ACD" w:rsidP="00937ACD">
      <w:pPr>
        <w:pStyle w:val="Bibliography"/>
        <w:rPr>
          <w:rFonts w:ascii="Aptos" w:hAnsi="Aptos"/>
        </w:rPr>
      </w:pPr>
      <w:r w:rsidRPr="00937ACD">
        <w:rPr>
          <w:rFonts w:ascii="Aptos" w:hAnsi="Aptos"/>
        </w:rPr>
        <w:t>107.</w:t>
      </w:r>
      <w:r w:rsidRPr="00937ACD">
        <w:rPr>
          <w:rFonts w:ascii="Aptos" w:hAnsi="Aptos"/>
        </w:rPr>
        <w:tab/>
        <w:t>National Empowerment Center. power2u. 2023. Healing Homes: An Alternative, Swedish Model for Healing Psychosis. Available from: https://power2u.org/evidence-for-peer-run-crisis-alternatives/</w:t>
      </w:r>
    </w:p>
    <w:p w14:paraId="4F4791D3" w14:textId="77777777" w:rsidR="00937ACD" w:rsidRPr="00937ACD" w:rsidRDefault="00937ACD" w:rsidP="00937ACD">
      <w:pPr>
        <w:pStyle w:val="Bibliography"/>
        <w:rPr>
          <w:rFonts w:ascii="Aptos" w:hAnsi="Aptos"/>
        </w:rPr>
      </w:pPr>
      <w:r w:rsidRPr="00937ACD">
        <w:rPr>
          <w:rFonts w:ascii="Aptos" w:hAnsi="Aptos"/>
        </w:rPr>
        <w:t>108.</w:t>
      </w:r>
      <w:r w:rsidRPr="00937ACD">
        <w:rPr>
          <w:rFonts w:ascii="Aptos" w:hAnsi="Aptos"/>
        </w:rPr>
        <w:tab/>
        <w:t>Macpherson R, Edwards TR, Chilvers R, David C, Elliott HJ. Twenty-four hour care for schizophrenia. Cochrane Schizophrenia Group, editor. Cochrane Database of Systematic Reviews [Internet]. 2009 Apr 15 [cited 2023 Jun 23]; Available from: https://doi.wiley.com/10.1002/14651858.CD004409.pub2</w:t>
      </w:r>
    </w:p>
    <w:p w14:paraId="07B23A2D" w14:textId="77777777" w:rsidR="00937ACD" w:rsidRPr="00937ACD" w:rsidRDefault="00937ACD" w:rsidP="00937ACD">
      <w:pPr>
        <w:pStyle w:val="Bibliography"/>
        <w:rPr>
          <w:rFonts w:ascii="Aptos" w:hAnsi="Aptos"/>
        </w:rPr>
      </w:pPr>
      <w:r w:rsidRPr="00937ACD">
        <w:rPr>
          <w:rFonts w:ascii="Aptos" w:hAnsi="Aptos"/>
        </w:rPr>
        <w:t>109.</w:t>
      </w:r>
      <w:r w:rsidRPr="00937ACD">
        <w:rPr>
          <w:rFonts w:ascii="Aptos" w:hAnsi="Aptos"/>
        </w:rPr>
        <w:tab/>
        <w:t xml:space="preserve">Maguire T, Ryan J, Fullam R, McKenna B. Evaluating the Introduction of the Safewards Model to a Medium- to Long-Term Forensic Mental Health Ward. Journal of Forensic Nursing. 2018 Oct;14(4):214–22. </w:t>
      </w:r>
    </w:p>
    <w:p w14:paraId="5B6E80C0" w14:textId="77777777" w:rsidR="00937ACD" w:rsidRPr="00937ACD" w:rsidRDefault="00937ACD" w:rsidP="00937ACD">
      <w:pPr>
        <w:pStyle w:val="Bibliography"/>
        <w:rPr>
          <w:rFonts w:ascii="Aptos" w:hAnsi="Aptos"/>
        </w:rPr>
      </w:pPr>
      <w:r w:rsidRPr="00937ACD">
        <w:rPr>
          <w:rFonts w:ascii="Aptos" w:hAnsi="Aptos"/>
        </w:rPr>
        <w:t>110.</w:t>
      </w:r>
      <w:r w:rsidRPr="00937ACD">
        <w:rPr>
          <w:rFonts w:ascii="Aptos" w:hAnsi="Aptos"/>
        </w:rPr>
        <w:tab/>
        <w:t xml:space="preserve">Casadio R, Marin IC, Thomé T, Mezzina R, Baker P, Jenkins J, et al. The Recovery House in Trieste: rational, participants, intervention as the “work.” TC. 2018 Dec 10;39(4):149–61. </w:t>
      </w:r>
    </w:p>
    <w:p w14:paraId="394E2CA1" w14:textId="77777777" w:rsidR="00937ACD" w:rsidRPr="00937ACD" w:rsidRDefault="00937ACD" w:rsidP="00937ACD">
      <w:pPr>
        <w:pStyle w:val="Bibliography"/>
        <w:rPr>
          <w:rFonts w:ascii="Aptos" w:hAnsi="Aptos"/>
        </w:rPr>
      </w:pPr>
      <w:r w:rsidRPr="00937ACD">
        <w:rPr>
          <w:rFonts w:ascii="Aptos" w:hAnsi="Aptos"/>
        </w:rPr>
        <w:lastRenderedPageBreak/>
        <w:t>111.</w:t>
      </w:r>
      <w:r w:rsidRPr="00937ACD">
        <w:rPr>
          <w:rFonts w:ascii="Aptos" w:hAnsi="Aptos"/>
        </w:rPr>
        <w:tab/>
        <w:t>NHS England. The offender personality disorder pathway strategy. National Offender Management Service. [Internet]. 2015. Available from: https://www.england.nhs.uk/commissioning/wp-content/uploads/sites/12/2016/02/opd-strategy-nov-15.pdf</w:t>
      </w:r>
    </w:p>
    <w:p w14:paraId="0712DF07" w14:textId="77777777" w:rsidR="00937ACD" w:rsidRPr="00937ACD" w:rsidRDefault="00937ACD" w:rsidP="00937ACD">
      <w:pPr>
        <w:pStyle w:val="Bibliography"/>
        <w:rPr>
          <w:rFonts w:ascii="Aptos" w:hAnsi="Aptos"/>
        </w:rPr>
      </w:pPr>
      <w:r w:rsidRPr="00937ACD">
        <w:rPr>
          <w:rFonts w:ascii="Aptos" w:hAnsi="Aptos"/>
        </w:rPr>
        <w:t>112.</w:t>
      </w:r>
      <w:r w:rsidRPr="00937ACD">
        <w:rPr>
          <w:rFonts w:ascii="Aptos" w:hAnsi="Aptos"/>
        </w:rPr>
        <w:tab/>
        <w:t>Social Interest Group. Penrose OPD HASS [Internet]. Available from: https://socialinterestgroup.org.uk/our-services/penrose-opd-hass-catford/</w:t>
      </w:r>
    </w:p>
    <w:p w14:paraId="7A02CE68" w14:textId="77777777" w:rsidR="00937ACD" w:rsidRPr="00937ACD" w:rsidRDefault="00937ACD" w:rsidP="00937ACD">
      <w:pPr>
        <w:pStyle w:val="Bibliography"/>
        <w:rPr>
          <w:rFonts w:ascii="Aptos" w:hAnsi="Aptos"/>
        </w:rPr>
      </w:pPr>
      <w:r w:rsidRPr="00937ACD">
        <w:rPr>
          <w:rFonts w:ascii="Aptos" w:hAnsi="Aptos"/>
        </w:rPr>
        <w:t>113.</w:t>
      </w:r>
      <w:r w:rsidRPr="00937ACD">
        <w:rPr>
          <w:rFonts w:ascii="Aptos" w:hAnsi="Aptos"/>
        </w:rPr>
        <w:tab/>
        <w:t>Social Interest Group. OPD HASS Male Housing &amp; Accommodation Support Service [Internet]. Available from: https://socialinterestgroup.org.uk/wp-content/uploads/2020/05/OPD-HASS-Leaflet-new.pdf</w:t>
      </w:r>
    </w:p>
    <w:p w14:paraId="58B554D4" w14:textId="77777777" w:rsidR="00937ACD" w:rsidRPr="00937ACD" w:rsidRDefault="00937ACD" w:rsidP="00937ACD">
      <w:pPr>
        <w:pStyle w:val="Bibliography"/>
        <w:rPr>
          <w:rFonts w:ascii="Aptos" w:hAnsi="Aptos"/>
        </w:rPr>
      </w:pPr>
      <w:r w:rsidRPr="00937ACD">
        <w:rPr>
          <w:rFonts w:ascii="Aptos" w:hAnsi="Aptos"/>
        </w:rPr>
        <w:t>114.</w:t>
      </w:r>
      <w:r w:rsidRPr="00937ACD">
        <w:rPr>
          <w:rFonts w:ascii="Aptos" w:hAnsi="Aptos"/>
        </w:rPr>
        <w:tab/>
        <w:t xml:space="preserve">Catanesi R, Mandarelli G, Ferracuti S, Valerio A, Carabellese F. THE NEW ITALIAN RESIDENTIAL FORENSIC PSYCHIATRIC SYSTEM (REMS). A ONE-YEAR POPULATION STUDY. ITALIAN JOURNAL OF CRIMINOLOGY. 2020 Mar 30;13(V. 13 (2019): Rassegna Italiana di Criminologia-Numero Speciale):7–23. </w:t>
      </w:r>
    </w:p>
    <w:p w14:paraId="3F843C55" w14:textId="77777777" w:rsidR="00937ACD" w:rsidRPr="00937ACD" w:rsidRDefault="00937ACD" w:rsidP="00937ACD">
      <w:pPr>
        <w:pStyle w:val="Bibliography"/>
        <w:rPr>
          <w:rFonts w:ascii="Aptos" w:hAnsi="Aptos"/>
        </w:rPr>
      </w:pPr>
      <w:r w:rsidRPr="00937ACD">
        <w:rPr>
          <w:rFonts w:ascii="Aptos" w:hAnsi="Aptos"/>
        </w:rPr>
        <w:t>115.</w:t>
      </w:r>
      <w:r w:rsidRPr="00937ACD">
        <w:rPr>
          <w:rFonts w:ascii="Aptos" w:hAnsi="Aptos"/>
        </w:rPr>
        <w:tab/>
        <w:t>Think Local Act Personal [Internet]. n.d. Shared Lives Plus Community alternatives to residential care. Available from: https://www.thinklocalactpersonal.org.uk/innovations-in-community-centred-support/directory/Community-alternative-to-residential-care/#:~:text=Shared%20Lives%20is%20used%20by,who%20misuse%20substances%2C%20and%20offenders.</w:t>
      </w:r>
    </w:p>
    <w:p w14:paraId="4F0B5142" w14:textId="77777777" w:rsidR="00937ACD" w:rsidRPr="00937ACD" w:rsidRDefault="00937ACD" w:rsidP="00937ACD">
      <w:pPr>
        <w:pStyle w:val="Bibliography"/>
        <w:rPr>
          <w:rFonts w:ascii="Aptos" w:hAnsi="Aptos"/>
        </w:rPr>
      </w:pPr>
      <w:r w:rsidRPr="00937ACD">
        <w:rPr>
          <w:rFonts w:ascii="Aptos" w:hAnsi="Aptos"/>
        </w:rPr>
        <w:t>116.</w:t>
      </w:r>
      <w:r w:rsidRPr="00937ACD">
        <w:rPr>
          <w:rFonts w:ascii="Aptos" w:hAnsi="Aptos"/>
        </w:rPr>
        <w:tab/>
        <w:t>Substance Abuse and Mental Health Services Administration. Forensic Assertive Community Treatment (FACT): A Service Delivery Model for Individuals with Serious Mental Illness Involved With the Criminal Justice System [Internet]. Substance Abuse and Mental Health Services Administration (SAMHSA); n.d. Available from: https://store.samhsa.gov/sites/default/files/d7/priv/pep19-fact-br.pdf</w:t>
      </w:r>
    </w:p>
    <w:p w14:paraId="00393CA7" w14:textId="77777777" w:rsidR="00937ACD" w:rsidRPr="00937ACD" w:rsidRDefault="00937ACD" w:rsidP="00937ACD">
      <w:pPr>
        <w:pStyle w:val="Bibliography"/>
        <w:rPr>
          <w:rFonts w:ascii="Aptos" w:hAnsi="Aptos"/>
        </w:rPr>
      </w:pPr>
      <w:r w:rsidRPr="00937ACD">
        <w:rPr>
          <w:rFonts w:ascii="Aptos" w:hAnsi="Aptos"/>
        </w:rPr>
        <w:t>117.</w:t>
      </w:r>
      <w:r w:rsidRPr="00937ACD">
        <w:rPr>
          <w:rFonts w:ascii="Aptos" w:hAnsi="Aptos"/>
        </w:rPr>
        <w:tab/>
        <w:t xml:space="preserve">Lamberti JS, Weisman RL. Essential Elements of Forensic Assertive Community Treatment. Harv Rev Psychiatry. 2021 Jul;29(4):278–97. </w:t>
      </w:r>
    </w:p>
    <w:p w14:paraId="2ED886D2" w14:textId="77777777" w:rsidR="00937ACD" w:rsidRPr="00937ACD" w:rsidRDefault="00937ACD" w:rsidP="00937ACD">
      <w:pPr>
        <w:pStyle w:val="Bibliography"/>
        <w:rPr>
          <w:rFonts w:ascii="Aptos" w:hAnsi="Aptos"/>
        </w:rPr>
      </w:pPr>
      <w:r w:rsidRPr="00937ACD">
        <w:rPr>
          <w:rFonts w:ascii="Aptos" w:hAnsi="Aptos"/>
        </w:rPr>
        <w:t>118.</w:t>
      </w:r>
      <w:r w:rsidRPr="00937ACD">
        <w:rPr>
          <w:rFonts w:ascii="Aptos" w:hAnsi="Aptos"/>
        </w:rPr>
        <w:tab/>
        <w:t xml:space="preserve">Craissati J, Ramsden J, Ryan S, Webster N, West L. Intensive intervention and risk management services (IIRMS) three years on: what we need to do better in the offender personality disorder pathway. JFP. 2021 Dec 1;23(4):385–96. </w:t>
      </w:r>
    </w:p>
    <w:p w14:paraId="43B8E9F3" w14:textId="77777777" w:rsidR="00937ACD" w:rsidRPr="00937ACD" w:rsidRDefault="00937ACD" w:rsidP="00937ACD">
      <w:pPr>
        <w:pStyle w:val="Bibliography"/>
        <w:rPr>
          <w:rFonts w:ascii="Aptos" w:hAnsi="Aptos"/>
        </w:rPr>
      </w:pPr>
      <w:r w:rsidRPr="00937ACD">
        <w:rPr>
          <w:rFonts w:ascii="Aptos" w:hAnsi="Aptos"/>
        </w:rPr>
        <w:t>119.</w:t>
      </w:r>
      <w:r w:rsidRPr="00937ACD">
        <w:rPr>
          <w:rFonts w:ascii="Aptos" w:hAnsi="Aptos"/>
        </w:rPr>
        <w:tab/>
        <w:t xml:space="preserve">O’Meara A, Morgan L, Godden S, Davies J. A model of a specialist transitional support and liaison service within the Offender Personality Disorder Pathway in Wales: Learning from a regional pilot service. The Journal of Community and Criminal Justice. 2019; </w:t>
      </w:r>
    </w:p>
    <w:p w14:paraId="27F3F854" w14:textId="77777777" w:rsidR="00937ACD" w:rsidRPr="00937ACD" w:rsidRDefault="00937ACD" w:rsidP="00937ACD">
      <w:pPr>
        <w:pStyle w:val="Bibliography"/>
        <w:rPr>
          <w:rFonts w:ascii="Aptos" w:hAnsi="Aptos"/>
        </w:rPr>
      </w:pPr>
      <w:r w:rsidRPr="00937ACD">
        <w:rPr>
          <w:rFonts w:ascii="Aptos" w:hAnsi="Aptos"/>
        </w:rPr>
        <w:t>120.</w:t>
      </w:r>
      <w:r w:rsidRPr="00937ACD">
        <w:rPr>
          <w:rFonts w:ascii="Aptos" w:hAnsi="Aptos"/>
        </w:rPr>
        <w:tab/>
        <w:t xml:space="preserve">Ching H, Daffern M, Martin T, Thomas S. Reducing the use of seclusion in a forensic psychiatric hospital: assessing the impact on aggression, therapeutic climate and staff confidence. Journal of Forensic Psychiatry &amp; Psychology. 2010 Oct;21(5):737–60. </w:t>
      </w:r>
    </w:p>
    <w:p w14:paraId="558A7B51" w14:textId="77777777" w:rsidR="00937ACD" w:rsidRPr="00937ACD" w:rsidRDefault="00937ACD" w:rsidP="00937ACD">
      <w:pPr>
        <w:pStyle w:val="Bibliography"/>
        <w:rPr>
          <w:rFonts w:ascii="Aptos" w:hAnsi="Aptos"/>
        </w:rPr>
      </w:pPr>
      <w:r w:rsidRPr="00937ACD">
        <w:rPr>
          <w:rFonts w:ascii="Aptos" w:hAnsi="Aptos"/>
        </w:rPr>
        <w:t>121.</w:t>
      </w:r>
      <w:r w:rsidRPr="00937ACD">
        <w:rPr>
          <w:rFonts w:ascii="Aptos" w:hAnsi="Aptos"/>
        </w:rPr>
        <w:tab/>
        <w:t xml:space="preserve">Maguire T, Young R, Martin T. Seclusion reduction in a forensic mental health setting: Seclusion reduction in a forensic setting. Journal of Psychiatric and Mental Health Nursing. 2012 Mar;19(2):97–106. </w:t>
      </w:r>
    </w:p>
    <w:p w14:paraId="3CA9B33C" w14:textId="77777777" w:rsidR="00937ACD" w:rsidRPr="00937ACD" w:rsidRDefault="00937ACD" w:rsidP="00937ACD">
      <w:pPr>
        <w:pStyle w:val="Bibliography"/>
        <w:rPr>
          <w:rFonts w:ascii="Aptos" w:hAnsi="Aptos"/>
        </w:rPr>
      </w:pPr>
      <w:r w:rsidRPr="00937ACD">
        <w:rPr>
          <w:rFonts w:ascii="Aptos" w:hAnsi="Aptos"/>
        </w:rPr>
        <w:t>122.</w:t>
      </w:r>
      <w:r w:rsidRPr="00937ACD">
        <w:rPr>
          <w:rFonts w:ascii="Aptos" w:hAnsi="Aptos"/>
        </w:rPr>
        <w:tab/>
        <w:t xml:space="preserve">Maguire T, Ryan J, Fullam R, McKenna B. Safewards Secure: A Delphi study to develop an addition to the Safewards model for forensic mental health services. Psychiatric Ment Health Nurs. 2022 Jun;29(3):418–29. </w:t>
      </w:r>
    </w:p>
    <w:p w14:paraId="554DD259" w14:textId="77777777" w:rsidR="00937ACD" w:rsidRPr="00937ACD" w:rsidRDefault="00937ACD" w:rsidP="00937ACD">
      <w:pPr>
        <w:pStyle w:val="Bibliography"/>
        <w:rPr>
          <w:rFonts w:ascii="Aptos" w:hAnsi="Aptos"/>
        </w:rPr>
      </w:pPr>
      <w:r w:rsidRPr="00937ACD">
        <w:rPr>
          <w:rFonts w:ascii="Aptos" w:hAnsi="Aptos"/>
        </w:rPr>
        <w:lastRenderedPageBreak/>
        <w:t>123.</w:t>
      </w:r>
      <w:r w:rsidRPr="00937ACD">
        <w:rPr>
          <w:rFonts w:ascii="Aptos" w:hAnsi="Aptos"/>
        </w:rPr>
        <w:tab/>
        <w:t xml:space="preserve">de Boer J, Gerrits J. Learning from Holland: the TBS system. Psychiatry. 2007 Nov;6(11):459–61. </w:t>
      </w:r>
    </w:p>
    <w:p w14:paraId="258B7A19" w14:textId="77777777" w:rsidR="00937ACD" w:rsidRPr="00937ACD" w:rsidRDefault="00937ACD" w:rsidP="00937ACD">
      <w:pPr>
        <w:pStyle w:val="Bibliography"/>
        <w:rPr>
          <w:rFonts w:ascii="Aptos" w:hAnsi="Aptos"/>
        </w:rPr>
      </w:pPr>
      <w:r w:rsidRPr="00937ACD">
        <w:rPr>
          <w:rFonts w:ascii="Aptos" w:hAnsi="Aptos"/>
        </w:rPr>
        <w:t>124.</w:t>
      </w:r>
      <w:r w:rsidRPr="00937ACD">
        <w:rPr>
          <w:rFonts w:ascii="Aptos" w:hAnsi="Aptos"/>
        </w:rPr>
        <w:tab/>
        <w:t xml:space="preserve">Senn D, Bulten E, Tomlin J, Völlm B. A Comparison of English and Dutch Long-Stay Patients in Forensic Psychiatric Care. Front Psychiatry. 2020 Nov 30;11:574247. </w:t>
      </w:r>
    </w:p>
    <w:p w14:paraId="72D7DBC8" w14:textId="77777777" w:rsidR="00937ACD" w:rsidRPr="00937ACD" w:rsidRDefault="00937ACD" w:rsidP="00937ACD">
      <w:pPr>
        <w:pStyle w:val="Bibliography"/>
        <w:rPr>
          <w:rFonts w:ascii="Aptos" w:hAnsi="Aptos"/>
        </w:rPr>
      </w:pPr>
      <w:r w:rsidRPr="00937ACD">
        <w:rPr>
          <w:rFonts w:ascii="Aptos" w:hAnsi="Aptos"/>
        </w:rPr>
        <w:t>125.</w:t>
      </w:r>
      <w:r w:rsidRPr="00937ACD">
        <w:rPr>
          <w:rFonts w:ascii="Aptos" w:hAnsi="Aptos"/>
        </w:rPr>
        <w:tab/>
        <w:t>Kuester L, Freestone M, Seewald K, Rathbone R, Bhui K. Evaluation of Psychologically Informed Planned Environments (PIPEs) Assessing the first five years [Internet]. HM Prison &amp; Probation Service; 2022. Available from: https://www.gov.uk/government/publications/evaluation-of-psychologically-informed-planned-environments</w:t>
      </w:r>
    </w:p>
    <w:p w14:paraId="5E178B87" w14:textId="77777777" w:rsidR="00937ACD" w:rsidRPr="00937ACD" w:rsidRDefault="00937ACD" w:rsidP="00937ACD">
      <w:pPr>
        <w:pStyle w:val="Bibliography"/>
        <w:rPr>
          <w:rFonts w:ascii="Aptos" w:hAnsi="Aptos"/>
        </w:rPr>
      </w:pPr>
      <w:r w:rsidRPr="00937ACD">
        <w:rPr>
          <w:rFonts w:ascii="Aptos" w:hAnsi="Aptos"/>
        </w:rPr>
        <w:t>126.</w:t>
      </w:r>
      <w:r w:rsidRPr="00937ACD">
        <w:rPr>
          <w:rFonts w:ascii="Aptos" w:hAnsi="Aptos"/>
        </w:rPr>
        <w:tab/>
        <w:t>Midlands Partnership University NHS Trust. Forensic Mental Health: Offender Personality Disorder Pathways [Internet]. Available from: https://forensics.mpft.nhs.uk/offender-personality-disorder-pathways</w:t>
      </w:r>
    </w:p>
    <w:p w14:paraId="4850AE42" w14:textId="77777777" w:rsidR="00937ACD" w:rsidRPr="00937ACD" w:rsidRDefault="00937ACD" w:rsidP="00937ACD">
      <w:pPr>
        <w:pStyle w:val="Bibliography"/>
        <w:rPr>
          <w:rFonts w:ascii="Aptos" w:hAnsi="Aptos"/>
        </w:rPr>
      </w:pPr>
      <w:r w:rsidRPr="00937ACD">
        <w:rPr>
          <w:rFonts w:ascii="Aptos" w:hAnsi="Aptos"/>
        </w:rPr>
        <w:t>127.</w:t>
      </w:r>
      <w:r w:rsidRPr="00937ACD">
        <w:rPr>
          <w:rFonts w:ascii="Aptos" w:hAnsi="Aptos"/>
        </w:rPr>
        <w:tab/>
        <w:t xml:space="preserve">Jarvis D, Shaw J, Lovell T. Service user experiences of a psychologically enhanced resettlement service [PERS] in an English open prison. JFP. 2022 Jun 28;24(3):241–52. </w:t>
      </w:r>
    </w:p>
    <w:p w14:paraId="5A39E940" w14:textId="77777777" w:rsidR="00937ACD" w:rsidRPr="00937ACD" w:rsidRDefault="00937ACD" w:rsidP="00937ACD">
      <w:pPr>
        <w:pStyle w:val="Bibliography"/>
        <w:rPr>
          <w:rFonts w:ascii="Aptos" w:hAnsi="Aptos"/>
        </w:rPr>
      </w:pPr>
      <w:r w:rsidRPr="00937ACD">
        <w:rPr>
          <w:rFonts w:ascii="Aptos" w:hAnsi="Aptos"/>
        </w:rPr>
        <w:t>128.</w:t>
      </w:r>
      <w:r w:rsidRPr="00937ACD">
        <w:rPr>
          <w:rFonts w:ascii="Aptos" w:hAnsi="Aptos"/>
        </w:rPr>
        <w:tab/>
        <w:t xml:space="preserve">Lamb CE. Alternatives to admission for children and adolescents: providing intensive mental healthcare services at home and in communities: what works? Current Opinion in Psychiatry. 2009 Jul;22(4):345–50. </w:t>
      </w:r>
    </w:p>
    <w:p w14:paraId="7AB61CD4" w14:textId="77777777" w:rsidR="00937ACD" w:rsidRPr="00937ACD" w:rsidRDefault="00937ACD" w:rsidP="00937ACD">
      <w:pPr>
        <w:pStyle w:val="Bibliography"/>
        <w:rPr>
          <w:rFonts w:ascii="Aptos" w:hAnsi="Aptos"/>
        </w:rPr>
      </w:pPr>
      <w:r w:rsidRPr="00937ACD">
        <w:rPr>
          <w:rFonts w:ascii="Aptos" w:hAnsi="Aptos"/>
        </w:rPr>
        <w:t>129.</w:t>
      </w:r>
      <w:r w:rsidRPr="00937ACD">
        <w:rPr>
          <w:rFonts w:ascii="Aptos" w:hAnsi="Aptos"/>
        </w:rPr>
        <w:tab/>
        <w:t xml:space="preserve">McDougall T, Worrall-Davies A, Hewson L, Richardson G, Cotgrove A. Tier 4 Child and Adolescent Mental Health Services (CAMHS) - Inpatient Care, Day Services and Alternatives: An Overview of Tier 4 CAMHS Provision in the UK. Child and Adolescent Mental Health. 2008 Nov;13(4):173–80. </w:t>
      </w:r>
    </w:p>
    <w:p w14:paraId="377CF664" w14:textId="77777777" w:rsidR="00937ACD" w:rsidRPr="00937ACD" w:rsidRDefault="00937ACD" w:rsidP="00937ACD">
      <w:pPr>
        <w:pStyle w:val="Bibliography"/>
        <w:rPr>
          <w:rFonts w:ascii="Aptos" w:hAnsi="Aptos"/>
        </w:rPr>
      </w:pPr>
      <w:r w:rsidRPr="00937ACD">
        <w:rPr>
          <w:rFonts w:ascii="Aptos" w:hAnsi="Aptos"/>
        </w:rPr>
        <w:t>130.</w:t>
      </w:r>
      <w:r w:rsidRPr="00937ACD">
        <w:rPr>
          <w:rFonts w:ascii="Aptos" w:hAnsi="Aptos"/>
        </w:rPr>
        <w:tab/>
        <w:t xml:space="preserve">Fisher PA, Gilliam KS. Multidimensional Treatment Foster Care: An Alternative to Residential Treatment for High Risk Children and Adolescents. Psychosocial Intervention. 2012 Aug;21(2):195–203. </w:t>
      </w:r>
    </w:p>
    <w:p w14:paraId="50051A17" w14:textId="77777777" w:rsidR="00937ACD" w:rsidRPr="00937ACD" w:rsidRDefault="00937ACD" w:rsidP="00937ACD">
      <w:pPr>
        <w:pStyle w:val="Bibliography"/>
        <w:rPr>
          <w:rFonts w:ascii="Aptos" w:hAnsi="Aptos"/>
        </w:rPr>
      </w:pPr>
      <w:r w:rsidRPr="00937ACD">
        <w:rPr>
          <w:rFonts w:ascii="Aptos" w:hAnsi="Aptos"/>
        </w:rPr>
        <w:t>131.</w:t>
      </w:r>
      <w:r w:rsidRPr="00937ACD">
        <w:rPr>
          <w:rFonts w:ascii="Aptos" w:hAnsi="Aptos"/>
        </w:rPr>
        <w:tab/>
        <w:t>Hart D, La Velle I. Secure children’s homes: placing welfare and justice children together. [Internet]. 2021. Available from: https://assets.publishing.service.gov.uk/government/uploads/system/uploads/attachment_data/file/983619/Secure_children_s_homes_placement_review_report.pdf</w:t>
      </w:r>
    </w:p>
    <w:p w14:paraId="6EC6D44C" w14:textId="77777777" w:rsidR="00937ACD" w:rsidRPr="00937ACD" w:rsidRDefault="00937ACD" w:rsidP="00937ACD">
      <w:pPr>
        <w:pStyle w:val="Bibliography"/>
        <w:rPr>
          <w:rFonts w:ascii="Aptos" w:hAnsi="Aptos"/>
        </w:rPr>
      </w:pPr>
      <w:r w:rsidRPr="00937ACD">
        <w:rPr>
          <w:rFonts w:ascii="Aptos" w:hAnsi="Aptos"/>
        </w:rPr>
        <w:t>132.</w:t>
      </w:r>
      <w:r w:rsidRPr="00937ACD">
        <w:rPr>
          <w:rFonts w:ascii="Aptos" w:hAnsi="Aptos"/>
        </w:rPr>
        <w:tab/>
        <w:t>Secure Children’s Homes. Secure Children’s Homes [Internet]. 2023. Available from: http://securechildrenshomes.org.uk</w:t>
      </w:r>
    </w:p>
    <w:p w14:paraId="5CCB4FAF" w14:textId="77777777" w:rsidR="00937ACD" w:rsidRPr="00937ACD" w:rsidRDefault="00937ACD" w:rsidP="00937ACD">
      <w:pPr>
        <w:pStyle w:val="Bibliography"/>
        <w:rPr>
          <w:rFonts w:ascii="Aptos" w:hAnsi="Aptos"/>
        </w:rPr>
      </w:pPr>
      <w:r w:rsidRPr="00937ACD">
        <w:rPr>
          <w:rFonts w:ascii="Aptos" w:hAnsi="Aptos"/>
        </w:rPr>
        <w:t>133.</w:t>
      </w:r>
      <w:r w:rsidRPr="00937ACD">
        <w:rPr>
          <w:rFonts w:ascii="Aptos" w:hAnsi="Aptos"/>
        </w:rPr>
        <w:tab/>
        <w:t>Family Rights Group. Helping Families Helping Children [Internet]. Available from: https://frg.org.uk</w:t>
      </w:r>
    </w:p>
    <w:p w14:paraId="7EBCD1F3" w14:textId="77777777" w:rsidR="00937ACD" w:rsidRPr="00937ACD" w:rsidRDefault="00937ACD" w:rsidP="00937ACD">
      <w:pPr>
        <w:pStyle w:val="Bibliography"/>
        <w:rPr>
          <w:rFonts w:ascii="Aptos" w:hAnsi="Aptos"/>
        </w:rPr>
      </w:pPr>
      <w:r w:rsidRPr="00937ACD">
        <w:rPr>
          <w:rFonts w:ascii="Aptos" w:hAnsi="Aptos"/>
        </w:rPr>
        <w:t>134.</w:t>
      </w:r>
      <w:r w:rsidRPr="00937ACD">
        <w:rPr>
          <w:rFonts w:ascii="Aptos" w:hAnsi="Aptos"/>
        </w:rPr>
        <w:tab/>
        <w:t xml:space="preserve">Grizenko N, Papineau D, Sayegh L. Effectiveness of a Multimodal Day Treatment Program for Children with Disruptive Behavior Problems. Journal of the American Academy of Child &amp; Adolescent Psychiatry. 1993 Jan;32(1):127–34. </w:t>
      </w:r>
    </w:p>
    <w:p w14:paraId="2CCF4E44" w14:textId="77777777" w:rsidR="00937ACD" w:rsidRPr="00937ACD" w:rsidRDefault="00937ACD" w:rsidP="00937ACD">
      <w:pPr>
        <w:pStyle w:val="Bibliography"/>
        <w:rPr>
          <w:rFonts w:ascii="Aptos" w:hAnsi="Aptos"/>
        </w:rPr>
      </w:pPr>
      <w:r w:rsidRPr="00937ACD">
        <w:rPr>
          <w:rFonts w:ascii="Aptos" w:hAnsi="Aptos"/>
        </w:rPr>
        <w:t>135.</w:t>
      </w:r>
      <w:r w:rsidRPr="00937ACD">
        <w:rPr>
          <w:rFonts w:ascii="Aptos" w:hAnsi="Aptos"/>
        </w:rPr>
        <w:tab/>
        <w:t xml:space="preserve">McCarthy G, Baker S, Betts K, Bernard D, Dove J, Elliot M, et al. The Development of a New Day Treatment Program for Older Children (8–11 Years) with Behavioural Problems: The Go Zone. Clin Child Psychol Psychiatry. 2006 Jan;11(1):156–66. </w:t>
      </w:r>
    </w:p>
    <w:p w14:paraId="27FA4B44" w14:textId="77777777" w:rsidR="00937ACD" w:rsidRPr="00937ACD" w:rsidRDefault="00937ACD" w:rsidP="00937ACD">
      <w:pPr>
        <w:pStyle w:val="Bibliography"/>
        <w:rPr>
          <w:rFonts w:ascii="Aptos" w:hAnsi="Aptos"/>
        </w:rPr>
      </w:pPr>
      <w:r w:rsidRPr="00937ACD">
        <w:rPr>
          <w:rFonts w:ascii="Aptos" w:hAnsi="Aptos"/>
        </w:rPr>
        <w:lastRenderedPageBreak/>
        <w:t>136.</w:t>
      </w:r>
      <w:r w:rsidRPr="00937ACD">
        <w:rPr>
          <w:rFonts w:ascii="Aptos" w:hAnsi="Aptos"/>
        </w:rPr>
        <w:tab/>
        <w:t xml:space="preserve">Muskens JB, Herpers PCM, Hilderink C, van Deurzen PAM, Buitelaar JK, Staal WG. Intensive home treatment for adolescents in psychiatric crisis. BMC Psychiatry. 2019 Dec;19(1):412. </w:t>
      </w:r>
    </w:p>
    <w:p w14:paraId="48262AE5" w14:textId="77777777" w:rsidR="00937ACD" w:rsidRPr="00937ACD" w:rsidRDefault="00937ACD" w:rsidP="00937ACD">
      <w:pPr>
        <w:pStyle w:val="Bibliography"/>
        <w:rPr>
          <w:rFonts w:ascii="Aptos" w:hAnsi="Aptos"/>
        </w:rPr>
      </w:pPr>
      <w:r w:rsidRPr="00937ACD">
        <w:rPr>
          <w:rFonts w:ascii="Aptos" w:hAnsi="Aptos"/>
        </w:rPr>
        <w:t>137.</w:t>
      </w:r>
      <w:r w:rsidRPr="00937ACD">
        <w:rPr>
          <w:rFonts w:ascii="Aptos" w:hAnsi="Aptos"/>
        </w:rPr>
        <w:tab/>
        <w:t xml:space="preserve">Evans ME, Boothroyd RA, Armstrong MI, Greenbaum PE, Brown EC, Kuppinger AD. An Experimental Study of the Effectiveness of Intensive In-Home Crisis Services for Children and Their Families: Program Outcomes. Journal of Emotional and Behavioral Disorders. 2003 Apr;11(2):92–102. </w:t>
      </w:r>
    </w:p>
    <w:p w14:paraId="7B48800F" w14:textId="77777777" w:rsidR="00937ACD" w:rsidRPr="00937ACD" w:rsidRDefault="00937ACD" w:rsidP="00937ACD">
      <w:pPr>
        <w:pStyle w:val="Bibliography"/>
        <w:rPr>
          <w:rFonts w:ascii="Aptos" w:hAnsi="Aptos"/>
        </w:rPr>
      </w:pPr>
      <w:r w:rsidRPr="00937ACD">
        <w:rPr>
          <w:rFonts w:ascii="Aptos" w:hAnsi="Aptos"/>
        </w:rPr>
        <w:t>138.</w:t>
      </w:r>
      <w:r w:rsidRPr="00937ACD">
        <w:rPr>
          <w:rFonts w:ascii="Aptos" w:hAnsi="Aptos"/>
        </w:rPr>
        <w:tab/>
        <w:t>Northover G. Children and Young People’s Mental Health Services GIRFT Programme National Specialty Report [Internet]. 2022. Available from: https://future.nhs.uk/connect.ti/GIRFTNational/view?objectId=130556421</w:t>
      </w:r>
    </w:p>
    <w:p w14:paraId="2765BCBB" w14:textId="77777777" w:rsidR="00937ACD" w:rsidRPr="00937ACD" w:rsidRDefault="00937ACD" w:rsidP="00937ACD">
      <w:pPr>
        <w:pStyle w:val="Bibliography"/>
        <w:rPr>
          <w:rFonts w:ascii="Aptos" w:hAnsi="Aptos"/>
        </w:rPr>
      </w:pPr>
      <w:r w:rsidRPr="00937ACD">
        <w:rPr>
          <w:rFonts w:ascii="Aptos" w:hAnsi="Aptos"/>
        </w:rPr>
        <w:t>139.</w:t>
      </w:r>
      <w:r w:rsidRPr="00937ACD">
        <w:rPr>
          <w:rFonts w:ascii="Aptos" w:hAnsi="Aptos"/>
        </w:rPr>
        <w:tab/>
        <w:t>NHS North Central London Integrated Care Board. Child &amp; Adolescent Mental Health Service [Internet]. n.d. Available from: https://gps.northcentrallondon.icb.nhs.uk/services/child-and-adolescent-mental-health-service-camhs-islington</w:t>
      </w:r>
    </w:p>
    <w:p w14:paraId="05062063" w14:textId="77777777" w:rsidR="00937ACD" w:rsidRPr="00937ACD" w:rsidRDefault="00937ACD" w:rsidP="00937ACD">
      <w:pPr>
        <w:pStyle w:val="Bibliography"/>
        <w:rPr>
          <w:rFonts w:ascii="Aptos" w:hAnsi="Aptos"/>
        </w:rPr>
      </w:pPr>
      <w:r w:rsidRPr="00937ACD">
        <w:rPr>
          <w:rFonts w:ascii="Aptos" w:hAnsi="Aptos"/>
        </w:rPr>
        <w:t>140.</w:t>
      </w:r>
      <w:r w:rsidRPr="00937ACD">
        <w:rPr>
          <w:rFonts w:ascii="Aptos" w:hAnsi="Aptos"/>
        </w:rPr>
        <w:tab/>
        <w:t xml:space="preserve">Boege I, Corpus N, Schepker R, Kilian R, Fegert JM. Cost-effectiveness of intensive home treatment enhanced by inpatient treatment elements in child and adolescent psychiatry in Germany: A randomised trial. Eur psychiatr. 2015 Jul;30(5):583–9. </w:t>
      </w:r>
    </w:p>
    <w:p w14:paraId="57153042" w14:textId="77777777" w:rsidR="00937ACD" w:rsidRPr="00937ACD" w:rsidRDefault="00937ACD" w:rsidP="00937ACD">
      <w:pPr>
        <w:pStyle w:val="Bibliography"/>
        <w:rPr>
          <w:rFonts w:ascii="Aptos" w:hAnsi="Aptos"/>
        </w:rPr>
      </w:pPr>
      <w:r w:rsidRPr="00937ACD">
        <w:rPr>
          <w:rFonts w:ascii="Aptos" w:hAnsi="Aptos"/>
        </w:rPr>
        <w:t>141.</w:t>
      </w:r>
      <w:r w:rsidRPr="00937ACD">
        <w:rPr>
          <w:rFonts w:ascii="Aptos" w:hAnsi="Aptos"/>
        </w:rPr>
        <w:tab/>
        <w:t xml:space="preserve">Ougrin D, Zundel T, Corrigall R, Padmore J, Loh C. Innovations in Practice: pilot evaluation of the supported discharge service (SDS): clinical outcomes and service use. Child Adolesc Ment Health. 2014 Nov;19(4):265–9. </w:t>
      </w:r>
    </w:p>
    <w:p w14:paraId="62E939F4" w14:textId="77777777" w:rsidR="00937ACD" w:rsidRPr="00937ACD" w:rsidRDefault="00937ACD" w:rsidP="00937ACD">
      <w:pPr>
        <w:pStyle w:val="Bibliography"/>
        <w:rPr>
          <w:rFonts w:ascii="Aptos" w:hAnsi="Aptos"/>
        </w:rPr>
      </w:pPr>
      <w:r w:rsidRPr="00937ACD">
        <w:rPr>
          <w:rFonts w:ascii="Aptos" w:hAnsi="Aptos"/>
        </w:rPr>
        <w:t>142.</w:t>
      </w:r>
      <w:r w:rsidRPr="00937ACD">
        <w:rPr>
          <w:rFonts w:ascii="Aptos" w:hAnsi="Aptos"/>
        </w:rPr>
        <w:tab/>
        <w:t xml:space="preserve">Ougrin D, Corrigall R, Stahl D, Poole J, Zundel T, Wait M, et al. Supported discharge service versus inpatient care evaluation (SITE): a randomised controlled trial comparing effectiveness of an intensive community care service versus inpatient treatment as usual for adolescents with severe psychiatric disorders: self-harm, functional impairment, and educational and clinical outcomes. Eur Child Adolesc Psychiatry. 2021 Sep;30(9):1427–36. </w:t>
      </w:r>
    </w:p>
    <w:p w14:paraId="286127A6" w14:textId="77777777" w:rsidR="00937ACD" w:rsidRPr="00937ACD" w:rsidRDefault="00937ACD" w:rsidP="00937ACD">
      <w:pPr>
        <w:pStyle w:val="Bibliography"/>
        <w:rPr>
          <w:rFonts w:ascii="Aptos" w:hAnsi="Aptos"/>
        </w:rPr>
      </w:pPr>
      <w:r w:rsidRPr="00937ACD">
        <w:rPr>
          <w:rFonts w:ascii="Aptos" w:hAnsi="Aptos"/>
        </w:rPr>
        <w:t>143.</w:t>
      </w:r>
      <w:r w:rsidRPr="00937ACD">
        <w:rPr>
          <w:rFonts w:ascii="Aptos" w:hAnsi="Aptos"/>
        </w:rPr>
        <w:tab/>
        <w:t xml:space="preserve">Ougrin D, Corrigall R, Poole J, Zundel T, Sarhane M, Slater V, et al. Comparison of effectiveness and cost-effectiveness of an intensive community supported discharge service versus treatment as usual for adolescents with psychiatric emergencies: a randomised controlled trial. The Lancet Psychiatry. 2018 Jun;5(6):477–85. </w:t>
      </w:r>
    </w:p>
    <w:p w14:paraId="323AD543" w14:textId="77777777" w:rsidR="00937ACD" w:rsidRPr="00937ACD" w:rsidRDefault="00937ACD" w:rsidP="00937ACD">
      <w:pPr>
        <w:pStyle w:val="Bibliography"/>
        <w:rPr>
          <w:rFonts w:ascii="Aptos" w:hAnsi="Aptos"/>
        </w:rPr>
      </w:pPr>
      <w:r w:rsidRPr="00937ACD">
        <w:rPr>
          <w:rFonts w:ascii="Aptos" w:hAnsi="Aptos"/>
        </w:rPr>
        <w:t>144.</w:t>
      </w:r>
      <w:r w:rsidRPr="00937ACD">
        <w:rPr>
          <w:rFonts w:ascii="Aptos" w:hAnsi="Aptos"/>
        </w:rPr>
        <w:tab/>
        <w:t>Seattle Children’s Hospital Research Foundation. Behavioral Health Crisis Care Clinic [Internet]. 2023. Available from: https://www.seattlechildrens.org/clinics/psychiatry-and-behavioral-medicine/services/behavioral-health-crisis-care-clinic/</w:t>
      </w:r>
    </w:p>
    <w:p w14:paraId="16142989" w14:textId="77777777" w:rsidR="00937ACD" w:rsidRPr="00937ACD" w:rsidRDefault="00937ACD" w:rsidP="00937ACD">
      <w:pPr>
        <w:pStyle w:val="Bibliography"/>
        <w:rPr>
          <w:rFonts w:ascii="Aptos" w:hAnsi="Aptos"/>
        </w:rPr>
      </w:pPr>
      <w:r w:rsidRPr="00937ACD">
        <w:rPr>
          <w:rFonts w:ascii="Aptos" w:hAnsi="Aptos"/>
        </w:rPr>
        <w:t>145.</w:t>
      </w:r>
      <w:r w:rsidRPr="00937ACD">
        <w:rPr>
          <w:rFonts w:ascii="Aptos" w:hAnsi="Aptos"/>
        </w:rPr>
        <w:tab/>
        <w:t xml:space="preserve">Evans ME, Boothroyd RA, Armstrong MI. Development and Implementation of an Experimental Study of the Effectiveness of Intensive In-Home Crisis Services for Children and Their Families. Journal of Emotional and Behavioral Disorders. 1997 Apr;5(2):93–105. </w:t>
      </w:r>
    </w:p>
    <w:p w14:paraId="1E8A171B" w14:textId="77777777" w:rsidR="00937ACD" w:rsidRPr="00937ACD" w:rsidRDefault="00937ACD" w:rsidP="00937ACD">
      <w:pPr>
        <w:pStyle w:val="Bibliography"/>
        <w:rPr>
          <w:rFonts w:ascii="Aptos" w:hAnsi="Aptos"/>
        </w:rPr>
      </w:pPr>
      <w:r w:rsidRPr="00937ACD">
        <w:rPr>
          <w:rFonts w:ascii="Aptos" w:hAnsi="Aptos"/>
        </w:rPr>
        <w:t>146.</w:t>
      </w:r>
      <w:r w:rsidRPr="00937ACD">
        <w:rPr>
          <w:rFonts w:ascii="Aptos" w:hAnsi="Aptos"/>
        </w:rPr>
        <w:tab/>
        <w:t>Broersen M, Creemers DHM, Frieswijk N, Vermulst AA, Kroon H. Effects of Youth Flexible Assertive Community Treatment: outcomes of an 18-month observational study. Soc Psychiatry Psychiatr Epidemiol [Internet]. 2023 Jun 6 [cited 2023 Aug 9]; Available from: https://link.springer.com/10.1007/s00127-023-02508-x</w:t>
      </w:r>
    </w:p>
    <w:p w14:paraId="32A53256" w14:textId="77777777" w:rsidR="00937ACD" w:rsidRPr="00937ACD" w:rsidRDefault="00937ACD" w:rsidP="00937ACD">
      <w:pPr>
        <w:pStyle w:val="Bibliography"/>
        <w:rPr>
          <w:rFonts w:ascii="Aptos" w:hAnsi="Aptos"/>
        </w:rPr>
      </w:pPr>
      <w:r w:rsidRPr="00937ACD">
        <w:rPr>
          <w:rFonts w:ascii="Aptos" w:hAnsi="Aptos"/>
        </w:rPr>
        <w:lastRenderedPageBreak/>
        <w:t>147.</w:t>
      </w:r>
      <w:r w:rsidRPr="00937ACD">
        <w:rPr>
          <w:rFonts w:ascii="Aptos" w:hAnsi="Aptos"/>
        </w:rPr>
        <w:tab/>
        <w:t xml:space="preserve">Broersen M, Frieswijk N, Coolen R, Creemers DHM, Kroon H. Case Study in Youth Flexible Assertive Community Treatment: An Illustration of the Need for Integrated Care. Front Psychiatry. 2022 May 12;13:903523. </w:t>
      </w:r>
    </w:p>
    <w:p w14:paraId="0688EAAE" w14:textId="77777777" w:rsidR="00937ACD" w:rsidRPr="00937ACD" w:rsidRDefault="00937ACD" w:rsidP="00937ACD">
      <w:pPr>
        <w:pStyle w:val="Bibliography"/>
        <w:rPr>
          <w:rFonts w:ascii="Aptos" w:hAnsi="Aptos"/>
        </w:rPr>
      </w:pPr>
      <w:r w:rsidRPr="00937ACD">
        <w:rPr>
          <w:rFonts w:ascii="Aptos" w:hAnsi="Aptos"/>
        </w:rPr>
        <w:t>148.</w:t>
      </w:r>
      <w:r w:rsidRPr="00937ACD">
        <w:rPr>
          <w:rFonts w:ascii="Aptos" w:hAnsi="Aptos"/>
        </w:rPr>
        <w:tab/>
        <w:t>Baugh C, Blanchard E, Hopkins I, editors. Quality Standards for Liaison Psychiatry Services, Sixth Edition [Internet]. Psychiatric Liaison Accreditation Network (PLAN) &amp; Royal College of Psychiatrists; 2020. Available from: https://www.rcpsych.ac.uk/docs/default-source/improving-care/ccqi/quality-networks/psychiatric-liaison-services-plan/quality-standards-for-liaison-psychiatry-services---sixth-edition-20209b6be47cb0f249f697850e1222d6b6e1.pdf?sfvrsn=1ddd53f2_0</w:t>
      </w:r>
    </w:p>
    <w:p w14:paraId="4D9FDC18" w14:textId="77777777" w:rsidR="00937ACD" w:rsidRPr="00937ACD" w:rsidRDefault="00937ACD" w:rsidP="00937ACD">
      <w:pPr>
        <w:pStyle w:val="Bibliography"/>
        <w:rPr>
          <w:rFonts w:ascii="Aptos" w:hAnsi="Aptos"/>
        </w:rPr>
      </w:pPr>
      <w:r w:rsidRPr="00937ACD">
        <w:rPr>
          <w:rFonts w:ascii="Aptos" w:hAnsi="Aptos"/>
        </w:rPr>
        <w:t>149.</w:t>
      </w:r>
      <w:r w:rsidRPr="00937ACD">
        <w:rPr>
          <w:rFonts w:ascii="Aptos" w:hAnsi="Aptos"/>
        </w:rPr>
        <w:tab/>
        <w:t>CQC. Review of children and young people’s mental health services. Phase One supporting documentation: Summary of recent policy and literature [Internet]. Care Quality Commission; 2017. Available from: https://www.cqc.org.uk/sites/default/files/20171027_cypmhphase1_literaturereview.pdf</w:t>
      </w:r>
    </w:p>
    <w:p w14:paraId="08CB581E" w14:textId="77777777" w:rsidR="00937ACD" w:rsidRPr="00937ACD" w:rsidRDefault="00937ACD" w:rsidP="00937ACD">
      <w:pPr>
        <w:pStyle w:val="Bibliography"/>
        <w:rPr>
          <w:rFonts w:ascii="Aptos" w:hAnsi="Aptos"/>
        </w:rPr>
      </w:pPr>
      <w:r w:rsidRPr="00937ACD">
        <w:rPr>
          <w:rFonts w:ascii="Aptos" w:hAnsi="Aptos"/>
        </w:rPr>
        <w:t>150.</w:t>
      </w:r>
      <w:r w:rsidRPr="00937ACD">
        <w:rPr>
          <w:rFonts w:ascii="Aptos" w:hAnsi="Aptos"/>
        </w:rPr>
        <w:tab/>
        <w:t>Central &amp; North West London NHS Foundation Trust. Community Eating Disorder Service for Children and Young People [Internet]. Available from: https://www.cnwl.nhs.uk/services/mental-health-services/eating-disorders/community-eating-disorder-service-children-and-young-people</w:t>
      </w:r>
    </w:p>
    <w:p w14:paraId="7C0030BD" w14:textId="77777777" w:rsidR="00937ACD" w:rsidRPr="00937ACD" w:rsidRDefault="00937ACD" w:rsidP="00937ACD">
      <w:pPr>
        <w:pStyle w:val="Bibliography"/>
        <w:rPr>
          <w:rFonts w:ascii="Aptos" w:hAnsi="Aptos"/>
        </w:rPr>
      </w:pPr>
      <w:r w:rsidRPr="00937ACD">
        <w:rPr>
          <w:rFonts w:ascii="Aptos" w:hAnsi="Aptos"/>
        </w:rPr>
        <w:t>151.</w:t>
      </w:r>
      <w:r w:rsidRPr="00937ACD">
        <w:rPr>
          <w:rFonts w:ascii="Aptos" w:hAnsi="Aptos"/>
        </w:rPr>
        <w:tab/>
        <w:t>SAMHSA. Substance Abuse and Mental Health Services Administration: National Guidelines for Child and Youth Behavioral Health Crisis Care [Internet]. Substance Abuse and Mental Health Services Administration; 2022. Available from: https://store.samhsa.gov/sites/default/files/SAMHSA_Digital_Download/pep-22-01-02-001.pdf</w:t>
      </w:r>
    </w:p>
    <w:p w14:paraId="2E5ACB8E" w14:textId="77777777" w:rsidR="00937ACD" w:rsidRPr="00937ACD" w:rsidRDefault="00937ACD" w:rsidP="00937ACD">
      <w:pPr>
        <w:pStyle w:val="Bibliography"/>
        <w:rPr>
          <w:rFonts w:ascii="Aptos" w:hAnsi="Aptos"/>
        </w:rPr>
      </w:pPr>
      <w:r w:rsidRPr="00937ACD">
        <w:rPr>
          <w:rFonts w:ascii="Aptos" w:hAnsi="Aptos"/>
        </w:rPr>
        <w:t>152.</w:t>
      </w:r>
      <w:r w:rsidRPr="00937ACD">
        <w:rPr>
          <w:rFonts w:ascii="Aptos" w:hAnsi="Aptos"/>
        </w:rPr>
        <w:tab/>
        <w:t xml:space="preserve">Saxon V, Mukherjee D, Thomas D. Behavioral Health Crisis Stabilization Centers: A New Normal. J Mental Health &amp; Clin Psychology. 2018 May 1;2(3):23–6. </w:t>
      </w:r>
    </w:p>
    <w:p w14:paraId="6C3FDB07" w14:textId="77777777" w:rsidR="00937ACD" w:rsidRPr="00937ACD" w:rsidRDefault="00937ACD" w:rsidP="00937ACD">
      <w:pPr>
        <w:pStyle w:val="Bibliography"/>
        <w:rPr>
          <w:rFonts w:ascii="Aptos" w:hAnsi="Aptos"/>
        </w:rPr>
      </w:pPr>
      <w:r w:rsidRPr="00937ACD">
        <w:rPr>
          <w:rFonts w:ascii="Aptos" w:hAnsi="Aptos"/>
        </w:rPr>
        <w:t>153.</w:t>
      </w:r>
      <w:r w:rsidRPr="00937ACD">
        <w:rPr>
          <w:rFonts w:ascii="Aptos" w:hAnsi="Aptos"/>
        </w:rPr>
        <w:tab/>
        <w:t>Hamilton B, Fletcher J, Sands N, Roper C, Elsom S. Safewards Victorian Trial Final Evaluation Report [Internet]. The University of Melbourne; 2016. Available from: https://www.health.vic.gov.au/sites/default/files/migrated/files/collections/research-and-reports/s/safewards-final-evaluation-report.pdf</w:t>
      </w:r>
    </w:p>
    <w:p w14:paraId="68C29094" w14:textId="77777777" w:rsidR="00937ACD" w:rsidRPr="00937ACD" w:rsidRDefault="00937ACD" w:rsidP="00937ACD">
      <w:pPr>
        <w:pStyle w:val="Bibliography"/>
        <w:rPr>
          <w:rFonts w:ascii="Aptos" w:hAnsi="Aptos"/>
        </w:rPr>
      </w:pPr>
      <w:r w:rsidRPr="00937ACD">
        <w:rPr>
          <w:rFonts w:ascii="Aptos" w:hAnsi="Aptos"/>
        </w:rPr>
        <w:t>154.</w:t>
      </w:r>
      <w:r w:rsidRPr="00937ACD">
        <w:rPr>
          <w:rFonts w:ascii="Aptos" w:hAnsi="Aptos"/>
        </w:rPr>
        <w:tab/>
        <w:t>Hottinen A, Rytilä</w:t>
      </w:r>
      <w:r w:rsidRPr="00937ACD">
        <w:rPr>
          <w:rFonts w:ascii="Cambria Math" w:hAnsi="Cambria Math" w:cs="Cambria Math"/>
        </w:rPr>
        <w:t>‐</w:t>
      </w:r>
      <w:r w:rsidRPr="00937ACD">
        <w:rPr>
          <w:rFonts w:ascii="Aptos" w:hAnsi="Aptos"/>
        </w:rPr>
        <w:t>Manninen M, Laur</w:t>
      </w:r>
      <w:r w:rsidRPr="00937ACD">
        <w:rPr>
          <w:rFonts w:ascii="Aptos" w:hAnsi="Aptos" w:cs="Aptos"/>
        </w:rPr>
        <w:t>é</w:t>
      </w:r>
      <w:r w:rsidRPr="00937ACD">
        <w:rPr>
          <w:rFonts w:ascii="Aptos" w:hAnsi="Aptos"/>
        </w:rPr>
        <w:t>n J, Autio S, Laiho T, Lindberg N. Impact of the implementation of the safewards model on the social climate on adolescent psychiatric wards. Int J Mental Health Nurs. 2020 Jun;29(3):399</w:t>
      </w:r>
      <w:r w:rsidRPr="00937ACD">
        <w:rPr>
          <w:rFonts w:ascii="Aptos" w:hAnsi="Aptos" w:cs="Aptos"/>
        </w:rPr>
        <w:t>–</w:t>
      </w:r>
      <w:r w:rsidRPr="00937ACD">
        <w:rPr>
          <w:rFonts w:ascii="Aptos" w:hAnsi="Aptos"/>
        </w:rPr>
        <w:t xml:space="preserve">405. </w:t>
      </w:r>
    </w:p>
    <w:p w14:paraId="0B31737B" w14:textId="77777777" w:rsidR="00937ACD" w:rsidRPr="00937ACD" w:rsidRDefault="00937ACD" w:rsidP="00937ACD">
      <w:pPr>
        <w:pStyle w:val="Bibliography"/>
        <w:rPr>
          <w:rFonts w:ascii="Aptos" w:hAnsi="Aptos"/>
        </w:rPr>
      </w:pPr>
      <w:r w:rsidRPr="00937ACD">
        <w:rPr>
          <w:rFonts w:ascii="Aptos" w:hAnsi="Aptos"/>
        </w:rPr>
        <w:t>155.</w:t>
      </w:r>
      <w:r w:rsidRPr="00937ACD">
        <w:rPr>
          <w:rFonts w:ascii="Aptos" w:hAnsi="Aptos"/>
        </w:rPr>
        <w:tab/>
        <w:t>Westling S. Brief Admission for Adolescents Who Self-Harm ClinicalTrials.gov Protocol [Internet]. 2022. Available from: https://classic.clinicaltrials.gov/ct2/show/NCT04962373</w:t>
      </w:r>
    </w:p>
    <w:p w14:paraId="0327F6E0" w14:textId="77777777" w:rsidR="00937ACD" w:rsidRPr="00937ACD" w:rsidRDefault="00937ACD" w:rsidP="00937ACD">
      <w:pPr>
        <w:pStyle w:val="Bibliography"/>
        <w:rPr>
          <w:rFonts w:ascii="Aptos" w:hAnsi="Aptos"/>
        </w:rPr>
      </w:pPr>
      <w:r w:rsidRPr="00937ACD">
        <w:rPr>
          <w:rFonts w:ascii="Aptos" w:hAnsi="Aptos"/>
        </w:rPr>
        <w:t>156.</w:t>
      </w:r>
      <w:r w:rsidRPr="00937ACD">
        <w:rPr>
          <w:rFonts w:ascii="Aptos" w:hAnsi="Aptos"/>
        </w:rPr>
        <w:tab/>
        <w:t>South West London and St George’s Mental Health NHS Trust [Internet]. n.d. Corner House - National Deaf CAMHS. Available from: https://www.swlstg.nhs.uk/our-services/find-a-service/service/corner-house-national-deaf-camhs#:~:text=Corner%20House%20is%20a%20six,complex%20emotional%20and%20psychological%20problems.</w:t>
      </w:r>
    </w:p>
    <w:p w14:paraId="2F36A3E7" w14:textId="77777777" w:rsidR="00937ACD" w:rsidRPr="00937ACD" w:rsidRDefault="00937ACD" w:rsidP="00937ACD">
      <w:pPr>
        <w:pStyle w:val="Bibliography"/>
        <w:rPr>
          <w:rFonts w:ascii="Aptos" w:hAnsi="Aptos"/>
        </w:rPr>
      </w:pPr>
      <w:r w:rsidRPr="00937ACD">
        <w:rPr>
          <w:rFonts w:ascii="Aptos" w:hAnsi="Aptos"/>
        </w:rPr>
        <w:t>157.</w:t>
      </w:r>
      <w:r w:rsidRPr="00937ACD">
        <w:rPr>
          <w:rFonts w:ascii="Aptos" w:hAnsi="Aptos"/>
        </w:rPr>
        <w:tab/>
        <w:t>Central and North West London NHS Foundation Trust. Collingham Inpatient Service [Internet]. 2023. Available from: https://www.cnwl.nhs.uk/camhs/our-services/inpatient/collingham-inpatient-service-2</w:t>
      </w:r>
    </w:p>
    <w:p w14:paraId="06FCA0B9" w14:textId="14C594FF" w:rsidR="007A776E" w:rsidRDefault="00937ACD">
      <w:r>
        <w:lastRenderedPageBreak/>
        <w:fldChar w:fldCharType="end"/>
      </w:r>
    </w:p>
    <w:sectPr w:rsidR="007A77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D356D"/>
    <w:multiLevelType w:val="hybridMultilevel"/>
    <w:tmpl w:val="279A8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AF4BF3"/>
    <w:multiLevelType w:val="multilevel"/>
    <w:tmpl w:val="F03A90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E3C10"/>
    <w:multiLevelType w:val="multilevel"/>
    <w:tmpl w:val="ECA8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AFFE66"/>
    <w:multiLevelType w:val="hybridMultilevel"/>
    <w:tmpl w:val="D036629C"/>
    <w:lvl w:ilvl="0" w:tplc="73A897AC">
      <w:start w:val="1"/>
      <w:numFmt w:val="decimal"/>
      <w:lvlText w:val="%1."/>
      <w:lvlJc w:val="left"/>
      <w:pPr>
        <w:ind w:left="720" w:hanging="360"/>
      </w:pPr>
    </w:lvl>
    <w:lvl w:ilvl="1" w:tplc="266EC5C8">
      <w:start w:val="1"/>
      <w:numFmt w:val="lowerLetter"/>
      <w:lvlText w:val="%2."/>
      <w:lvlJc w:val="left"/>
      <w:pPr>
        <w:ind w:left="1440" w:hanging="360"/>
      </w:pPr>
    </w:lvl>
    <w:lvl w:ilvl="2" w:tplc="19E01A1C">
      <w:start w:val="1"/>
      <w:numFmt w:val="lowerRoman"/>
      <w:lvlText w:val="%3."/>
      <w:lvlJc w:val="right"/>
      <w:pPr>
        <w:ind w:left="2160" w:hanging="180"/>
      </w:pPr>
    </w:lvl>
    <w:lvl w:ilvl="3" w:tplc="00480A4A">
      <w:start w:val="1"/>
      <w:numFmt w:val="decimal"/>
      <w:lvlText w:val="%4."/>
      <w:lvlJc w:val="left"/>
      <w:pPr>
        <w:ind w:left="2880" w:hanging="360"/>
      </w:pPr>
    </w:lvl>
    <w:lvl w:ilvl="4" w:tplc="2BF82A62">
      <w:start w:val="1"/>
      <w:numFmt w:val="lowerLetter"/>
      <w:lvlText w:val="%5."/>
      <w:lvlJc w:val="left"/>
      <w:pPr>
        <w:ind w:left="3600" w:hanging="360"/>
      </w:pPr>
    </w:lvl>
    <w:lvl w:ilvl="5" w:tplc="5DA283F8">
      <w:start w:val="1"/>
      <w:numFmt w:val="lowerRoman"/>
      <w:lvlText w:val="%6."/>
      <w:lvlJc w:val="right"/>
      <w:pPr>
        <w:ind w:left="4320" w:hanging="180"/>
      </w:pPr>
    </w:lvl>
    <w:lvl w:ilvl="6" w:tplc="55E8FF5A">
      <w:start w:val="1"/>
      <w:numFmt w:val="decimal"/>
      <w:lvlText w:val="%7."/>
      <w:lvlJc w:val="left"/>
      <w:pPr>
        <w:ind w:left="5040" w:hanging="360"/>
      </w:pPr>
    </w:lvl>
    <w:lvl w:ilvl="7" w:tplc="BF48CD4E">
      <w:start w:val="1"/>
      <w:numFmt w:val="lowerLetter"/>
      <w:lvlText w:val="%8."/>
      <w:lvlJc w:val="left"/>
      <w:pPr>
        <w:ind w:left="5760" w:hanging="360"/>
      </w:pPr>
    </w:lvl>
    <w:lvl w:ilvl="8" w:tplc="D9507838">
      <w:start w:val="1"/>
      <w:numFmt w:val="lowerRoman"/>
      <w:lvlText w:val="%9."/>
      <w:lvlJc w:val="right"/>
      <w:pPr>
        <w:ind w:left="6480" w:hanging="180"/>
      </w:pPr>
    </w:lvl>
  </w:abstractNum>
  <w:abstractNum w:abstractNumId="4" w15:restartNumberingAfterBreak="0">
    <w:nsid w:val="0AE80938"/>
    <w:multiLevelType w:val="multilevel"/>
    <w:tmpl w:val="C3FC5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9707B4"/>
    <w:multiLevelType w:val="multilevel"/>
    <w:tmpl w:val="5FA6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CEE1AA"/>
    <w:multiLevelType w:val="hybridMultilevel"/>
    <w:tmpl w:val="E81AC606"/>
    <w:lvl w:ilvl="0" w:tplc="4D8A2484">
      <w:start w:val="1"/>
      <w:numFmt w:val="decimal"/>
      <w:lvlText w:val="%1."/>
      <w:lvlJc w:val="left"/>
      <w:pPr>
        <w:ind w:left="720" w:hanging="360"/>
      </w:pPr>
    </w:lvl>
    <w:lvl w:ilvl="1" w:tplc="31F04A04">
      <w:start w:val="1"/>
      <w:numFmt w:val="lowerLetter"/>
      <w:lvlText w:val="%2."/>
      <w:lvlJc w:val="left"/>
      <w:pPr>
        <w:ind w:left="1440" w:hanging="360"/>
      </w:pPr>
    </w:lvl>
    <w:lvl w:ilvl="2" w:tplc="13F03A12">
      <w:start w:val="1"/>
      <w:numFmt w:val="lowerRoman"/>
      <w:lvlText w:val="%3."/>
      <w:lvlJc w:val="right"/>
      <w:pPr>
        <w:ind w:left="2160" w:hanging="180"/>
      </w:pPr>
    </w:lvl>
    <w:lvl w:ilvl="3" w:tplc="11F4311E">
      <w:start w:val="1"/>
      <w:numFmt w:val="decimal"/>
      <w:lvlText w:val="%4."/>
      <w:lvlJc w:val="left"/>
      <w:pPr>
        <w:ind w:left="2880" w:hanging="360"/>
      </w:pPr>
    </w:lvl>
    <w:lvl w:ilvl="4" w:tplc="B0F42AC4">
      <w:start w:val="1"/>
      <w:numFmt w:val="lowerLetter"/>
      <w:lvlText w:val="%5."/>
      <w:lvlJc w:val="left"/>
      <w:pPr>
        <w:ind w:left="3600" w:hanging="360"/>
      </w:pPr>
    </w:lvl>
    <w:lvl w:ilvl="5" w:tplc="EC16B23A">
      <w:start w:val="1"/>
      <w:numFmt w:val="lowerRoman"/>
      <w:lvlText w:val="%6."/>
      <w:lvlJc w:val="right"/>
      <w:pPr>
        <w:ind w:left="4320" w:hanging="180"/>
      </w:pPr>
    </w:lvl>
    <w:lvl w:ilvl="6" w:tplc="E5C445FE">
      <w:start w:val="1"/>
      <w:numFmt w:val="decimal"/>
      <w:lvlText w:val="%7."/>
      <w:lvlJc w:val="left"/>
      <w:pPr>
        <w:ind w:left="5040" w:hanging="360"/>
      </w:pPr>
    </w:lvl>
    <w:lvl w:ilvl="7" w:tplc="8A3E1012">
      <w:start w:val="1"/>
      <w:numFmt w:val="lowerLetter"/>
      <w:lvlText w:val="%8."/>
      <w:lvlJc w:val="left"/>
      <w:pPr>
        <w:ind w:left="5760" w:hanging="360"/>
      </w:pPr>
    </w:lvl>
    <w:lvl w:ilvl="8" w:tplc="EDFA17FA">
      <w:start w:val="1"/>
      <w:numFmt w:val="lowerRoman"/>
      <w:lvlText w:val="%9."/>
      <w:lvlJc w:val="right"/>
      <w:pPr>
        <w:ind w:left="6480" w:hanging="180"/>
      </w:pPr>
    </w:lvl>
  </w:abstractNum>
  <w:abstractNum w:abstractNumId="7" w15:restartNumberingAfterBreak="0">
    <w:nsid w:val="1AD05D80"/>
    <w:multiLevelType w:val="multilevel"/>
    <w:tmpl w:val="9BBA9D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23503B"/>
    <w:multiLevelType w:val="hybridMultilevel"/>
    <w:tmpl w:val="679414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793056"/>
    <w:multiLevelType w:val="multilevel"/>
    <w:tmpl w:val="0E8A0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7D96D9"/>
    <w:multiLevelType w:val="hybridMultilevel"/>
    <w:tmpl w:val="F6C43E58"/>
    <w:lvl w:ilvl="0" w:tplc="206C2228">
      <w:start w:val="1"/>
      <w:numFmt w:val="bullet"/>
      <w:lvlText w:val=""/>
      <w:lvlJc w:val="left"/>
      <w:pPr>
        <w:ind w:left="720" w:hanging="360"/>
      </w:pPr>
      <w:rPr>
        <w:rFonts w:ascii="Symbol" w:hAnsi="Symbol" w:hint="default"/>
      </w:rPr>
    </w:lvl>
    <w:lvl w:ilvl="1" w:tplc="E0B4EB26">
      <w:start w:val="1"/>
      <w:numFmt w:val="bullet"/>
      <w:lvlText w:val="o"/>
      <w:lvlJc w:val="left"/>
      <w:pPr>
        <w:ind w:left="1440" w:hanging="360"/>
      </w:pPr>
      <w:rPr>
        <w:rFonts w:ascii="Courier New" w:hAnsi="Courier New" w:hint="default"/>
      </w:rPr>
    </w:lvl>
    <w:lvl w:ilvl="2" w:tplc="CADC0E06">
      <w:start w:val="1"/>
      <w:numFmt w:val="bullet"/>
      <w:lvlText w:val=""/>
      <w:lvlJc w:val="left"/>
      <w:pPr>
        <w:ind w:left="2160" w:hanging="360"/>
      </w:pPr>
      <w:rPr>
        <w:rFonts w:ascii="Wingdings" w:hAnsi="Wingdings" w:hint="default"/>
      </w:rPr>
    </w:lvl>
    <w:lvl w:ilvl="3" w:tplc="42FE5DDE">
      <w:start w:val="1"/>
      <w:numFmt w:val="bullet"/>
      <w:lvlText w:val=""/>
      <w:lvlJc w:val="left"/>
      <w:pPr>
        <w:ind w:left="2880" w:hanging="360"/>
      </w:pPr>
      <w:rPr>
        <w:rFonts w:ascii="Symbol" w:hAnsi="Symbol" w:hint="default"/>
      </w:rPr>
    </w:lvl>
    <w:lvl w:ilvl="4" w:tplc="772E81D0">
      <w:start w:val="1"/>
      <w:numFmt w:val="bullet"/>
      <w:lvlText w:val="o"/>
      <w:lvlJc w:val="left"/>
      <w:pPr>
        <w:ind w:left="3600" w:hanging="360"/>
      </w:pPr>
      <w:rPr>
        <w:rFonts w:ascii="Courier New" w:hAnsi="Courier New" w:hint="default"/>
      </w:rPr>
    </w:lvl>
    <w:lvl w:ilvl="5" w:tplc="79CC0828">
      <w:start w:val="1"/>
      <w:numFmt w:val="bullet"/>
      <w:lvlText w:val=""/>
      <w:lvlJc w:val="left"/>
      <w:pPr>
        <w:ind w:left="4320" w:hanging="360"/>
      </w:pPr>
      <w:rPr>
        <w:rFonts w:ascii="Wingdings" w:hAnsi="Wingdings" w:hint="default"/>
      </w:rPr>
    </w:lvl>
    <w:lvl w:ilvl="6" w:tplc="68D643AA">
      <w:start w:val="1"/>
      <w:numFmt w:val="bullet"/>
      <w:lvlText w:val=""/>
      <w:lvlJc w:val="left"/>
      <w:pPr>
        <w:ind w:left="5040" w:hanging="360"/>
      </w:pPr>
      <w:rPr>
        <w:rFonts w:ascii="Symbol" w:hAnsi="Symbol" w:hint="default"/>
      </w:rPr>
    </w:lvl>
    <w:lvl w:ilvl="7" w:tplc="50CCF8A0">
      <w:start w:val="1"/>
      <w:numFmt w:val="bullet"/>
      <w:lvlText w:val="o"/>
      <w:lvlJc w:val="left"/>
      <w:pPr>
        <w:ind w:left="5760" w:hanging="360"/>
      </w:pPr>
      <w:rPr>
        <w:rFonts w:ascii="Courier New" w:hAnsi="Courier New" w:hint="default"/>
      </w:rPr>
    </w:lvl>
    <w:lvl w:ilvl="8" w:tplc="C9CAE3B8">
      <w:start w:val="1"/>
      <w:numFmt w:val="bullet"/>
      <w:lvlText w:val=""/>
      <w:lvlJc w:val="left"/>
      <w:pPr>
        <w:ind w:left="6480" w:hanging="360"/>
      </w:pPr>
      <w:rPr>
        <w:rFonts w:ascii="Wingdings" w:hAnsi="Wingdings" w:hint="default"/>
      </w:rPr>
    </w:lvl>
  </w:abstractNum>
  <w:abstractNum w:abstractNumId="11" w15:restartNumberingAfterBreak="0">
    <w:nsid w:val="22C76D83"/>
    <w:multiLevelType w:val="multilevel"/>
    <w:tmpl w:val="F6FCE4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6B52459"/>
    <w:multiLevelType w:val="multilevel"/>
    <w:tmpl w:val="2368D4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A50757E"/>
    <w:multiLevelType w:val="multilevel"/>
    <w:tmpl w:val="67C45A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8E4542"/>
    <w:multiLevelType w:val="hybridMultilevel"/>
    <w:tmpl w:val="66FE9F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3FD273B"/>
    <w:multiLevelType w:val="multilevel"/>
    <w:tmpl w:val="9C3C3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A73B4D"/>
    <w:multiLevelType w:val="hybridMultilevel"/>
    <w:tmpl w:val="D9B0D4A2"/>
    <w:lvl w:ilvl="0" w:tplc="CBEA5C58">
      <w:start w:val="1"/>
      <w:numFmt w:val="bullet"/>
      <w:lvlText w:val=""/>
      <w:lvlJc w:val="left"/>
      <w:pPr>
        <w:ind w:left="720" w:hanging="360"/>
      </w:pPr>
      <w:rPr>
        <w:rFonts w:ascii="Symbol" w:hAnsi="Symbol" w:hint="default"/>
      </w:rPr>
    </w:lvl>
    <w:lvl w:ilvl="1" w:tplc="1EA027D4">
      <w:start w:val="1"/>
      <w:numFmt w:val="bullet"/>
      <w:lvlText w:val="o"/>
      <w:lvlJc w:val="left"/>
      <w:pPr>
        <w:ind w:left="1440" w:hanging="360"/>
      </w:pPr>
      <w:rPr>
        <w:rFonts w:ascii="Courier New" w:hAnsi="Courier New" w:hint="default"/>
      </w:rPr>
    </w:lvl>
    <w:lvl w:ilvl="2" w:tplc="349A40CE">
      <w:start w:val="1"/>
      <w:numFmt w:val="bullet"/>
      <w:lvlText w:val=""/>
      <w:lvlJc w:val="left"/>
      <w:pPr>
        <w:ind w:left="2160" w:hanging="360"/>
      </w:pPr>
      <w:rPr>
        <w:rFonts w:ascii="Wingdings" w:hAnsi="Wingdings" w:hint="default"/>
      </w:rPr>
    </w:lvl>
    <w:lvl w:ilvl="3" w:tplc="9D7899EE">
      <w:start w:val="1"/>
      <w:numFmt w:val="bullet"/>
      <w:lvlText w:val=""/>
      <w:lvlJc w:val="left"/>
      <w:pPr>
        <w:ind w:left="2880" w:hanging="360"/>
      </w:pPr>
      <w:rPr>
        <w:rFonts w:ascii="Symbol" w:hAnsi="Symbol" w:hint="default"/>
      </w:rPr>
    </w:lvl>
    <w:lvl w:ilvl="4" w:tplc="B53A1552">
      <w:start w:val="1"/>
      <w:numFmt w:val="bullet"/>
      <w:lvlText w:val="o"/>
      <w:lvlJc w:val="left"/>
      <w:pPr>
        <w:ind w:left="3600" w:hanging="360"/>
      </w:pPr>
      <w:rPr>
        <w:rFonts w:ascii="Courier New" w:hAnsi="Courier New" w:hint="default"/>
      </w:rPr>
    </w:lvl>
    <w:lvl w:ilvl="5" w:tplc="35BAAE02">
      <w:start w:val="1"/>
      <w:numFmt w:val="bullet"/>
      <w:lvlText w:val=""/>
      <w:lvlJc w:val="left"/>
      <w:pPr>
        <w:ind w:left="4320" w:hanging="360"/>
      </w:pPr>
      <w:rPr>
        <w:rFonts w:ascii="Wingdings" w:hAnsi="Wingdings" w:hint="default"/>
      </w:rPr>
    </w:lvl>
    <w:lvl w:ilvl="6" w:tplc="25A81842">
      <w:start w:val="1"/>
      <w:numFmt w:val="bullet"/>
      <w:lvlText w:val=""/>
      <w:lvlJc w:val="left"/>
      <w:pPr>
        <w:ind w:left="5040" w:hanging="360"/>
      </w:pPr>
      <w:rPr>
        <w:rFonts w:ascii="Symbol" w:hAnsi="Symbol" w:hint="default"/>
      </w:rPr>
    </w:lvl>
    <w:lvl w:ilvl="7" w:tplc="08FA9A92">
      <w:start w:val="1"/>
      <w:numFmt w:val="bullet"/>
      <w:lvlText w:val="o"/>
      <w:lvlJc w:val="left"/>
      <w:pPr>
        <w:ind w:left="5760" w:hanging="360"/>
      </w:pPr>
      <w:rPr>
        <w:rFonts w:ascii="Courier New" w:hAnsi="Courier New" w:hint="default"/>
      </w:rPr>
    </w:lvl>
    <w:lvl w:ilvl="8" w:tplc="75D04DF4">
      <w:start w:val="1"/>
      <w:numFmt w:val="bullet"/>
      <w:lvlText w:val=""/>
      <w:lvlJc w:val="left"/>
      <w:pPr>
        <w:ind w:left="6480" w:hanging="360"/>
      </w:pPr>
      <w:rPr>
        <w:rFonts w:ascii="Wingdings" w:hAnsi="Wingdings" w:hint="default"/>
      </w:rPr>
    </w:lvl>
  </w:abstractNum>
  <w:abstractNum w:abstractNumId="17" w15:restartNumberingAfterBreak="0">
    <w:nsid w:val="3B137E8B"/>
    <w:multiLevelType w:val="hybridMultilevel"/>
    <w:tmpl w:val="77D81C9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C3D338C"/>
    <w:multiLevelType w:val="multilevel"/>
    <w:tmpl w:val="934A1B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877FF0"/>
    <w:multiLevelType w:val="multilevel"/>
    <w:tmpl w:val="DCE83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7F3B95"/>
    <w:multiLevelType w:val="hybridMultilevel"/>
    <w:tmpl w:val="0E7AD9BE"/>
    <w:lvl w:ilvl="0" w:tplc="C9BA7DAE">
      <w:start w:val="1"/>
      <w:numFmt w:val="bullet"/>
      <w:lvlText w:val=""/>
      <w:lvlJc w:val="left"/>
      <w:pPr>
        <w:ind w:left="720" w:hanging="360"/>
      </w:pPr>
      <w:rPr>
        <w:rFonts w:ascii="Symbol" w:hAnsi="Symbol" w:hint="default"/>
      </w:rPr>
    </w:lvl>
    <w:lvl w:ilvl="1" w:tplc="08260142">
      <w:start w:val="1"/>
      <w:numFmt w:val="bullet"/>
      <w:lvlText w:val="o"/>
      <w:lvlJc w:val="left"/>
      <w:pPr>
        <w:ind w:left="1440" w:hanging="360"/>
      </w:pPr>
      <w:rPr>
        <w:rFonts w:ascii="Courier New" w:hAnsi="Courier New" w:hint="default"/>
      </w:rPr>
    </w:lvl>
    <w:lvl w:ilvl="2" w:tplc="801045FA">
      <w:start w:val="1"/>
      <w:numFmt w:val="bullet"/>
      <w:lvlText w:val=""/>
      <w:lvlJc w:val="left"/>
      <w:pPr>
        <w:ind w:left="2160" w:hanging="360"/>
      </w:pPr>
      <w:rPr>
        <w:rFonts w:ascii="Wingdings" w:hAnsi="Wingdings" w:hint="default"/>
      </w:rPr>
    </w:lvl>
    <w:lvl w:ilvl="3" w:tplc="EF8C8CB2">
      <w:start w:val="1"/>
      <w:numFmt w:val="bullet"/>
      <w:lvlText w:val=""/>
      <w:lvlJc w:val="left"/>
      <w:pPr>
        <w:ind w:left="2880" w:hanging="360"/>
      </w:pPr>
      <w:rPr>
        <w:rFonts w:ascii="Symbol" w:hAnsi="Symbol" w:hint="default"/>
      </w:rPr>
    </w:lvl>
    <w:lvl w:ilvl="4" w:tplc="32F6775A">
      <w:start w:val="1"/>
      <w:numFmt w:val="bullet"/>
      <w:lvlText w:val="o"/>
      <w:lvlJc w:val="left"/>
      <w:pPr>
        <w:ind w:left="3600" w:hanging="360"/>
      </w:pPr>
      <w:rPr>
        <w:rFonts w:ascii="Courier New" w:hAnsi="Courier New" w:hint="default"/>
      </w:rPr>
    </w:lvl>
    <w:lvl w:ilvl="5" w:tplc="1A7A0A00">
      <w:start w:val="1"/>
      <w:numFmt w:val="bullet"/>
      <w:lvlText w:val=""/>
      <w:lvlJc w:val="left"/>
      <w:pPr>
        <w:ind w:left="4320" w:hanging="360"/>
      </w:pPr>
      <w:rPr>
        <w:rFonts w:ascii="Wingdings" w:hAnsi="Wingdings" w:hint="default"/>
      </w:rPr>
    </w:lvl>
    <w:lvl w:ilvl="6" w:tplc="1706AA32">
      <w:start w:val="1"/>
      <w:numFmt w:val="bullet"/>
      <w:lvlText w:val=""/>
      <w:lvlJc w:val="left"/>
      <w:pPr>
        <w:ind w:left="5040" w:hanging="360"/>
      </w:pPr>
      <w:rPr>
        <w:rFonts w:ascii="Symbol" w:hAnsi="Symbol" w:hint="default"/>
      </w:rPr>
    </w:lvl>
    <w:lvl w:ilvl="7" w:tplc="B3BA6CBE">
      <w:start w:val="1"/>
      <w:numFmt w:val="bullet"/>
      <w:lvlText w:val="o"/>
      <w:lvlJc w:val="left"/>
      <w:pPr>
        <w:ind w:left="5760" w:hanging="360"/>
      </w:pPr>
      <w:rPr>
        <w:rFonts w:ascii="Courier New" w:hAnsi="Courier New" w:hint="default"/>
      </w:rPr>
    </w:lvl>
    <w:lvl w:ilvl="8" w:tplc="1D7C8466">
      <w:start w:val="1"/>
      <w:numFmt w:val="bullet"/>
      <w:lvlText w:val=""/>
      <w:lvlJc w:val="left"/>
      <w:pPr>
        <w:ind w:left="6480" w:hanging="360"/>
      </w:pPr>
      <w:rPr>
        <w:rFonts w:ascii="Wingdings" w:hAnsi="Wingdings" w:hint="default"/>
      </w:rPr>
    </w:lvl>
  </w:abstractNum>
  <w:abstractNum w:abstractNumId="21" w15:restartNumberingAfterBreak="0">
    <w:nsid w:val="42BD1658"/>
    <w:multiLevelType w:val="multilevel"/>
    <w:tmpl w:val="B554D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5940CDC"/>
    <w:multiLevelType w:val="multilevel"/>
    <w:tmpl w:val="FB602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7C81972"/>
    <w:multiLevelType w:val="multilevel"/>
    <w:tmpl w:val="C8142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1704D2"/>
    <w:multiLevelType w:val="multilevel"/>
    <w:tmpl w:val="3D3C8E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E64F39"/>
    <w:multiLevelType w:val="hybridMultilevel"/>
    <w:tmpl w:val="58D8CA2A"/>
    <w:lvl w:ilvl="0" w:tplc="0F301D3A">
      <w:start w:val="19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66DC50C"/>
    <w:multiLevelType w:val="hybridMultilevel"/>
    <w:tmpl w:val="650A959A"/>
    <w:lvl w:ilvl="0" w:tplc="A2DEC6C2">
      <w:start w:val="1"/>
      <w:numFmt w:val="bullet"/>
      <w:lvlText w:val=""/>
      <w:lvlJc w:val="left"/>
      <w:pPr>
        <w:ind w:left="720" w:hanging="360"/>
      </w:pPr>
      <w:rPr>
        <w:rFonts w:ascii="Symbol" w:hAnsi="Symbol" w:hint="default"/>
      </w:rPr>
    </w:lvl>
    <w:lvl w:ilvl="1" w:tplc="9B3251E0">
      <w:start w:val="1"/>
      <w:numFmt w:val="bullet"/>
      <w:lvlText w:val="o"/>
      <w:lvlJc w:val="left"/>
      <w:pPr>
        <w:ind w:left="1440" w:hanging="360"/>
      </w:pPr>
      <w:rPr>
        <w:rFonts w:ascii="Courier New" w:hAnsi="Courier New" w:hint="default"/>
      </w:rPr>
    </w:lvl>
    <w:lvl w:ilvl="2" w:tplc="8140E766">
      <w:start w:val="1"/>
      <w:numFmt w:val="bullet"/>
      <w:lvlText w:val=""/>
      <w:lvlJc w:val="left"/>
      <w:pPr>
        <w:ind w:left="2160" w:hanging="360"/>
      </w:pPr>
      <w:rPr>
        <w:rFonts w:ascii="Wingdings" w:hAnsi="Wingdings" w:hint="default"/>
      </w:rPr>
    </w:lvl>
    <w:lvl w:ilvl="3" w:tplc="FAA639BA">
      <w:start w:val="1"/>
      <w:numFmt w:val="bullet"/>
      <w:lvlText w:val=""/>
      <w:lvlJc w:val="left"/>
      <w:pPr>
        <w:ind w:left="2880" w:hanging="360"/>
      </w:pPr>
      <w:rPr>
        <w:rFonts w:ascii="Symbol" w:hAnsi="Symbol" w:hint="default"/>
      </w:rPr>
    </w:lvl>
    <w:lvl w:ilvl="4" w:tplc="DDE08710">
      <w:start w:val="1"/>
      <w:numFmt w:val="bullet"/>
      <w:lvlText w:val="o"/>
      <w:lvlJc w:val="left"/>
      <w:pPr>
        <w:ind w:left="3600" w:hanging="360"/>
      </w:pPr>
      <w:rPr>
        <w:rFonts w:ascii="Courier New" w:hAnsi="Courier New" w:hint="default"/>
      </w:rPr>
    </w:lvl>
    <w:lvl w:ilvl="5" w:tplc="02E08440">
      <w:start w:val="1"/>
      <w:numFmt w:val="bullet"/>
      <w:lvlText w:val=""/>
      <w:lvlJc w:val="left"/>
      <w:pPr>
        <w:ind w:left="4320" w:hanging="360"/>
      </w:pPr>
      <w:rPr>
        <w:rFonts w:ascii="Wingdings" w:hAnsi="Wingdings" w:hint="default"/>
      </w:rPr>
    </w:lvl>
    <w:lvl w:ilvl="6" w:tplc="29A62E4A">
      <w:start w:val="1"/>
      <w:numFmt w:val="bullet"/>
      <w:lvlText w:val=""/>
      <w:lvlJc w:val="left"/>
      <w:pPr>
        <w:ind w:left="5040" w:hanging="360"/>
      </w:pPr>
      <w:rPr>
        <w:rFonts w:ascii="Symbol" w:hAnsi="Symbol" w:hint="default"/>
      </w:rPr>
    </w:lvl>
    <w:lvl w:ilvl="7" w:tplc="3AA411A2">
      <w:start w:val="1"/>
      <w:numFmt w:val="bullet"/>
      <w:lvlText w:val="o"/>
      <w:lvlJc w:val="left"/>
      <w:pPr>
        <w:ind w:left="5760" w:hanging="360"/>
      </w:pPr>
      <w:rPr>
        <w:rFonts w:ascii="Courier New" w:hAnsi="Courier New" w:hint="default"/>
      </w:rPr>
    </w:lvl>
    <w:lvl w:ilvl="8" w:tplc="E60E2CC0">
      <w:start w:val="1"/>
      <w:numFmt w:val="bullet"/>
      <w:lvlText w:val=""/>
      <w:lvlJc w:val="left"/>
      <w:pPr>
        <w:ind w:left="6480" w:hanging="360"/>
      </w:pPr>
      <w:rPr>
        <w:rFonts w:ascii="Wingdings" w:hAnsi="Wingdings" w:hint="default"/>
      </w:rPr>
    </w:lvl>
  </w:abstractNum>
  <w:abstractNum w:abstractNumId="27" w15:restartNumberingAfterBreak="0">
    <w:nsid w:val="567A8EBB"/>
    <w:multiLevelType w:val="hybridMultilevel"/>
    <w:tmpl w:val="CDFCF930"/>
    <w:lvl w:ilvl="0" w:tplc="47B41454">
      <w:start w:val="1"/>
      <w:numFmt w:val="bullet"/>
      <w:lvlText w:val=""/>
      <w:lvlJc w:val="left"/>
      <w:pPr>
        <w:ind w:left="720" w:hanging="360"/>
      </w:pPr>
      <w:rPr>
        <w:rFonts w:ascii="Symbol" w:hAnsi="Symbol" w:hint="default"/>
      </w:rPr>
    </w:lvl>
    <w:lvl w:ilvl="1" w:tplc="44BE8F22">
      <w:start w:val="1"/>
      <w:numFmt w:val="bullet"/>
      <w:lvlText w:val="o"/>
      <w:lvlJc w:val="left"/>
      <w:pPr>
        <w:ind w:left="1440" w:hanging="360"/>
      </w:pPr>
      <w:rPr>
        <w:rFonts w:ascii="Courier New" w:hAnsi="Courier New" w:hint="default"/>
      </w:rPr>
    </w:lvl>
    <w:lvl w:ilvl="2" w:tplc="AD647710">
      <w:start w:val="1"/>
      <w:numFmt w:val="bullet"/>
      <w:lvlText w:val=""/>
      <w:lvlJc w:val="left"/>
      <w:pPr>
        <w:ind w:left="2160" w:hanging="360"/>
      </w:pPr>
      <w:rPr>
        <w:rFonts w:ascii="Wingdings" w:hAnsi="Wingdings" w:hint="default"/>
      </w:rPr>
    </w:lvl>
    <w:lvl w:ilvl="3" w:tplc="3424CA36">
      <w:start w:val="1"/>
      <w:numFmt w:val="bullet"/>
      <w:lvlText w:val=""/>
      <w:lvlJc w:val="left"/>
      <w:pPr>
        <w:ind w:left="2880" w:hanging="360"/>
      </w:pPr>
      <w:rPr>
        <w:rFonts w:ascii="Symbol" w:hAnsi="Symbol" w:hint="default"/>
      </w:rPr>
    </w:lvl>
    <w:lvl w:ilvl="4" w:tplc="35CE73AA">
      <w:start w:val="1"/>
      <w:numFmt w:val="bullet"/>
      <w:lvlText w:val="o"/>
      <w:lvlJc w:val="left"/>
      <w:pPr>
        <w:ind w:left="3600" w:hanging="360"/>
      </w:pPr>
      <w:rPr>
        <w:rFonts w:ascii="Courier New" w:hAnsi="Courier New" w:hint="default"/>
      </w:rPr>
    </w:lvl>
    <w:lvl w:ilvl="5" w:tplc="A1EEBC0C">
      <w:start w:val="1"/>
      <w:numFmt w:val="bullet"/>
      <w:lvlText w:val=""/>
      <w:lvlJc w:val="left"/>
      <w:pPr>
        <w:ind w:left="4320" w:hanging="360"/>
      </w:pPr>
      <w:rPr>
        <w:rFonts w:ascii="Wingdings" w:hAnsi="Wingdings" w:hint="default"/>
      </w:rPr>
    </w:lvl>
    <w:lvl w:ilvl="6" w:tplc="D0E20374">
      <w:start w:val="1"/>
      <w:numFmt w:val="bullet"/>
      <w:lvlText w:val=""/>
      <w:lvlJc w:val="left"/>
      <w:pPr>
        <w:ind w:left="5040" w:hanging="360"/>
      </w:pPr>
      <w:rPr>
        <w:rFonts w:ascii="Symbol" w:hAnsi="Symbol" w:hint="default"/>
      </w:rPr>
    </w:lvl>
    <w:lvl w:ilvl="7" w:tplc="B552BECA">
      <w:start w:val="1"/>
      <w:numFmt w:val="bullet"/>
      <w:lvlText w:val="o"/>
      <w:lvlJc w:val="left"/>
      <w:pPr>
        <w:ind w:left="5760" w:hanging="360"/>
      </w:pPr>
      <w:rPr>
        <w:rFonts w:ascii="Courier New" w:hAnsi="Courier New" w:hint="default"/>
      </w:rPr>
    </w:lvl>
    <w:lvl w:ilvl="8" w:tplc="D46E365A">
      <w:start w:val="1"/>
      <w:numFmt w:val="bullet"/>
      <w:lvlText w:val=""/>
      <w:lvlJc w:val="left"/>
      <w:pPr>
        <w:ind w:left="6480" w:hanging="360"/>
      </w:pPr>
      <w:rPr>
        <w:rFonts w:ascii="Wingdings" w:hAnsi="Wingdings" w:hint="default"/>
      </w:rPr>
    </w:lvl>
  </w:abstractNum>
  <w:abstractNum w:abstractNumId="28" w15:restartNumberingAfterBreak="0">
    <w:nsid w:val="5C1DA2FE"/>
    <w:multiLevelType w:val="hybridMultilevel"/>
    <w:tmpl w:val="D5420576"/>
    <w:lvl w:ilvl="0" w:tplc="EA7420A8">
      <w:start w:val="1"/>
      <w:numFmt w:val="bullet"/>
      <w:lvlText w:val=""/>
      <w:lvlJc w:val="left"/>
      <w:pPr>
        <w:ind w:left="720" w:hanging="360"/>
      </w:pPr>
      <w:rPr>
        <w:rFonts w:ascii="Symbol" w:hAnsi="Symbol" w:hint="default"/>
      </w:rPr>
    </w:lvl>
    <w:lvl w:ilvl="1" w:tplc="1E2E4B3C">
      <w:start w:val="1"/>
      <w:numFmt w:val="bullet"/>
      <w:lvlText w:val="o"/>
      <w:lvlJc w:val="left"/>
      <w:pPr>
        <w:ind w:left="1440" w:hanging="360"/>
      </w:pPr>
      <w:rPr>
        <w:rFonts w:ascii="Courier New" w:hAnsi="Courier New" w:hint="default"/>
      </w:rPr>
    </w:lvl>
    <w:lvl w:ilvl="2" w:tplc="AFB8BEC4">
      <w:start w:val="1"/>
      <w:numFmt w:val="bullet"/>
      <w:lvlText w:val=""/>
      <w:lvlJc w:val="left"/>
      <w:pPr>
        <w:ind w:left="2160" w:hanging="360"/>
      </w:pPr>
      <w:rPr>
        <w:rFonts w:ascii="Wingdings" w:hAnsi="Wingdings" w:hint="default"/>
      </w:rPr>
    </w:lvl>
    <w:lvl w:ilvl="3" w:tplc="0FA0CA12">
      <w:start w:val="1"/>
      <w:numFmt w:val="bullet"/>
      <w:lvlText w:val=""/>
      <w:lvlJc w:val="left"/>
      <w:pPr>
        <w:ind w:left="2880" w:hanging="360"/>
      </w:pPr>
      <w:rPr>
        <w:rFonts w:ascii="Symbol" w:hAnsi="Symbol" w:hint="default"/>
      </w:rPr>
    </w:lvl>
    <w:lvl w:ilvl="4" w:tplc="A274DADA">
      <w:start w:val="1"/>
      <w:numFmt w:val="bullet"/>
      <w:lvlText w:val="o"/>
      <w:lvlJc w:val="left"/>
      <w:pPr>
        <w:ind w:left="3600" w:hanging="360"/>
      </w:pPr>
      <w:rPr>
        <w:rFonts w:ascii="Courier New" w:hAnsi="Courier New" w:hint="default"/>
      </w:rPr>
    </w:lvl>
    <w:lvl w:ilvl="5" w:tplc="8BE8C20E">
      <w:start w:val="1"/>
      <w:numFmt w:val="bullet"/>
      <w:lvlText w:val=""/>
      <w:lvlJc w:val="left"/>
      <w:pPr>
        <w:ind w:left="4320" w:hanging="360"/>
      </w:pPr>
      <w:rPr>
        <w:rFonts w:ascii="Wingdings" w:hAnsi="Wingdings" w:hint="default"/>
      </w:rPr>
    </w:lvl>
    <w:lvl w:ilvl="6" w:tplc="2DE2B16A">
      <w:start w:val="1"/>
      <w:numFmt w:val="bullet"/>
      <w:lvlText w:val=""/>
      <w:lvlJc w:val="left"/>
      <w:pPr>
        <w:ind w:left="5040" w:hanging="360"/>
      </w:pPr>
      <w:rPr>
        <w:rFonts w:ascii="Symbol" w:hAnsi="Symbol" w:hint="default"/>
      </w:rPr>
    </w:lvl>
    <w:lvl w:ilvl="7" w:tplc="B9F80C1A">
      <w:start w:val="1"/>
      <w:numFmt w:val="bullet"/>
      <w:lvlText w:val="o"/>
      <w:lvlJc w:val="left"/>
      <w:pPr>
        <w:ind w:left="5760" w:hanging="360"/>
      </w:pPr>
      <w:rPr>
        <w:rFonts w:ascii="Courier New" w:hAnsi="Courier New" w:hint="default"/>
      </w:rPr>
    </w:lvl>
    <w:lvl w:ilvl="8" w:tplc="B246A20A">
      <w:start w:val="1"/>
      <w:numFmt w:val="bullet"/>
      <w:lvlText w:val=""/>
      <w:lvlJc w:val="left"/>
      <w:pPr>
        <w:ind w:left="6480" w:hanging="360"/>
      </w:pPr>
      <w:rPr>
        <w:rFonts w:ascii="Wingdings" w:hAnsi="Wingdings" w:hint="default"/>
      </w:rPr>
    </w:lvl>
  </w:abstractNum>
  <w:abstractNum w:abstractNumId="29" w15:restartNumberingAfterBreak="0">
    <w:nsid w:val="666E4278"/>
    <w:multiLevelType w:val="hybridMultilevel"/>
    <w:tmpl w:val="A06CEBBC"/>
    <w:lvl w:ilvl="0" w:tplc="4CF6E74A">
      <w:start w:val="1"/>
      <w:numFmt w:val="bullet"/>
      <w:lvlText w:val=""/>
      <w:lvlJc w:val="left"/>
      <w:pPr>
        <w:ind w:left="720" w:hanging="360"/>
      </w:pPr>
      <w:rPr>
        <w:rFonts w:ascii="Symbol" w:hAnsi="Symbol" w:hint="default"/>
      </w:rPr>
    </w:lvl>
    <w:lvl w:ilvl="1" w:tplc="92484B14">
      <w:start w:val="1"/>
      <w:numFmt w:val="bullet"/>
      <w:lvlText w:val="o"/>
      <w:lvlJc w:val="left"/>
      <w:pPr>
        <w:ind w:left="1440" w:hanging="360"/>
      </w:pPr>
      <w:rPr>
        <w:rFonts w:ascii="Courier New" w:hAnsi="Courier New" w:hint="default"/>
      </w:rPr>
    </w:lvl>
    <w:lvl w:ilvl="2" w:tplc="D272DB94">
      <w:start w:val="1"/>
      <w:numFmt w:val="bullet"/>
      <w:lvlText w:val=""/>
      <w:lvlJc w:val="left"/>
      <w:pPr>
        <w:ind w:left="2160" w:hanging="360"/>
      </w:pPr>
      <w:rPr>
        <w:rFonts w:ascii="Wingdings" w:hAnsi="Wingdings" w:hint="default"/>
      </w:rPr>
    </w:lvl>
    <w:lvl w:ilvl="3" w:tplc="50EE1886">
      <w:start w:val="1"/>
      <w:numFmt w:val="bullet"/>
      <w:lvlText w:val=""/>
      <w:lvlJc w:val="left"/>
      <w:pPr>
        <w:ind w:left="2880" w:hanging="360"/>
      </w:pPr>
      <w:rPr>
        <w:rFonts w:ascii="Symbol" w:hAnsi="Symbol" w:hint="default"/>
      </w:rPr>
    </w:lvl>
    <w:lvl w:ilvl="4" w:tplc="0ADCF3B2">
      <w:start w:val="1"/>
      <w:numFmt w:val="bullet"/>
      <w:lvlText w:val="o"/>
      <w:lvlJc w:val="left"/>
      <w:pPr>
        <w:ind w:left="3600" w:hanging="360"/>
      </w:pPr>
      <w:rPr>
        <w:rFonts w:ascii="Courier New" w:hAnsi="Courier New" w:hint="default"/>
      </w:rPr>
    </w:lvl>
    <w:lvl w:ilvl="5" w:tplc="8A22ADDA">
      <w:start w:val="1"/>
      <w:numFmt w:val="bullet"/>
      <w:lvlText w:val=""/>
      <w:lvlJc w:val="left"/>
      <w:pPr>
        <w:ind w:left="4320" w:hanging="360"/>
      </w:pPr>
      <w:rPr>
        <w:rFonts w:ascii="Wingdings" w:hAnsi="Wingdings" w:hint="default"/>
      </w:rPr>
    </w:lvl>
    <w:lvl w:ilvl="6" w:tplc="03843154">
      <w:start w:val="1"/>
      <w:numFmt w:val="bullet"/>
      <w:lvlText w:val=""/>
      <w:lvlJc w:val="left"/>
      <w:pPr>
        <w:ind w:left="5040" w:hanging="360"/>
      </w:pPr>
      <w:rPr>
        <w:rFonts w:ascii="Symbol" w:hAnsi="Symbol" w:hint="default"/>
      </w:rPr>
    </w:lvl>
    <w:lvl w:ilvl="7" w:tplc="C5A00D9E">
      <w:start w:val="1"/>
      <w:numFmt w:val="bullet"/>
      <w:lvlText w:val="o"/>
      <w:lvlJc w:val="left"/>
      <w:pPr>
        <w:ind w:left="5760" w:hanging="360"/>
      </w:pPr>
      <w:rPr>
        <w:rFonts w:ascii="Courier New" w:hAnsi="Courier New" w:hint="default"/>
      </w:rPr>
    </w:lvl>
    <w:lvl w:ilvl="8" w:tplc="DBFCFDD2">
      <w:start w:val="1"/>
      <w:numFmt w:val="bullet"/>
      <w:lvlText w:val=""/>
      <w:lvlJc w:val="left"/>
      <w:pPr>
        <w:ind w:left="6480" w:hanging="360"/>
      </w:pPr>
      <w:rPr>
        <w:rFonts w:ascii="Wingdings" w:hAnsi="Wingdings" w:hint="default"/>
      </w:rPr>
    </w:lvl>
  </w:abstractNum>
  <w:abstractNum w:abstractNumId="30" w15:restartNumberingAfterBreak="0">
    <w:nsid w:val="66AB2285"/>
    <w:multiLevelType w:val="hybridMultilevel"/>
    <w:tmpl w:val="C97C2286"/>
    <w:lvl w:ilvl="0" w:tplc="F3CA1DD8">
      <w:start w:val="1"/>
      <w:numFmt w:val="bullet"/>
      <w:lvlText w:val=""/>
      <w:lvlJc w:val="left"/>
      <w:pPr>
        <w:ind w:left="720" w:hanging="360"/>
      </w:pPr>
      <w:rPr>
        <w:rFonts w:ascii="Symbol" w:hAnsi="Symbol" w:hint="default"/>
      </w:rPr>
    </w:lvl>
    <w:lvl w:ilvl="1" w:tplc="3F7AB2D2">
      <w:start w:val="1"/>
      <w:numFmt w:val="bullet"/>
      <w:lvlText w:val="o"/>
      <w:lvlJc w:val="left"/>
      <w:pPr>
        <w:ind w:left="1440" w:hanging="360"/>
      </w:pPr>
      <w:rPr>
        <w:rFonts w:ascii="Courier New" w:hAnsi="Courier New" w:hint="default"/>
      </w:rPr>
    </w:lvl>
    <w:lvl w:ilvl="2" w:tplc="C88C2B04">
      <w:start w:val="1"/>
      <w:numFmt w:val="bullet"/>
      <w:lvlText w:val=""/>
      <w:lvlJc w:val="left"/>
      <w:pPr>
        <w:ind w:left="2160" w:hanging="360"/>
      </w:pPr>
      <w:rPr>
        <w:rFonts w:ascii="Wingdings" w:hAnsi="Wingdings" w:hint="default"/>
      </w:rPr>
    </w:lvl>
    <w:lvl w:ilvl="3" w:tplc="9EBE76F0">
      <w:start w:val="1"/>
      <w:numFmt w:val="bullet"/>
      <w:lvlText w:val=""/>
      <w:lvlJc w:val="left"/>
      <w:pPr>
        <w:ind w:left="2880" w:hanging="360"/>
      </w:pPr>
      <w:rPr>
        <w:rFonts w:ascii="Symbol" w:hAnsi="Symbol" w:hint="default"/>
      </w:rPr>
    </w:lvl>
    <w:lvl w:ilvl="4" w:tplc="2F9AA6A8">
      <w:start w:val="1"/>
      <w:numFmt w:val="bullet"/>
      <w:lvlText w:val="o"/>
      <w:lvlJc w:val="left"/>
      <w:pPr>
        <w:ind w:left="3600" w:hanging="360"/>
      </w:pPr>
      <w:rPr>
        <w:rFonts w:ascii="Courier New" w:hAnsi="Courier New" w:hint="default"/>
      </w:rPr>
    </w:lvl>
    <w:lvl w:ilvl="5" w:tplc="1362EF34">
      <w:start w:val="1"/>
      <w:numFmt w:val="bullet"/>
      <w:lvlText w:val=""/>
      <w:lvlJc w:val="left"/>
      <w:pPr>
        <w:ind w:left="4320" w:hanging="360"/>
      </w:pPr>
      <w:rPr>
        <w:rFonts w:ascii="Wingdings" w:hAnsi="Wingdings" w:hint="default"/>
      </w:rPr>
    </w:lvl>
    <w:lvl w:ilvl="6" w:tplc="318E7B9C">
      <w:start w:val="1"/>
      <w:numFmt w:val="bullet"/>
      <w:lvlText w:val=""/>
      <w:lvlJc w:val="left"/>
      <w:pPr>
        <w:ind w:left="5040" w:hanging="360"/>
      </w:pPr>
      <w:rPr>
        <w:rFonts w:ascii="Symbol" w:hAnsi="Symbol" w:hint="default"/>
      </w:rPr>
    </w:lvl>
    <w:lvl w:ilvl="7" w:tplc="A51A5C00">
      <w:start w:val="1"/>
      <w:numFmt w:val="bullet"/>
      <w:lvlText w:val="o"/>
      <w:lvlJc w:val="left"/>
      <w:pPr>
        <w:ind w:left="5760" w:hanging="360"/>
      </w:pPr>
      <w:rPr>
        <w:rFonts w:ascii="Courier New" w:hAnsi="Courier New" w:hint="default"/>
      </w:rPr>
    </w:lvl>
    <w:lvl w:ilvl="8" w:tplc="D08E8FC0">
      <w:start w:val="1"/>
      <w:numFmt w:val="bullet"/>
      <w:lvlText w:val=""/>
      <w:lvlJc w:val="left"/>
      <w:pPr>
        <w:ind w:left="6480" w:hanging="360"/>
      </w:pPr>
      <w:rPr>
        <w:rFonts w:ascii="Wingdings" w:hAnsi="Wingdings" w:hint="default"/>
      </w:rPr>
    </w:lvl>
  </w:abstractNum>
  <w:abstractNum w:abstractNumId="31" w15:restartNumberingAfterBreak="0">
    <w:nsid w:val="6A1859EE"/>
    <w:multiLevelType w:val="multilevel"/>
    <w:tmpl w:val="9260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7FA03B6"/>
    <w:multiLevelType w:val="hybridMultilevel"/>
    <w:tmpl w:val="530687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7863488">
    <w:abstractNumId w:val="28"/>
  </w:num>
  <w:num w:numId="2" w16cid:durableId="1794521384">
    <w:abstractNumId w:val="3"/>
  </w:num>
  <w:num w:numId="3" w16cid:durableId="38015468">
    <w:abstractNumId w:val="29"/>
  </w:num>
  <w:num w:numId="4" w16cid:durableId="1999920141">
    <w:abstractNumId w:val="30"/>
  </w:num>
  <w:num w:numId="5" w16cid:durableId="353725301">
    <w:abstractNumId w:val="16"/>
  </w:num>
  <w:num w:numId="6" w16cid:durableId="538783484">
    <w:abstractNumId w:val="20"/>
  </w:num>
  <w:num w:numId="7" w16cid:durableId="456996534">
    <w:abstractNumId w:val="10"/>
  </w:num>
  <w:num w:numId="8" w16cid:durableId="2002930854">
    <w:abstractNumId w:val="23"/>
  </w:num>
  <w:num w:numId="9" w16cid:durableId="200634156">
    <w:abstractNumId w:val="9"/>
  </w:num>
  <w:num w:numId="10" w16cid:durableId="2137873085">
    <w:abstractNumId w:val="15"/>
  </w:num>
  <w:num w:numId="11" w16cid:durableId="1306815577">
    <w:abstractNumId w:val="7"/>
  </w:num>
  <w:num w:numId="12" w16cid:durableId="248584069">
    <w:abstractNumId w:val="11"/>
  </w:num>
  <w:num w:numId="13" w16cid:durableId="927613555">
    <w:abstractNumId w:val="19"/>
  </w:num>
  <w:num w:numId="14" w16cid:durableId="344524591">
    <w:abstractNumId w:val="2"/>
  </w:num>
  <w:num w:numId="15" w16cid:durableId="28378421">
    <w:abstractNumId w:val="18"/>
  </w:num>
  <w:num w:numId="16" w16cid:durableId="329217556">
    <w:abstractNumId w:val="22"/>
  </w:num>
  <w:num w:numId="17" w16cid:durableId="802236058">
    <w:abstractNumId w:val="13"/>
  </w:num>
  <w:num w:numId="18" w16cid:durableId="455105736">
    <w:abstractNumId w:val="4"/>
  </w:num>
  <w:num w:numId="19" w16cid:durableId="25064596">
    <w:abstractNumId w:val="24"/>
  </w:num>
  <w:num w:numId="20" w16cid:durableId="1662659789">
    <w:abstractNumId w:val="31"/>
  </w:num>
  <w:num w:numId="21" w16cid:durableId="920871931">
    <w:abstractNumId w:val="21"/>
  </w:num>
  <w:num w:numId="22" w16cid:durableId="830489960">
    <w:abstractNumId w:val="12"/>
  </w:num>
  <w:num w:numId="23" w16cid:durableId="805585349">
    <w:abstractNumId w:val="1"/>
  </w:num>
  <w:num w:numId="24" w16cid:durableId="1592737359">
    <w:abstractNumId w:val="5"/>
  </w:num>
  <w:num w:numId="25" w16cid:durableId="1222860775">
    <w:abstractNumId w:val="27"/>
  </w:num>
  <w:num w:numId="26" w16cid:durableId="778794555">
    <w:abstractNumId w:val="6"/>
  </w:num>
  <w:num w:numId="27" w16cid:durableId="1818186985">
    <w:abstractNumId w:val="26"/>
  </w:num>
  <w:num w:numId="28" w16cid:durableId="162555357">
    <w:abstractNumId w:val="32"/>
  </w:num>
  <w:num w:numId="29" w16cid:durableId="1023822263">
    <w:abstractNumId w:val="17"/>
  </w:num>
  <w:num w:numId="30" w16cid:durableId="1008606754">
    <w:abstractNumId w:val="14"/>
  </w:num>
  <w:num w:numId="31" w16cid:durableId="2132168287">
    <w:abstractNumId w:val="25"/>
  </w:num>
  <w:num w:numId="32" w16cid:durableId="328561502">
    <w:abstractNumId w:val="8"/>
  </w:num>
  <w:num w:numId="33" w16cid:durableId="130094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93812"/>
    <w:rsid w:val="00026BE1"/>
    <w:rsid w:val="0013047E"/>
    <w:rsid w:val="0022041B"/>
    <w:rsid w:val="003D7639"/>
    <w:rsid w:val="00607929"/>
    <w:rsid w:val="00693812"/>
    <w:rsid w:val="007A776E"/>
    <w:rsid w:val="00861FBB"/>
    <w:rsid w:val="00937ACD"/>
    <w:rsid w:val="00A54A9E"/>
    <w:rsid w:val="00AA4467"/>
    <w:rsid w:val="00B83BB9"/>
    <w:rsid w:val="00BB23F1"/>
    <w:rsid w:val="00C23179"/>
    <w:rsid w:val="00CA13DF"/>
    <w:rsid w:val="00CD3C3F"/>
    <w:rsid w:val="00E052D7"/>
    <w:rsid w:val="00F50897"/>
    <w:rsid w:val="00FB5B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63429"/>
  <w15:chartTrackingRefBased/>
  <w15:docId w15:val="{4860B9FC-3CA6-4FC2-A767-DD672BD7F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812"/>
    <w:rPr>
      <w:kern w:val="0"/>
      <w:lang w:val="en-US"/>
    </w:rPr>
  </w:style>
  <w:style w:type="paragraph" w:styleId="Heading1">
    <w:name w:val="heading 1"/>
    <w:basedOn w:val="Normal"/>
    <w:next w:val="Normal"/>
    <w:link w:val="Heading1Char"/>
    <w:uiPriority w:val="9"/>
    <w:qFormat/>
    <w:rsid w:val="006938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938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938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38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38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38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38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38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38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38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938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938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38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38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38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38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38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3812"/>
    <w:rPr>
      <w:rFonts w:eastAsiaTheme="majorEastAsia" w:cstheme="majorBidi"/>
      <w:color w:val="272727" w:themeColor="text1" w:themeTint="D8"/>
    </w:rPr>
  </w:style>
  <w:style w:type="paragraph" w:styleId="Title">
    <w:name w:val="Title"/>
    <w:basedOn w:val="Normal"/>
    <w:next w:val="Normal"/>
    <w:link w:val="TitleChar"/>
    <w:uiPriority w:val="10"/>
    <w:qFormat/>
    <w:rsid w:val="006938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38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38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38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3812"/>
    <w:pPr>
      <w:spacing w:before="160"/>
      <w:jc w:val="center"/>
    </w:pPr>
    <w:rPr>
      <w:i/>
      <w:iCs/>
      <w:color w:val="404040" w:themeColor="text1" w:themeTint="BF"/>
    </w:rPr>
  </w:style>
  <w:style w:type="character" w:customStyle="1" w:styleId="QuoteChar">
    <w:name w:val="Quote Char"/>
    <w:basedOn w:val="DefaultParagraphFont"/>
    <w:link w:val="Quote"/>
    <w:uiPriority w:val="29"/>
    <w:rsid w:val="00693812"/>
    <w:rPr>
      <w:i/>
      <w:iCs/>
      <w:color w:val="404040" w:themeColor="text1" w:themeTint="BF"/>
    </w:rPr>
  </w:style>
  <w:style w:type="paragraph" w:styleId="ListParagraph">
    <w:name w:val="List Paragraph"/>
    <w:basedOn w:val="Normal"/>
    <w:uiPriority w:val="34"/>
    <w:qFormat/>
    <w:rsid w:val="00693812"/>
    <w:pPr>
      <w:ind w:left="720"/>
      <w:contextualSpacing/>
    </w:pPr>
  </w:style>
  <w:style w:type="character" w:styleId="IntenseEmphasis">
    <w:name w:val="Intense Emphasis"/>
    <w:basedOn w:val="DefaultParagraphFont"/>
    <w:uiPriority w:val="21"/>
    <w:qFormat/>
    <w:rsid w:val="00693812"/>
    <w:rPr>
      <w:i/>
      <w:iCs/>
      <w:color w:val="0F4761" w:themeColor="accent1" w:themeShade="BF"/>
    </w:rPr>
  </w:style>
  <w:style w:type="paragraph" w:styleId="IntenseQuote">
    <w:name w:val="Intense Quote"/>
    <w:basedOn w:val="Normal"/>
    <w:next w:val="Normal"/>
    <w:link w:val="IntenseQuoteChar"/>
    <w:uiPriority w:val="30"/>
    <w:qFormat/>
    <w:rsid w:val="006938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3812"/>
    <w:rPr>
      <w:i/>
      <w:iCs/>
      <w:color w:val="0F4761" w:themeColor="accent1" w:themeShade="BF"/>
    </w:rPr>
  </w:style>
  <w:style w:type="character" w:styleId="IntenseReference">
    <w:name w:val="Intense Reference"/>
    <w:basedOn w:val="DefaultParagraphFont"/>
    <w:uiPriority w:val="32"/>
    <w:qFormat/>
    <w:rsid w:val="00693812"/>
    <w:rPr>
      <w:b/>
      <w:bCs/>
      <w:smallCaps/>
      <w:color w:val="0F4761" w:themeColor="accent1" w:themeShade="BF"/>
      <w:spacing w:val="5"/>
    </w:rPr>
  </w:style>
  <w:style w:type="table" w:styleId="TableGrid">
    <w:name w:val="Table Grid"/>
    <w:basedOn w:val="TableNormal"/>
    <w:uiPriority w:val="59"/>
    <w:rsid w:val="00693812"/>
    <w:pPr>
      <w:spacing w:after="0" w:line="240" w:lineRule="auto"/>
    </w:pPr>
    <w:rPr>
      <w:kern w:val="0"/>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693812"/>
    <w:rPr>
      <w:color w:val="467886" w:themeColor="hyperlink"/>
      <w:u w:val="single"/>
    </w:rPr>
  </w:style>
  <w:style w:type="character" w:customStyle="1" w:styleId="normaltextrun">
    <w:name w:val="normaltextrun"/>
    <w:basedOn w:val="DefaultParagraphFont"/>
    <w:rsid w:val="00693812"/>
  </w:style>
  <w:style w:type="character" w:customStyle="1" w:styleId="eop">
    <w:name w:val="eop"/>
    <w:basedOn w:val="DefaultParagraphFont"/>
    <w:rsid w:val="00693812"/>
  </w:style>
  <w:style w:type="paragraph" w:customStyle="1" w:styleId="paragraph">
    <w:name w:val="paragraph"/>
    <w:basedOn w:val="Normal"/>
    <w:rsid w:val="00693812"/>
    <w:pPr>
      <w:spacing w:beforeAutospacing="1" w:afterAutospacing="1"/>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unhideWhenUsed/>
    <w:rsid w:val="00693812"/>
    <w:pPr>
      <w:spacing w:line="240" w:lineRule="auto"/>
    </w:pPr>
    <w:rPr>
      <w:sz w:val="20"/>
      <w:szCs w:val="20"/>
    </w:rPr>
  </w:style>
  <w:style w:type="character" w:customStyle="1" w:styleId="CommentTextChar">
    <w:name w:val="Comment Text Char"/>
    <w:basedOn w:val="DefaultParagraphFont"/>
    <w:link w:val="CommentText"/>
    <w:uiPriority w:val="99"/>
    <w:rsid w:val="00693812"/>
    <w:rPr>
      <w:kern w:val="0"/>
      <w:sz w:val="20"/>
      <w:szCs w:val="20"/>
      <w:lang w:val="en-US"/>
    </w:rPr>
  </w:style>
  <w:style w:type="character" w:styleId="CommentReference">
    <w:name w:val="annotation reference"/>
    <w:basedOn w:val="DefaultParagraphFont"/>
    <w:uiPriority w:val="99"/>
    <w:semiHidden/>
    <w:unhideWhenUsed/>
    <w:rsid w:val="00693812"/>
    <w:rPr>
      <w:sz w:val="16"/>
      <w:szCs w:val="16"/>
    </w:rPr>
  </w:style>
  <w:style w:type="paragraph" w:styleId="CommentSubject">
    <w:name w:val="annotation subject"/>
    <w:basedOn w:val="CommentText"/>
    <w:next w:val="CommentText"/>
    <w:link w:val="CommentSubjectChar"/>
    <w:uiPriority w:val="99"/>
    <w:semiHidden/>
    <w:unhideWhenUsed/>
    <w:rsid w:val="00693812"/>
    <w:rPr>
      <w:b/>
      <w:bCs/>
    </w:rPr>
  </w:style>
  <w:style w:type="character" w:customStyle="1" w:styleId="CommentSubjectChar">
    <w:name w:val="Comment Subject Char"/>
    <w:basedOn w:val="CommentTextChar"/>
    <w:link w:val="CommentSubject"/>
    <w:uiPriority w:val="99"/>
    <w:semiHidden/>
    <w:rsid w:val="00693812"/>
    <w:rPr>
      <w:b/>
      <w:bCs/>
      <w:kern w:val="0"/>
      <w:sz w:val="20"/>
      <w:szCs w:val="20"/>
      <w:lang w:val="en-US"/>
    </w:rPr>
  </w:style>
  <w:style w:type="paragraph" w:styleId="Bibliography">
    <w:name w:val="Bibliography"/>
    <w:basedOn w:val="Normal"/>
    <w:next w:val="Normal"/>
    <w:uiPriority w:val="37"/>
    <w:unhideWhenUsed/>
    <w:rsid w:val="00693812"/>
    <w:pPr>
      <w:tabs>
        <w:tab w:val="left" w:pos="504"/>
      </w:tabs>
      <w:spacing w:after="240" w:line="240" w:lineRule="auto"/>
      <w:ind w:left="504" w:hanging="504"/>
    </w:pPr>
  </w:style>
  <w:style w:type="paragraph" w:styleId="Revision">
    <w:name w:val="Revision"/>
    <w:hidden/>
    <w:uiPriority w:val="99"/>
    <w:semiHidden/>
    <w:rsid w:val="00693812"/>
    <w:pPr>
      <w:spacing w:after="0" w:line="240" w:lineRule="auto"/>
    </w:pPr>
    <w:rPr>
      <w:kern w:val="0"/>
      <w:lang w:val="en-US"/>
    </w:rPr>
  </w:style>
  <w:style w:type="table" w:styleId="PlainTable1">
    <w:name w:val="Plain Table 1"/>
    <w:basedOn w:val="TableNormal"/>
    <w:uiPriority w:val="41"/>
    <w:rsid w:val="00693812"/>
    <w:pPr>
      <w:spacing w:after="0" w:line="240" w:lineRule="auto"/>
    </w:pPr>
    <w:rPr>
      <w:kern w:val="0"/>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693812"/>
    <w:rPr>
      <w:color w:val="605E5C"/>
      <w:shd w:val="clear" w:color="auto" w:fill="E1DFDD"/>
    </w:rPr>
  </w:style>
  <w:style w:type="character" w:styleId="LineNumber">
    <w:name w:val="line number"/>
    <w:basedOn w:val="DefaultParagraphFont"/>
    <w:uiPriority w:val="99"/>
    <w:semiHidden/>
    <w:unhideWhenUsed/>
    <w:rsid w:val="00693812"/>
  </w:style>
  <w:style w:type="paragraph" w:styleId="Header">
    <w:name w:val="header"/>
    <w:basedOn w:val="Normal"/>
    <w:link w:val="HeaderChar"/>
    <w:uiPriority w:val="99"/>
    <w:unhideWhenUsed/>
    <w:rsid w:val="006938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3812"/>
    <w:rPr>
      <w:kern w:val="0"/>
      <w:lang w:val="en-US"/>
    </w:rPr>
  </w:style>
  <w:style w:type="paragraph" w:styleId="Footer">
    <w:name w:val="footer"/>
    <w:basedOn w:val="Normal"/>
    <w:link w:val="FooterChar"/>
    <w:uiPriority w:val="99"/>
    <w:unhideWhenUsed/>
    <w:rsid w:val="006938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3812"/>
    <w:rPr>
      <w:kern w:val="0"/>
      <w:lang w:val="en-US"/>
    </w:rPr>
  </w:style>
  <w:style w:type="paragraph" w:styleId="NormalWeb">
    <w:name w:val="Normal (Web)"/>
    <w:basedOn w:val="Normal"/>
    <w:uiPriority w:val="99"/>
    <w:unhideWhenUsed/>
    <w:rsid w:val="0069381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ighwire-cite-metadata-journal">
    <w:name w:val="highwire-cite-metadata-journal"/>
    <w:basedOn w:val="DefaultParagraphFont"/>
    <w:rsid w:val="00693812"/>
  </w:style>
  <w:style w:type="character" w:customStyle="1" w:styleId="highwire-cite-metadata-pages">
    <w:name w:val="highwire-cite-metadata-pages"/>
    <w:basedOn w:val="DefaultParagraphFont"/>
    <w:rsid w:val="00693812"/>
  </w:style>
  <w:style w:type="character" w:customStyle="1" w:styleId="highwire-cite-metadata-doi">
    <w:name w:val="highwire-cite-metadata-doi"/>
    <w:basedOn w:val="DefaultParagraphFont"/>
    <w:rsid w:val="00693812"/>
  </w:style>
  <w:style w:type="character" w:customStyle="1" w:styleId="doilabel">
    <w:name w:val="doi_label"/>
    <w:basedOn w:val="DefaultParagraphFont"/>
    <w:rsid w:val="006938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37</Pages>
  <Words>56411</Words>
  <Characters>321547</Characters>
  <Application>Microsoft Office Word</Application>
  <DocSecurity>0</DocSecurity>
  <Lines>2679</Lines>
  <Paragraphs>754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Griffiths</dc:creator>
  <cp:keywords/>
  <dc:description/>
  <cp:lastModifiedBy>Jessica Griffiths</cp:lastModifiedBy>
  <cp:revision>5</cp:revision>
  <dcterms:created xsi:type="dcterms:W3CDTF">2025-01-31T16:03:00Z</dcterms:created>
  <dcterms:modified xsi:type="dcterms:W3CDTF">2025-03-27T11:14:00Z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id="pnuyFmyJ"/&gt;&lt;style id="http://www.zotero.org/styles/vancouver" locale="en-US" hasBibliography="1" bibliographyStyleHasBeenSet="1"/&gt;&lt;prefs&gt;&lt;pref name="fieldType" value="Field"/&gt;&lt;/prefs&gt;&lt;/data&gt;</vt:lpwstr>
  </property>
</Properties>
</file>