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5A6C" w:rsidRPr="009E0C7C" w:rsidRDefault="00375A6C" w:rsidP="009E0C7C">
      <w:pPr>
        <w:pStyle w:val="NormalWeb"/>
        <w:rPr>
          <w:rStyle w:val="15"/>
          <w:rFonts w:ascii="Times New Roman" w:hAnsi="Times New Roman" w:hint="default"/>
          <w:b/>
        </w:rPr>
      </w:pPr>
      <w:r w:rsidRPr="009E0C7C">
        <w:rPr>
          <w:rStyle w:val="15"/>
          <w:rFonts w:ascii="Times New Roman" w:hAnsi="Times New Roman" w:hint="default"/>
          <w:b/>
        </w:rPr>
        <w:t>Additional file 1</w:t>
      </w:r>
    </w:p>
    <w:p w:rsidR="00375A6C" w:rsidRPr="009E0C7C" w:rsidRDefault="00375A6C" w:rsidP="009E0C7C">
      <w:pPr>
        <w:pStyle w:val="NormalWeb"/>
        <w:rPr>
          <w:rStyle w:val="15"/>
          <w:rFonts w:ascii="Times New Roman" w:hAnsi="Times New Roman" w:hint="default"/>
        </w:rPr>
      </w:pPr>
      <w:r w:rsidRPr="009E0C7C">
        <w:rPr>
          <w:rStyle w:val="15"/>
          <w:rFonts w:ascii="Times New Roman" w:hAnsi="Times New Roman" w:hint="default"/>
        </w:rPr>
        <w:t>Assumpt</w:t>
      </w:r>
      <w:bookmarkStart w:id="0" w:name="_GoBack"/>
      <w:bookmarkEnd w:id="0"/>
      <w:r w:rsidRPr="009E0C7C">
        <w:rPr>
          <w:rStyle w:val="15"/>
          <w:rFonts w:ascii="Times New Roman" w:hAnsi="Times New Roman" w:hint="default"/>
        </w:rPr>
        <w:t xml:space="preserve">ions for structural equation modeling </w:t>
      </w:r>
    </w:p>
    <w:p w:rsidR="00375A6C" w:rsidRDefault="00375A6C" w:rsidP="00375A6C">
      <w:pPr>
        <w:numPr>
          <w:ilvl w:val="0"/>
          <w:numId w:val="1"/>
        </w:numPr>
        <w:spacing w:before="0" w:beforeAutospacing="0" w:after="0" w:line="360" w:lineRule="auto"/>
        <w:ind w:left="720"/>
        <w:jc w:val="both"/>
        <w:rPr>
          <w:rFonts w:eastAsia="Calibri"/>
          <w:b/>
          <w:sz w:val="24"/>
          <w:szCs w:val="24"/>
        </w:rPr>
      </w:pPr>
      <w:r>
        <w:rPr>
          <w:rFonts w:ascii="Times New Roman" w:eastAsia="Calibri" w:hAnsi="Times New Roman"/>
          <w:b/>
          <w:sz w:val="24"/>
          <w:szCs w:val="24"/>
        </w:rPr>
        <w:t xml:space="preserve">Multivariate normality </w:t>
      </w:r>
    </w:p>
    <w:p w:rsidR="00375A6C" w:rsidRDefault="00375A6C" w:rsidP="00375A6C">
      <w:pPr>
        <w:spacing w:before="0" w:beforeAutospacing="0" w:after="0" w:line="360" w:lineRule="auto"/>
        <w:jc w:val="both"/>
        <w:rPr>
          <w:rFonts w:ascii="Times New Roman" w:eastAsia="Calibri" w:hAnsi="Times New Roman"/>
          <w:sz w:val="24"/>
          <w:szCs w:val="24"/>
        </w:rPr>
      </w:pPr>
      <w:r>
        <w:rPr>
          <w:rFonts w:ascii="Times New Roman" w:eastAsia="Calibri" w:hAnsi="Times New Roman"/>
          <w:sz w:val="24"/>
          <w:szCs w:val="24"/>
        </w:rPr>
        <w:t xml:space="preserve">Multivariate normality is a key assumption for maximum likelihood estimation (MLE) in structural equation modeling (SEM). MLE assumes multivariate normality for continuous outcome variables, and when this assumption is met, the estimates produced are typically unbiased and efficient. Normality can be assessed both subjectively, by examining the shape of the data, and objectively, using skewness and kurtosis. Data is considered normally distributed if univariate normality is within the critical value range of -1.96 to +1.96, skewness is between -3 and +3, and kurtosis is between -7 and +7. For multivariate normality, the critical value should also fall between -1.96 and +1.96, with multivariate kurtosis less than 5. Multivariate normality tests the normality of multiple variables simultaneously. In SEM, MLE assumes that the data are multivariate normal for continuous outcome variables. Various tests can assess multivariate normality, such as </w:t>
      </w:r>
      <w:proofErr w:type="spellStart"/>
      <w:r>
        <w:rPr>
          <w:rFonts w:ascii="Times New Roman" w:eastAsia="Calibri" w:hAnsi="Times New Roman"/>
          <w:sz w:val="24"/>
          <w:szCs w:val="24"/>
        </w:rPr>
        <w:t>Mardia’s</w:t>
      </w:r>
      <w:proofErr w:type="spellEnd"/>
      <w:r>
        <w:rPr>
          <w:rFonts w:ascii="Times New Roman" w:eastAsia="Calibri" w:hAnsi="Times New Roman"/>
          <w:sz w:val="24"/>
          <w:szCs w:val="24"/>
        </w:rPr>
        <w:t xml:space="preserve"> skewness and kurtosis test, the </w:t>
      </w:r>
      <w:proofErr w:type="spellStart"/>
      <w:r>
        <w:rPr>
          <w:rFonts w:ascii="Times New Roman" w:eastAsia="Calibri" w:hAnsi="Times New Roman"/>
          <w:sz w:val="24"/>
          <w:szCs w:val="24"/>
        </w:rPr>
        <w:t>Henze-Zirkler</w:t>
      </w:r>
      <w:proofErr w:type="spellEnd"/>
      <w:r>
        <w:rPr>
          <w:rFonts w:ascii="Times New Roman" w:eastAsia="Calibri" w:hAnsi="Times New Roman"/>
          <w:sz w:val="24"/>
          <w:szCs w:val="24"/>
        </w:rPr>
        <w:t xml:space="preserve"> test, and the </w:t>
      </w:r>
      <w:proofErr w:type="spellStart"/>
      <w:r>
        <w:rPr>
          <w:rFonts w:ascii="Times New Roman" w:eastAsia="Calibri" w:hAnsi="Times New Roman"/>
          <w:sz w:val="24"/>
          <w:szCs w:val="24"/>
        </w:rPr>
        <w:t>Doornik</w:t>
      </w:r>
      <w:proofErr w:type="spellEnd"/>
      <w:r>
        <w:rPr>
          <w:rFonts w:ascii="Times New Roman" w:eastAsia="Calibri" w:hAnsi="Times New Roman"/>
          <w:sz w:val="24"/>
          <w:szCs w:val="24"/>
        </w:rPr>
        <w:t xml:space="preserve">-Hansen test. In our data, the </w:t>
      </w:r>
      <w:proofErr w:type="spellStart"/>
      <w:r>
        <w:rPr>
          <w:rFonts w:ascii="Times New Roman" w:eastAsia="Calibri" w:hAnsi="Times New Roman"/>
          <w:sz w:val="24"/>
          <w:szCs w:val="24"/>
        </w:rPr>
        <w:t>Doornik</w:t>
      </w:r>
      <w:proofErr w:type="spellEnd"/>
      <w:r>
        <w:rPr>
          <w:rFonts w:ascii="Times New Roman" w:eastAsia="Calibri" w:hAnsi="Times New Roman"/>
          <w:sz w:val="24"/>
          <w:szCs w:val="24"/>
        </w:rPr>
        <w:t>-Hansen test yielded chi2(4) = 25.452, with a p-value of 0.0000, indicating that the multivariate normality assumption was not satisfied, meaning our data is not multivariate normally distributed.</w:t>
      </w:r>
    </w:p>
    <w:p w:rsidR="00375A6C" w:rsidRDefault="00375A6C" w:rsidP="00375A6C">
      <w:pPr>
        <w:numPr>
          <w:ilvl w:val="0"/>
          <w:numId w:val="1"/>
        </w:numPr>
        <w:spacing w:before="0" w:beforeAutospacing="0" w:after="0" w:line="360" w:lineRule="auto"/>
        <w:ind w:left="720"/>
        <w:jc w:val="both"/>
        <w:rPr>
          <w:rFonts w:ascii="Times New Roman" w:eastAsia="Calibri" w:hAnsi="Times New Roman"/>
          <w:b/>
          <w:sz w:val="24"/>
          <w:szCs w:val="24"/>
        </w:rPr>
      </w:pPr>
      <w:r>
        <w:rPr>
          <w:rFonts w:ascii="Times New Roman" w:eastAsia="Calibri" w:hAnsi="Times New Roman"/>
          <w:b/>
          <w:sz w:val="24"/>
          <w:szCs w:val="24"/>
        </w:rPr>
        <w:t>Missing values and Multivariate outliers</w:t>
      </w:r>
    </w:p>
    <w:p w:rsidR="00375A6C" w:rsidRDefault="00375A6C" w:rsidP="00375A6C">
      <w:pPr>
        <w:spacing w:before="0" w:beforeAutospacing="0" w:after="0" w:line="360" w:lineRule="auto"/>
        <w:jc w:val="both"/>
        <w:rPr>
          <w:rFonts w:ascii="Times New Roman" w:eastAsia="Calibri" w:hAnsi="Times New Roman"/>
          <w:sz w:val="24"/>
          <w:szCs w:val="24"/>
        </w:rPr>
      </w:pPr>
      <w:r>
        <w:rPr>
          <w:rFonts w:ascii="Times New Roman" w:eastAsia="Calibri" w:hAnsi="Times New Roman"/>
          <w:sz w:val="24"/>
          <w:szCs w:val="24"/>
        </w:rPr>
        <w:t xml:space="preserve">Regarding missing values, since the data was collected using EPI Info software, there were no missing data points. Multivariate outliers are observations in the dataset that significantly deviate from the overall pattern or distribution of the variables when considered together. Unlike univariate outliers, multivariate outliers involve unusual combinations or relationships among multiple variables simultaneously. These outliers can distort parameter estimates, compromise the accuracy of predictive models, and lead to biased conclusions or unreliable inferences. In this study, outliers were identified using </w:t>
      </w:r>
      <w:proofErr w:type="spellStart"/>
      <w:r>
        <w:rPr>
          <w:rFonts w:ascii="Times New Roman" w:eastAsia="Calibri" w:hAnsi="Times New Roman"/>
          <w:sz w:val="24"/>
          <w:szCs w:val="24"/>
        </w:rPr>
        <w:t>Mahalanobis</w:t>
      </w:r>
      <w:proofErr w:type="spellEnd"/>
      <w:r>
        <w:rPr>
          <w:rFonts w:ascii="Times New Roman" w:eastAsia="Calibri" w:hAnsi="Times New Roman"/>
          <w:sz w:val="24"/>
          <w:szCs w:val="24"/>
        </w:rPr>
        <w:t xml:space="preserve"> distance (P1 and P2) via AMOS software. </w:t>
      </w:r>
      <w:proofErr w:type="spellStart"/>
      <w:r>
        <w:rPr>
          <w:rFonts w:ascii="Times New Roman" w:eastAsia="Calibri" w:hAnsi="Times New Roman"/>
          <w:sz w:val="24"/>
          <w:szCs w:val="24"/>
        </w:rPr>
        <w:t>Mahalanobis</w:t>
      </w:r>
      <w:proofErr w:type="spellEnd"/>
      <w:r>
        <w:rPr>
          <w:rFonts w:ascii="Times New Roman" w:eastAsia="Calibri" w:hAnsi="Times New Roman"/>
          <w:sz w:val="24"/>
          <w:szCs w:val="24"/>
        </w:rPr>
        <w:t xml:space="preserve"> distance measures the distance between an observation and the centroid of a group, accounting for the covariance structure of the variables. Observations with large </w:t>
      </w:r>
      <w:proofErr w:type="spellStart"/>
      <w:r>
        <w:rPr>
          <w:rFonts w:ascii="Times New Roman" w:eastAsia="Calibri" w:hAnsi="Times New Roman"/>
          <w:sz w:val="24"/>
          <w:szCs w:val="24"/>
        </w:rPr>
        <w:t>Mahalanobis</w:t>
      </w:r>
      <w:proofErr w:type="spellEnd"/>
      <w:r>
        <w:rPr>
          <w:rFonts w:ascii="Times New Roman" w:eastAsia="Calibri" w:hAnsi="Times New Roman"/>
          <w:sz w:val="24"/>
          <w:szCs w:val="24"/>
        </w:rPr>
        <w:t xml:space="preserve"> distances were considered outliers. Removing these outliers contributed to achieving multivariate normality. Initially, our data contained outlying observations (7 observations), which were addressed by deleting the respective cases.</w:t>
      </w:r>
    </w:p>
    <w:p w:rsidR="00375A6C" w:rsidRPr="00375A6C" w:rsidRDefault="00375A6C" w:rsidP="00375A6C">
      <w:pPr>
        <w:pStyle w:val="ListParagraph"/>
        <w:numPr>
          <w:ilvl w:val="0"/>
          <w:numId w:val="1"/>
        </w:numPr>
        <w:spacing w:before="0" w:beforeAutospacing="0" w:after="0" w:line="360" w:lineRule="auto"/>
        <w:jc w:val="both"/>
        <w:rPr>
          <w:rFonts w:ascii="Times New Roman" w:eastAsia="Calibri" w:hAnsi="Times New Roman"/>
          <w:sz w:val="24"/>
          <w:szCs w:val="24"/>
        </w:rPr>
      </w:pPr>
      <w:r w:rsidRPr="00375A6C">
        <w:rPr>
          <w:rFonts w:ascii="Times New Roman" w:eastAsia="Calibri" w:hAnsi="Times New Roman"/>
          <w:b/>
          <w:bCs/>
          <w:sz w:val="24"/>
          <w:szCs w:val="24"/>
        </w:rPr>
        <w:lastRenderedPageBreak/>
        <w:t xml:space="preserve"> Sample size adequacy and sphericity</w:t>
      </w:r>
    </w:p>
    <w:p w:rsidR="00375A6C" w:rsidRDefault="00375A6C" w:rsidP="00375A6C">
      <w:pPr>
        <w:spacing w:before="0" w:beforeAutospacing="0" w:after="0" w:line="360" w:lineRule="auto"/>
        <w:jc w:val="both"/>
        <w:rPr>
          <w:rFonts w:ascii="Times New Roman" w:eastAsia="Calibri" w:hAnsi="Times New Roman"/>
          <w:sz w:val="24"/>
          <w:szCs w:val="24"/>
        </w:rPr>
      </w:pPr>
      <w:r>
        <w:rPr>
          <w:rFonts w:ascii="Times New Roman" w:eastAsia="Calibri" w:hAnsi="Times New Roman"/>
          <w:sz w:val="24"/>
          <w:szCs w:val="24"/>
        </w:rPr>
        <w:t xml:space="preserve">Structural Equation Modeling (SEM) typically requires a sufficiently large sample size to ensure reliable and stable estimates. Small sample sizes can lead to unreliable estimates and lower statistical power. The Kaiser-Meyer-Olkin (KMO) test is used to assess the adequacy of the sample for factor analysis. It evaluates the proportion of variance in the variables that could be attributed to common variance rather than unique variance for each variable. The KMO statistic ranges from 0 to 1. Values closer to 1 indicate that the correlations between pairs of variables can be explained by other variables, suggesting that factor analysis is appropriate. Conversely, values closer to 0 suggest high partial correlations, meaning the data may not be suitable for factor analysis. </w:t>
      </w:r>
    </w:p>
    <w:p w:rsidR="00375A6C" w:rsidRDefault="00375A6C" w:rsidP="00375A6C">
      <w:pPr>
        <w:spacing w:before="0" w:beforeAutospacing="0" w:after="0" w:line="360" w:lineRule="auto"/>
        <w:jc w:val="both"/>
        <w:rPr>
          <w:rFonts w:ascii="Times New Roman" w:eastAsia="Calibri" w:hAnsi="Times New Roman"/>
          <w:sz w:val="24"/>
          <w:szCs w:val="24"/>
        </w:rPr>
      </w:pPr>
      <w:r>
        <w:rPr>
          <w:rFonts w:ascii="Times New Roman" w:eastAsia="Calibri" w:hAnsi="Times New Roman"/>
          <w:sz w:val="24"/>
          <w:szCs w:val="24"/>
        </w:rPr>
        <w:t>In this study, 28 observed variables from two factors were tested using the KMO measure of sampling adequacy and Bartlett’s Test of Sphericity. The overall KMO value was 0.828 (df = 378, p-value = 0.000), indicating that the sample size was adequate for the model. Bartlett’s Test of Sphericity tests the null hypothesis that the correlation matrix is an identity matrix. An identity matrix implies that the variables are unrelated and unsuitable for factor analysis. The significant result (p &lt; 0.05) from our analysis rejected the null hypothesis, confirming that the data is suitable for factor analysis (</w:t>
      </w:r>
      <w:r>
        <w:rPr>
          <w:rFonts w:ascii="Times New Roman" w:eastAsia="Calibri" w:hAnsi="Times New Roman"/>
          <w:b/>
          <w:sz w:val="24"/>
          <w:szCs w:val="24"/>
        </w:rPr>
        <w:t>Table 6</w:t>
      </w:r>
      <w:r>
        <w:rPr>
          <w:rFonts w:ascii="Times New Roman" w:eastAsia="Calibri" w:hAnsi="Times New Roman"/>
          <w:sz w:val="24"/>
          <w:szCs w:val="24"/>
        </w:rPr>
        <w:t>).</w:t>
      </w:r>
      <w:bookmarkStart w:id="1" w:name="_Toc189140978"/>
      <w:bookmarkEnd w:id="1"/>
    </w:p>
    <w:p w:rsidR="00375A6C" w:rsidRPr="00375A6C" w:rsidRDefault="00375A6C" w:rsidP="00375A6C">
      <w:pPr>
        <w:spacing w:before="0" w:beforeAutospacing="0" w:line="360" w:lineRule="auto"/>
        <w:jc w:val="both"/>
        <w:rPr>
          <w:rFonts w:ascii="Times New Roman" w:eastAsia="Calibri" w:hAnsi="Times New Roman"/>
          <w:sz w:val="24"/>
          <w:szCs w:val="24"/>
        </w:rPr>
      </w:pPr>
      <w:r>
        <w:rPr>
          <w:rFonts w:ascii="Times New Roman" w:hAnsi="Times New Roman"/>
          <w:color w:val="000000"/>
          <w:sz w:val="24"/>
          <w:szCs w:val="24"/>
        </w:rPr>
        <w:t xml:space="preserve">Table </w:t>
      </w:r>
      <w:proofErr w:type="gramStart"/>
      <w:r>
        <w:rPr>
          <w:rFonts w:ascii="Times New Roman" w:hAnsi="Times New Roman"/>
          <w:color w:val="000000"/>
          <w:sz w:val="24"/>
          <w:szCs w:val="24"/>
        </w:rPr>
        <w:t>11</w:t>
      </w:r>
      <w:r>
        <w:rPr>
          <w:rFonts w:ascii="Times New Roman" w:eastAsia="TimesNewRomanPS-BoldMT" w:hAnsi="Times New Roman"/>
          <w:b/>
          <w:bCs/>
          <w:color w:val="000000"/>
          <w:sz w:val="24"/>
          <w:szCs w:val="24"/>
        </w:rPr>
        <w:t xml:space="preserve"> :</w:t>
      </w:r>
      <w:proofErr w:type="gramEnd"/>
      <w:r>
        <w:rPr>
          <w:rFonts w:ascii="TimesNewRomanPS-BoldMT" w:hAnsi="TimesNewRomanPS-BoldMT"/>
          <w:b/>
          <w:bCs/>
          <w:color w:val="000000"/>
          <w:sz w:val="24"/>
          <w:szCs w:val="24"/>
        </w:rPr>
        <w:t xml:space="preserve"> </w:t>
      </w:r>
      <w:r>
        <w:rPr>
          <w:rFonts w:ascii="Times New Roman" w:eastAsia="SimSun" w:hAnsi="Times New Roman"/>
          <w:b/>
          <w:color w:val="000000"/>
          <w:sz w:val="24"/>
          <w:szCs w:val="24"/>
        </w:rPr>
        <w:t>KMO and Bartlett’s test of adaptive and maladaptive coping at University of Gondar Referral Hospital, Northwest Ethiopia, 2024 (n=592).</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1"/>
        <w:gridCol w:w="1741"/>
        <w:gridCol w:w="2939"/>
        <w:gridCol w:w="775"/>
        <w:gridCol w:w="934"/>
      </w:tblGrid>
      <w:tr w:rsidR="00375A6C" w:rsidTr="00375A6C">
        <w:trPr>
          <w:trHeight w:val="391"/>
        </w:trPr>
        <w:tc>
          <w:tcPr>
            <w:tcW w:w="3169" w:type="dxa"/>
            <w:vMerge w:val="restart"/>
            <w:tcBorders>
              <w:top w:val="single" w:sz="4" w:space="0" w:color="auto"/>
              <w:left w:val="single" w:sz="4" w:space="0" w:color="auto"/>
              <w:bottom w:val="single" w:sz="4" w:space="0" w:color="auto"/>
              <w:right w:val="single" w:sz="4" w:space="0" w:color="auto"/>
            </w:tcBorders>
          </w:tcPr>
          <w:p w:rsidR="00375A6C" w:rsidRDefault="00375A6C">
            <w:pPr>
              <w:spacing w:line="360" w:lineRule="auto"/>
              <w:jc w:val="both"/>
              <w:rPr>
                <w:rFonts w:ascii="Times New Roman" w:eastAsia="Calibri" w:hAnsi="Times New Roman"/>
                <w:sz w:val="24"/>
                <w:szCs w:val="24"/>
              </w:rPr>
            </w:pPr>
          </w:p>
        </w:tc>
        <w:tc>
          <w:tcPr>
            <w:tcW w:w="1866" w:type="dxa"/>
            <w:vMerge w:val="restart"/>
            <w:tcBorders>
              <w:top w:val="single" w:sz="4" w:space="0" w:color="auto"/>
              <w:left w:val="single" w:sz="4" w:space="0" w:color="auto"/>
              <w:bottom w:val="single" w:sz="4" w:space="0" w:color="auto"/>
              <w:right w:val="single" w:sz="4" w:space="0" w:color="auto"/>
            </w:tcBorders>
            <w:hideMark/>
          </w:tcPr>
          <w:p w:rsidR="00375A6C" w:rsidRDefault="00375A6C">
            <w:pPr>
              <w:spacing w:line="360" w:lineRule="auto"/>
              <w:jc w:val="both"/>
              <w:rPr>
                <w:rFonts w:ascii="Times New Roman" w:eastAsia="Calibri" w:hAnsi="Times New Roman"/>
                <w:sz w:val="24"/>
                <w:szCs w:val="24"/>
              </w:rPr>
            </w:pPr>
            <w:r>
              <w:rPr>
                <w:rFonts w:ascii="Times New Roman" w:hAnsi="Times New Roman"/>
                <w:b/>
                <w:bCs/>
                <w:sz w:val="24"/>
                <w:szCs w:val="24"/>
              </w:rPr>
              <w:t>KMO</w:t>
            </w:r>
          </w:p>
        </w:tc>
        <w:tc>
          <w:tcPr>
            <w:tcW w:w="4945" w:type="dxa"/>
            <w:gridSpan w:val="3"/>
            <w:tcBorders>
              <w:top w:val="single" w:sz="4" w:space="0" w:color="auto"/>
              <w:left w:val="single" w:sz="4" w:space="0" w:color="auto"/>
              <w:bottom w:val="single" w:sz="4" w:space="0" w:color="auto"/>
              <w:right w:val="single" w:sz="4" w:space="0" w:color="auto"/>
            </w:tcBorders>
            <w:hideMark/>
          </w:tcPr>
          <w:p w:rsidR="00375A6C" w:rsidRDefault="00375A6C">
            <w:pPr>
              <w:rPr>
                <w:rFonts w:ascii="Times New Roman" w:eastAsia="Calibri" w:hAnsi="Times New Roman"/>
                <w:sz w:val="24"/>
                <w:szCs w:val="24"/>
              </w:rPr>
            </w:pPr>
            <w:r>
              <w:rPr>
                <w:rFonts w:ascii="Times New Roman" w:hAnsi="Times New Roman"/>
                <w:b/>
                <w:bCs/>
                <w:color w:val="000000"/>
                <w:sz w:val="24"/>
                <w:szCs w:val="24"/>
              </w:rPr>
              <w:t>Bartlett's Test of Sphericity</w:t>
            </w:r>
          </w:p>
        </w:tc>
      </w:tr>
      <w:tr w:rsidR="00375A6C" w:rsidTr="00375A6C">
        <w:trPr>
          <w:trHeight w:val="3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75A6C" w:rsidRDefault="00375A6C">
            <w:pPr>
              <w:spacing w:before="0" w:beforeAutospacing="0" w:line="240" w:lineRule="auto"/>
              <w:rPr>
                <w:rFonts w:ascii="Times New Roman" w:eastAsia="Calibri"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75A6C" w:rsidRDefault="00375A6C">
            <w:pPr>
              <w:spacing w:before="0" w:beforeAutospacing="0" w:line="240" w:lineRule="auto"/>
              <w:rPr>
                <w:rFonts w:ascii="Times New Roman" w:eastAsia="Calibri" w:hAnsi="Times New Roman"/>
                <w:sz w:val="24"/>
                <w:szCs w:val="24"/>
              </w:rPr>
            </w:pPr>
          </w:p>
        </w:tc>
        <w:tc>
          <w:tcPr>
            <w:tcW w:w="3185" w:type="dxa"/>
            <w:tcBorders>
              <w:top w:val="single" w:sz="4" w:space="0" w:color="auto"/>
              <w:left w:val="single" w:sz="4" w:space="0" w:color="auto"/>
              <w:bottom w:val="single" w:sz="4" w:space="0" w:color="auto"/>
              <w:right w:val="single" w:sz="4" w:space="0" w:color="auto"/>
            </w:tcBorders>
            <w:hideMark/>
          </w:tcPr>
          <w:p w:rsidR="00375A6C" w:rsidRDefault="00375A6C">
            <w:pPr>
              <w:spacing w:line="360" w:lineRule="auto"/>
              <w:jc w:val="both"/>
              <w:rPr>
                <w:rFonts w:ascii="Times New Roman" w:eastAsia="Calibri" w:hAnsi="Times New Roman"/>
                <w:sz w:val="24"/>
                <w:szCs w:val="24"/>
              </w:rPr>
            </w:pPr>
            <w:r>
              <w:rPr>
                <w:rFonts w:ascii="Times New Roman" w:eastAsia="SimSun" w:hAnsi="Times New Roman"/>
                <w:color w:val="264A60"/>
                <w:sz w:val="24"/>
                <w:szCs w:val="24"/>
              </w:rPr>
              <w:t>Approx. Chi</w:t>
            </w:r>
            <w:r>
              <w:rPr>
                <w:rFonts w:ascii="Times New Roman" w:eastAsia="SimSun" w:hAnsi="Times New Roman" w:hint="eastAsia"/>
                <w:color w:val="264A60"/>
                <w:sz w:val="24"/>
                <w:szCs w:val="24"/>
              </w:rPr>
              <w:t>-Square</w:t>
            </w:r>
          </w:p>
        </w:tc>
        <w:tc>
          <w:tcPr>
            <w:tcW w:w="802" w:type="dxa"/>
            <w:tcBorders>
              <w:top w:val="single" w:sz="4" w:space="0" w:color="auto"/>
              <w:left w:val="single" w:sz="4" w:space="0" w:color="auto"/>
              <w:bottom w:val="single" w:sz="4" w:space="0" w:color="auto"/>
              <w:right w:val="single" w:sz="4" w:space="0" w:color="auto"/>
            </w:tcBorders>
            <w:hideMark/>
          </w:tcPr>
          <w:p w:rsidR="00375A6C" w:rsidRDefault="00375A6C">
            <w:pPr>
              <w:spacing w:line="360" w:lineRule="auto"/>
              <w:jc w:val="both"/>
              <w:rPr>
                <w:rFonts w:ascii="Times New Roman" w:eastAsia="Calibri" w:hAnsi="Times New Roman"/>
                <w:sz w:val="24"/>
                <w:szCs w:val="24"/>
              </w:rPr>
            </w:pPr>
            <w:r>
              <w:rPr>
                <w:rFonts w:ascii="Times New Roman" w:eastAsia="SimSun" w:hAnsi="Times New Roman" w:hint="eastAsia"/>
                <w:color w:val="264A60"/>
                <w:sz w:val="24"/>
                <w:szCs w:val="24"/>
              </w:rPr>
              <w:t>df</w:t>
            </w:r>
          </w:p>
        </w:tc>
        <w:tc>
          <w:tcPr>
            <w:tcW w:w="958" w:type="dxa"/>
            <w:tcBorders>
              <w:top w:val="single" w:sz="4" w:space="0" w:color="auto"/>
              <w:left w:val="single" w:sz="4" w:space="0" w:color="auto"/>
              <w:bottom w:val="single" w:sz="4" w:space="0" w:color="auto"/>
              <w:right w:val="single" w:sz="4" w:space="0" w:color="auto"/>
            </w:tcBorders>
            <w:hideMark/>
          </w:tcPr>
          <w:p w:rsidR="00375A6C" w:rsidRDefault="00375A6C">
            <w:pPr>
              <w:spacing w:line="360" w:lineRule="auto"/>
              <w:jc w:val="both"/>
              <w:rPr>
                <w:rFonts w:ascii="Times New Roman" w:eastAsia="Calibri" w:hAnsi="Times New Roman"/>
                <w:sz w:val="24"/>
                <w:szCs w:val="24"/>
              </w:rPr>
            </w:pPr>
            <w:r>
              <w:rPr>
                <w:rFonts w:ascii="Times New Roman" w:eastAsia="SimSun" w:hAnsi="Times New Roman" w:hint="eastAsia"/>
                <w:color w:val="264A60"/>
                <w:sz w:val="24"/>
                <w:szCs w:val="24"/>
              </w:rPr>
              <w:t>Sig.</w:t>
            </w:r>
          </w:p>
        </w:tc>
      </w:tr>
      <w:tr w:rsidR="00375A6C" w:rsidTr="00375A6C">
        <w:tc>
          <w:tcPr>
            <w:tcW w:w="3169" w:type="dxa"/>
            <w:tcBorders>
              <w:top w:val="single" w:sz="4" w:space="0" w:color="auto"/>
              <w:left w:val="single" w:sz="4" w:space="0" w:color="auto"/>
              <w:bottom w:val="single" w:sz="4" w:space="0" w:color="auto"/>
              <w:right w:val="single" w:sz="4" w:space="0" w:color="auto"/>
            </w:tcBorders>
            <w:hideMark/>
          </w:tcPr>
          <w:p w:rsidR="00375A6C" w:rsidRDefault="00375A6C">
            <w:pPr>
              <w:spacing w:line="360" w:lineRule="auto"/>
              <w:jc w:val="both"/>
              <w:rPr>
                <w:rFonts w:ascii="Times New Roman" w:eastAsia="Calibri" w:hAnsi="Times New Roman"/>
                <w:sz w:val="24"/>
                <w:szCs w:val="24"/>
              </w:rPr>
            </w:pPr>
            <w:r>
              <w:rPr>
                <w:rFonts w:ascii="Times New Roman" w:hAnsi="Times New Roman"/>
                <w:sz w:val="24"/>
                <w:szCs w:val="24"/>
              </w:rPr>
              <w:t xml:space="preserve">Adaptive </w:t>
            </w:r>
          </w:p>
        </w:tc>
        <w:tc>
          <w:tcPr>
            <w:tcW w:w="1866" w:type="dxa"/>
            <w:tcBorders>
              <w:top w:val="single" w:sz="4" w:space="0" w:color="auto"/>
              <w:left w:val="single" w:sz="4" w:space="0" w:color="auto"/>
              <w:bottom w:val="single" w:sz="4" w:space="0" w:color="auto"/>
              <w:right w:val="single" w:sz="4" w:space="0" w:color="auto"/>
            </w:tcBorders>
            <w:hideMark/>
          </w:tcPr>
          <w:p w:rsidR="00375A6C" w:rsidRDefault="00375A6C">
            <w:pPr>
              <w:spacing w:line="360" w:lineRule="auto"/>
              <w:jc w:val="both"/>
              <w:rPr>
                <w:rFonts w:ascii="Times New Roman" w:eastAsia="Calibri" w:hAnsi="Times New Roman"/>
                <w:sz w:val="24"/>
                <w:szCs w:val="24"/>
              </w:rPr>
            </w:pPr>
            <w:r>
              <w:rPr>
                <w:rFonts w:ascii="Times New Roman" w:hAnsi="Times New Roman"/>
                <w:sz w:val="24"/>
                <w:szCs w:val="24"/>
              </w:rPr>
              <w:t>0.840</w:t>
            </w:r>
          </w:p>
        </w:tc>
        <w:tc>
          <w:tcPr>
            <w:tcW w:w="3185" w:type="dxa"/>
            <w:tcBorders>
              <w:top w:val="single" w:sz="4" w:space="0" w:color="auto"/>
              <w:left w:val="single" w:sz="4" w:space="0" w:color="auto"/>
              <w:bottom w:val="single" w:sz="4" w:space="0" w:color="auto"/>
              <w:right w:val="single" w:sz="4" w:space="0" w:color="auto"/>
            </w:tcBorders>
            <w:hideMark/>
          </w:tcPr>
          <w:p w:rsidR="00375A6C" w:rsidRDefault="00375A6C">
            <w:pPr>
              <w:spacing w:line="360" w:lineRule="auto"/>
              <w:jc w:val="both"/>
              <w:rPr>
                <w:rFonts w:ascii="Times New Roman" w:eastAsia="Calibri" w:hAnsi="Times New Roman"/>
                <w:sz w:val="24"/>
                <w:szCs w:val="24"/>
              </w:rPr>
            </w:pPr>
            <w:r>
              <w:rPr>
                <w:rFonts w:ascii="Times New Roman" w:eastAsia="SimSun" w:hAnsi="Times New Roman" w:hint="eastAsia"/>
                <w:color w:val="010205"/>
                <w:sz w:val="24"/>
                <w:szCs w:val="24"/>
              </w:rPr>
              <w:t>2158.091</w:t>
            </w:r>
          </w:p>
        </w:tc>
        <w:tc>
          <w:tcPr>
            <w:tcW w:w="802" w:type="dxa"/>
            <w:tcBorders>
              <w:top w:val="single" w:sz="4" w:space="0" w:color="auto"/>
              <w:left w:val="single" w:sz="4" w:space="0" w:color="auto"/>
              <w:bottom w:val="single" w:sz="4" w:space="0" w:color="auto"/>
              <w:right w:val="single" w:sz="4" w:space="0" w:color="auto"/>
            </w:tcBorders>
            <w:hideMark/>
          </w:tcPr>
          <w:p w:rsidR="00375A6C" w:rsidRDefault="00375A6C">
            <w:pPr>
              <w:spacing w:line="360" w:lineRule="auto"/>
              <w:jc w:val="both"/>
              <w:rPr>
                <w:rFonts w:ascii="Times New Roman" w:eastAsia="Calibri" w:hAnsi="Times New Roman"/>
                <w:sz w:val="24"/>
                <w:szCs w:val="24"/>
              </w:rPr>
            </w:pPr>
            <w:r>
              <w:rPr>
                <w:rFonts w:ascii="Times New Roman" w:hAnsi="Times New Roman"/>
                <w:sz w:val="24"/>
                <w:szCs w:val="24"/>
              </w:rPr>
              <w:t>120</w:t>
            </w:r>
          </w:p>
        </w:tc>
        <w:tc>
          <w:tcPr>
            <w:tcW w:w="958" w:type="dxa"/>
            <w:tcBorders>
              <w:top w:val="single" w:sz="4" w:space="0" w:color="auto"/>
              <w:left w:val="single" w:sz="4" w:space="0" w:color="auto"/>
              <w:bottom w:val="single" w:sz="4" w:space="0" w:color="auto"/>
              <w:right w:val="single" w:sz="4" w:space="0" w:color="auto"/>
            </w:tcBorders>
            <w:hideMark/>
          </w:tcPr>
          <w:p w:rsidR="00375A6C" w:rsidRDefault="00375A6C">
            <w:pPr>
              <w:spacing w:line="360" w:lineRule="auto"/>
              <w:jc w:val="both"/>
              <w:rPr>
                <w:rFonts w:ascii="Times New Roman" w:eastAsia="Calibri" w:hAnsi="Times New Roman"/>
                <w:sz w:val="24"/>
                <w:szCs w:val="24"/>
              </w:rPr>
            </w:pPr>
            <w:r>
              <w:rPr>
                <w:rFonts w:ascii="Times New Roman" w:eastAsia="SimSun" w:hAnsi="Times New Roman" w:hint="eastAsia"/>
                <w:color w:val="010205"/>
                <w:sz w:val="24"/>
                <w:szCs w:val="24"/>
              </w:rPr>
              <w:t>.000</w:t>
            </w:r>
          </w:p>
        </w:tc>
      </w:tr>
      <w:tr w:rsidR="00375A6C" w:rsidTr="00375A6C">
        <w:tc>
          <w:tcPr>
            <w:tcW w:w="3169" w:type="dxa"/>
            <w:tcBorders>
              <w:top w:val="single" w:sz="4" w:space="0" w:color="auto"/>
              <w:left w:val="single" w:sz="4" w:space="0" w:color="auto"/>
              <w:bottom w:val="single" w:sz="4" w:space="0" w:color="auto"/>
              <w:right w:val="single" w:sz="4" w:space="0" w:color="auto"/>
            </w:tcBorders>
            <w:hideMark/>
          </w:tcPr>
          <w:p w:rsidR="00375A6C" w:rsidRDefault="00375A6C">
            <w:pPr>
              <w:spacing w:line="360" w:lineRule="auto"/>
              <w:jc w:val="both"/>
              <w:rPr>
                <w:rFonts w:ascii="Times New Roman" w:eastAsia="Calibri" w:hAnsi="Times New Roman"/>
                <w:sz w:val="24"/>
                <w:szCs w:val="24"/>
              </w:rPr>
            </w:pPr>
            <w:r>
              <w:rPr>
                <w:rFonts w:ascii="Times New Roman" w:hAnsi="Times New Roman"/>
                <w:sz w:val="24"/>
                <w:szCs w:val="24"/>
              </w:rPr>
              <w:t>Maladaptive</w:t>
            </w:r>
          </w:p>
        </w:tc>
        <w:tc>
          <w:tcPr>
            <w:tcW w:w="1866" w:type="dxa"/>
            <w:tcBorders>
              <w:top w:val="single" w:sz="4" w:space="0" w:color="auto"/>
              <w:left w:val="single" w:sz="4" w:space="0" w:color="auto"/>
              <w:bottom w:val="single" w:sz="4" w:space="0" w:color="auto"/>
              <w:right w:val="single" w:sz="4" w:space="0" w:color="auto"/>
            </w:tcBorders>
            <w:hideMark/>
          </w:tcPr>
          <w:p w:rsidR="00375A6C" w:rsidRDefault="00375A6C">
            <w:pPr>
              <w:spacing w:line="360" w:lineRule="auto"/>
              <w:jc w:val="both"/>
              <w:rPr>
                <w:rFonts w:ascii="Times New Roman" w:eastAsia="Calibri" w:hAnsi="Times New Roman"/>
                <w:sz w:val="24"/>
                <w:szCs w:val="24"/>
              </w:rPr>
            </w:pPr>
            <w:r>
              <w:rPr>
                <w:rFonts w:ascii="Times New Roman" w:hAnsi="Times New Roman"/>
                <w:sz w:val="24"/>
                <w:szCs w:val="24"/>
              </w:rPr>
              <w:t>0.840</w:t>
            </w:r>
          </w:p>
        </w:tc>
        <w:tc>
          <w:tcPr>
            <w:tcW w:w="3185" w:type="dxa"/>
            <w:tcBorders>
              <w:top w:val="single" w:sz="4" w:space="0" w:color="auto"/>
              <w:left w:val="single" w:sz="4" w:space="0" w:color="auto"/>
              <w:bottom w:val="single" w:sz="4" w:space="0" w:color="auto"/>
              <w:right w:val="single" w:sz="4" w:space="0" w:color="auto"/>
            </w:tcBorders>
            <w:hideMark/>
          </w:tcPr>
          <w:p w:rsidR="00375A6C" w:rsidRDefault="00375A6C">
            <w:pPr>
              <w:spacing w:line="360" w:lineRule="auto"/>
              <w:jc w:val="both"/>
              <w:rPr>
                <w:rFonts w:ascii="Times New Roman" w:eastAsia="Calibri" w:hAnsi="Times New Roman"/>
                <w:sz w:val="24"/>
                <w:szCs w:val="24"/>
              </w:rPr>
            </w:pPr>
            <w:r>
              <w:rPr>
                <w:rFonts w:ascii="Times New Roman" w:eastAsia="SimSun" w:hAnsi="Times New Roman" w:hint="eastAsia"/>
                <w:color w:val="010205"/>
                <w:sz w:val="24"/>
                <w:szCs w:val="24"/>
              </w:rPr>
              <w:t>2158.091</w:t>
            </w:r>
          </w:p>
        </w:tc>
        <w:tc>
          <w:tcPr>
            <w:tcW w:w="802" w:type="dxa"/>
            <w:tcBorders>
              <w:top w:val="single" w:sz="4" w:space="0" w:color="auto"/>
              <w:left w:val="single" w:sz="4" w:space="0" w:color="auto"/>
              <w:bottom w:val="single" w:sz="4" w:space="0" w:color="auto"/>
              <w:right w:val="single" w:sz="4" w:space="0" w:color="auto"/>
            </w:tcBorders>
            <w:hideMark/>
          </w:tcPr>
          <w:p w:rsidR="00375A6C" w:rsidRDefault="00375A6C">
            <w:pPr>
              <w:spacing w:line="360" w:lineRule="auto"/>
              <w:jc w:val="both"/>
              <w:rPr>
                <w:rFonts w:ascii="Times New Roman" w:eastAsia="Calibri" w:hAnsi="Times New Roman"/>
                <w:sz w:val="24"/>
                <w:szCs w:val="24"/>
              </w:rPr>
            </w:pPr>
            <w:r>
              <w:rPr>
                <w:rFonts w:ascii="Times New Roman" w:hAnsi="Times New Roman"/>
                <w:sz w:val="24"/>
                <w:szCs w:val="24"/>
              </w:rPr>
              <w:t>120</w:t>
            </w:r>
          </w:p>
        </w:tc>
        <w:tc>
          <w:tcPr>
            <w:tcW w:w="958" w:type="dxa"/>
            <w:tcBorders>
              <w:top w:val="single" w:sz="4" w:space="0" w:color="auto"/>
              <w:left w:val="single" w:sz="4" w:space="0" w:color="auto"/>
              <w:bottom w:val="single" w:sz="4" w:space="0" w:color="auto"/>
              <w:right w:val="single" w:sz="4" w:space="0" w:color="auto"/>
            </w:tcBorders>
            <w:hideMark/>
          </w:tcPr>
          <w:p w:rsidR="00375A6C" w:rsidRDefault="00375A6C">
            <w:pPr>
              <w:spacing w:line="360" w:lineRule="auto"/>
              <w:jc w:val="both"/>
              <w:rPr>
                <w:rFonts w:ascii="Times New Roman" w:eastAsia="Calibri" w:hAnsi="Times New Roman"/>
                <w:sz w:val="24"/>
                <w:szCs w:val="24"/>
              </w:rPr>
            </w:pPr>
            <w:r>
              <w:rPr>
                <w:rFonts w:ascii="Times New Roman" w:hAnsi="Times New Roman"/>
                <w:sz w:val="24"/>
                <w:szCs w:val="24"/>
              </w:rPr>
              <w:t>0.000</w:t>
            </w:r>
          </w:p>
        </w:tc>
      </w:tr>
      <w:tr w:rsidR="00375A6C" w:rsidTr="00375A6C">
        <w:tc>
          <w:tcPr>
            <w:tcW w:w="3169" w:type="dxa"/>
            <w:tcBorders>
              <w:top w:val="single" w:sz="4" w:space="0" w:color="auto"/>
              <w:left w:val="single" w:sz="4" w:space="0" w:color="auto"/>
              <w:bottom w:val="single" w:sz="4" w:space="0" w:color="auto"/>
              <w:right w:val="single" w:sz="4" w:space="0" w:color="auto"/>
            </w:tcBorders>
            <w:hideMark/>
          </w:tcPr>
          <w:p w:rsidR="00375A6C" w:rsidRDefault="00375A6C">
            <w:pPr>
              <w:spacing w:line="360" w:lineRule="auto"/>
              <w:jc w:val="both"/>
              <w:rPr>
                <w:rFonts w:ascii="Times New Roman" w:eastAsia="Calibri" w:hAnsi="Times New Roman"/>
                <w:sz w:val="24"/>
                <w:szCs w:val="24"/>
              </w:rPr>
            </w:pPr>
            <w:r>
              <w:rPr>
                <w:rFonts w:ascii="Times New Roman" w:hAnsi="Times New Roman"/>
                <w:sz w:val="24"/>
                <w:szCs w:val="24"/>
              </w:rPr>
              <w:t>Over all</w:t>
            </w:r>
          </w:p>
        </w:tc>
        <w:tc>
          <w:tcPr>
            <w:tcW w:w="1866" w:type="dxa"/>
            <w:tcBorders>
              <w:top w:val="single" w:sz="4" w:space="0" w:color="auto"/>
              <w:left w:val="single" w:sz="4" w:space="0" w:color="auto"/>
              <w:bottom w:val="single" w:sz="4" w:space="0" w:color="auto"/>
              <w:right w:val="single" w:sz="4" w:space="0" w:color="auto"/>
            </w:tcBorders>
            <w:hideMark/>
          </w:tcPr>
          <w:p w:rsidR="00375A6C" w:rsidRDefault="00375A6C">
            <w:pPr>
              <w:spacing w:line="360" w:lineRule="auto"/>
              <w:jc w:val="both"/>
              <w:rPr>
                <w:rFonts w:ascii="Times New Roman" w:eastAsia="Calibri" w:hAnsi="Times New Roman"/>
                <w:sz w:val="24"/>
                <w:szCs w:val="24"/>
              </w:rPr>
            </w:pPr>
            <w:r>
              <w:rPr>
                <w:rFonts w:ascii="Times New Roman" w:eastAsia="SimSun" w:hAnsi="Times New Roman"/>
                <w:color w:val="010205"/>
                <w:sz w:val="24"/>
                <w:szCs w:val="24"/>
              </w:rPr>
              <w:t>0</w:t>
            </w:r>
            <w:r>
              <w:rPr>
                <w:rFonts w:ascii="Times New Roman" w:eastAsia="SimSun" w:hAnsi="Times New Roman" w:hint="eastAsia"/>
                <w:color w:val="010205"/>
                <w:sz w:val="24"/>
                <w:szCs w:val="24"/>
              </w:rPr>
              <w:t>.828</w:t>
            </w:r>
          </w:p>
        </w:tc>
        <w:tc>
          <w:tcPr>
            <w:tcW w:w="3185" w:type="dxa"/>
            <w:tcBorders>
              <w:top w:val="single" w:sz="4" w:space="0" w:color="auto"/>
              <w:left w:val="single" w:sz="4" w:space="0" w:color="auto"/>
              <w:bottom w:val="single" w:sz="4" w:space="0" w:color="auto"/>
              <w:right w:val="single" w:sz="4" w:space="0" w:color="auto"/>
            </w:tcBorders>
            <w:hideMark/>
          </w:tcPr>
          <w:p w:rsidR="00375A6C" w:rsidRDefault="00375A6C">
            <w:pPr>
              <w:spacing w:line="360" w:lineRule="auto"/>
              <w:jc w:val="both"/>
              <w:rPr>
                <w:rFonts w:ascii="Times New Roman" w:eastAsia="Calibri" w:hAnsi="Times New Roman"/>
                <w:sz w:val="24"/>
                <w:szCs w:val="24"/>
              </w:rPr>
            </w:pPr>
            <w:r>
              <w:rPr>
                <w:rFonts w:ascii="Times New Roman" w:eastAsia="SimSun" w:hAnsi="Times New Roman" w:hint="eastAsia"/>
                <w:color w:val="010205"/>
                <w:sz w:val="24"/>
                <w:szCs w:val="24"/>
              </w:rPr>
              <w:t>4170.067</w:t>
            </w:r>
          </w:p>
        </w:tc>
        <w:tc>
          <w:tcPr>
            <w:tcW w:w="802" w:type="dxa"/>
            <w:tcBorders>
              <w:top w:val="single" w:sz="4" w:space="0" w:color="auto"/>
              <w:left w:val="single" w:sz="4" w:space="0" w:color="auto"/>
              <w:bottom w:val="single" w:sz="4" w:space="0" w:color="auto"/>
              <w:right w:val="single" w:sz="4" w:space="0" w:color="auto"/>
            </w:tcBorders>
            <w:hideMark/>
          </w:tcPr>
          <w:p w:rsidR="00375A6C" w:rsidRDefault="00375A6C">
            <w:pPr>
              <w:spacing w:line="360" w:lineRule="auto"/>
              <w:jc w:val="both"/>
              <w:rPr>
                <w:rFonts w:ascii="Times New Roman" w:eastAsia="Calibri" w:hAnsi="Times New Roman"/>
                <w:sz w:val="24"/>
                <w:szCs w:val="24"/>
              </w:rPr>
            </w:pPr>
            <w:r>
              <w:rPr>
                <w:rFonts w:ascii="Times New Roman" w:eastAsia="SimSun" w:hAnsi="Times New Roman" w:hint="eastAsia"/>
                <w:color w:val="010205"/>
                <w:sz w:val="24"/>
                <w:szCs w:val="24"/>
              </w:rPr>
              <w:t>378</w:t>
            </w:r>
          </w:p>
        </w:tc>
        <w:tc>
          <w:tcPr>
            <w:tcW w:w="958" w:type="dxa"/>
            <w:tcBorders>
              <w:top w:val="single" w:sz="4" w:space="0" w:color="auto"/>
              <w:left w:val="single" w:sz="4" w:space="0" w:color="auto"/>
              <w:bottom w:val="single" w:sz="4" w:space="0" w:color="auto"/>
              <w:right w:val="single" w:sz="4" w:space="0" w:color="auto"/>
            </w:tcBorders>
            <w:hideMark/>
          </w:tcPr>
          <w:p w:rsidR="00375A6C" w:rsidRDefault="00375A6C">
            <w:pPr>
              <w:spacing w:line="360" w:lineRule="auto"/>
              <w:jc w:val="both"/>
              <w:rPr>
                <w:rFonts w:ascii="Times New Roman" w:eastAsia="Calibri" w:hAnsi="Times New Roman"/>
                <w:sz w:val="24"/>
                <w:szCs w:val="24"/>
              </w:rPr>
            </w:pPr>
            <w:r>
              <w:rPr>
                <w:rFonts w:ascii="Times New Roman" w:hAnsi="Times New Roman"/>
                <w:sz w:val="24"/>
                <w:szCs w:val="24"/>
              </w:rPr>
              <w:t>0.000</w:t>
            </w:r>
          </w:p>
        </w:tc>
      </w:tr>
    </w:tbl>
    <w:p w:rsidR="00375A6C" w:rsidRPr="00375A6C" w:rsidRDefault="00375A6C" w:rsidP="00375A6C">
      <w:pPr>
        <w:pStyle w:val="ListParagraph"/>
        <w:numPr>
          <w:ilvl w:val="0"/>
          <w:numId w:val="1"/>
        </w:numPr>
        <w:spacing w:before="0" w:beforeAutospacing="0" w:after="0" w:line="360" w:lineRule="auto"/>
        <w:jc w:val="both"/>
        <w:rPr>
          <w:rFonts w:ascii="Nyala" w:eastAsia="Calibri" w:hAnsi="Nyala"/>
          <w:sz w:val="24"/>
          <w:szCs w:val="24"/>
        </w:rPr>
      </w:pPr>
      <w:r w:rsidRPr="00375A6C">
        <w:rPr>
          <w:rFonts w:ascii="Times New Roman" w:eastAsia="Calibri" w:hAnsi="Times New Roman"/>
          <w:b/>
          <w:bCs/>
          <w:sz w:val="24"/>
          <w:szCs w:val="24"/>
        </w:rPr>
        <w:t>Multicollinearity</w:t>
      </w:r>
    </w:p>
    <w:p w:rsidR="00375A6C" w:rsidRDefault="00375A6C" w:rsidP="00375A6C">
      <w:pPr>
        <w:spacing w:before="0" w:beforeAutospacing="0" w:after="0" w:line="360" w:lineRule="auto"/>
        <w:jc w:val="both"/>
        <w:rPr>
          <w:rFonts w:ascii="Times New Roman" w:eastAsia="Calibri" w:hAnsi="Times New Roman"/>
          <w:sz w:val="24"/>
          <w:szCs w:val="24"/>
        </w:rPr>
      </w:pPr>
      <w:r>
        <w:rPr>
          <w:rFonts w:ascii="Times New Roman" w:eastAsia="Calibri" w:hAnsi="Times New Roman"/>
          <w:sz w:val="24"/>
          <w:szCs w:val="24"/>
        </w:rPr>
        <w:t>Multicollinearity refers to the relationship between two or more predictor variables (independent variables) when there is a high degree of correlation between them. It can be assessed using the Variance Inflation Factor (VIF). If the VIF exceeds 10 or the tolerance (1/VIF) is less than 0.01, it indicates problematic multicollinearity. In this study, no issues with multicollinearity were detected</w:t>
      </w:r>
    </w:p>
    <w:sectPr w:rsidR="00375A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charset w:val="00"/>
    <w:family w:val="auto"/>
    <w:pitch w:val="default"/>
  </w:font>
  <w:font w:name="Nyala">
    <w:panose1 w:val="02000504070300020003"/>
    <w:charset w:val="00"/>
    <w:family w:val="auto"/>
    <w:pitch w:val="variable"/>
    <w:sig w:usb0="A000006F" w:usb1="00000000" w:usb2="000008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8D748D"/>
    <w:multiLevelType w:val="multilevel"/>
    <w:tmpl w:val="1C40050A"/>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A6C"/>
    <w:rsid w:val="001010F8"/>
    <w:rsid w:val="00375A6C"/>
    <w:rsid w:val="009E0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E1F44"/>
  <w15:chartTrackingRefBased/>
  <w15:docId w15:val="{AEB0F132-22D9-4110-96A9-01D2784E7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5A6C"/>
    <w:pPr>
      <w:spacing w:before="100" w:beforeAutospacing="1" w:line="273"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75A6C"/>
    <w:pPr>
      <w:spacing w:after="100" w:afterAutospacing="1" w:line="240" w:lineRule="auto"/>
    </w:pPr>
    <w:rPr>
      <w:rFonts w:ascii="Times New Roman" w:hAnsi="Times New Roman"/>
      <w:sz w:val="24"/>
      <w:szCs w:val="24"/>
    </w:rPr>
  </w:style>
  <w:style w:type="paragraph" w:styleId="Caption">
    <w:name w:val="caption"/>
    <w:basedOn w:val="Normal"/>
    <w:next w:val="Normal"/>
    <w:uiPriority w:val="99"/>
    <w:qFormat/>
    <w:rsid w:val="00375A6C"/>
    <w:pPr>
      <w:spacing w:line="240" w:lineRule="auto"/>
    </w:pPr>
    <w:rPr>
      <w:b/>
      <w:bCs/>
      <w:color w:val="4F81BD"/>
      <w:sz w:val="18"/>
      <w:szCs w:val="18"/>
    </w:rPr>
  </w:style>
  <w:style w:type="paragraph" w:styleId="ListParagraph">
    <w:name w:val="List Paragraph"/>
    <w:basedOn w:val="Normal"/>
    <w:uiPriority w:val="99"/>
    <w:qFormat/>
    <w:rsid w:val="00375A6C"/>
    <w:pPr>
      <w:ind w:left="720"/>
      <w:contextualSpacing/>
    </w:pPr>
  </w:style>
  <w:style w:type="character" w:customStyle="1" w:styleId="15">
    <w:name w:val="15"/>
    <w:basedOn w:val="DefaultParagraphFont"/>
    <w:rsid w:val="00375A6C"/>
    <w:rPr>
      <w:rFonts w:ascii="SimSun" w:eastAsia="SimSun" w:hAnsi="SimSun" w:hint="eastAsia"/>
    </w:rPr>
  </w:style>
  <w:style w:type="table" w:styleId="TableGrid">
    <w:name w:val="Table Grid"/>
    <w:basedOn w:val="TableNormal"/>
    <w:uiPriority w:val="99"/>
    <w:rsid w:val="00375A6C"/>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80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695</Words>
  <Characters>3965</Characters>
  <Application>Microsoft Office Word</Application>
  <DocSecurity>0</DocSecurity>
  <Lines>33</Lines>
  <Paragraphs>9</Paragraphs>
  <ScaleCrop>false</ScaleCrop>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Shegaye Shumet</dc:creator>
  <cp:keywords/>
  <dc:description/>
  <cp:lastModifiedBy>Shegaye Shumet</cp:lastModifiedBy>
  <cp:revision>2</cp:revision>
  <dcterms:created xsi:type="dcterms:W3CDTF">2025-03-11T06:40:00Z</dcterms:created>
  <dcterms:modified xsi:type="dcterms:W3CDTF">2025-03-11T06:43:00Z</dcterms:modified>
</cp:coreProperties>
</file>