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0" w:type="dxa"/>
        <w:tblInd w:w="93" w:type="dxa"/>
        <w:tblLook w:val="04A0" w:firstRow="1" w:lastRow="0" w:firstColumn="1" w:lastColumn="0" w:noHBand="0" w:noVBand="1"/>
      </w:tblPr>
      <w:tblGrid>
        <w:gridCol w:w="520"/>
        <w:gridCol w:w="7640"/>
        <w:gridCol w:w="1740"/>
      </w:tblGrid>
      <w:tr w:rsidR="006B2AFA" w:rsidRPr="006B2AFA" w14:paraId="4EAB0C9A" w14:textId="77777777" w:rsidTr="006B2AFA">
        <w:trPr>
          <w:trHeight w:val="375"/>
        </w:trPr>
        <w:tc>
          <w:tcPr>
            <w:tcW w:w="520" w:type="dxa"/>
            <w:tcBorders>
              <w:top w:val="nil"/>
              <w:left w:val="nil"/>
              <w:bottom w:val="nil"/>
              <w:right w:val="nil"/>
            </w:tcBorders>
            <w:noWrap/>
            <w:vAlign w:val="bottom"/>
            <w:hideMark/>
          </w:tcPr>
          <w:p w14:paraId="5B00556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36D9CAAE" w14:textId="77777777" w:rsidR="006B2AFA" w:rsidRPr="006B2AFA" w:rsidRDefault="006B2AFA" w:rsidP="006B2AFA">
            <w:pPr>
              <w:spacing w:after="0" w:line="240" w:lineRule="auto"/>
              <w:rPr>
                <w:rFonts w:ascii="Calibri" w:eastAsia="Times New Roman" w:hAnsi="Calibri" w:cs="Times New Roman"/>
                <w:b/>
                <w:bCs/>
                <w:color w:val="000000"/>
                <w:sz w:val="28"/>
                <w:szCs w:val="28"/>
              </w:rPr>
            </w:pPr>
            <w:r w:rsidRPr="006B2AFA">
              <w:rPr>
                <w:rFonts w:ascii="Calibri" w:eastAsia="Times New Roman" w:hAnsi="Calibri" w:cs="Times New Roman"/>
                <w:b/>
                <w:bCs/>
                <w:color w:val="000000"/>
                <w:sz w:val="28"/>
                <w:szCs w:val="28"/>
              </w:rPr>
              <w:t>Standards for Reporting Qualitative Research (SRQR)*</w:t>
            </w:r>
          </w:p>
        </w:tc>
        <w:tc>
          <w:tcPr>
            <w:tcW w:w="1740" w:type="dxa"/>
            <w:tcBorders>
              <w:top w:val="nil"/>
              <w:left w:val="nil"/>
              <w:bottom w:val="nil"/>
              <w:right w:val="nil"/>
            </w:tcBorders>
            <w:noWrap/>
            <w:vAlign w:val="bottom"/>
            <w:hideMark/>
          </w:tcPr>
          <w:p w14:paraId="5C4142C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232D362" w14:textId="77777777" w:rsidTr="006B2AFA">
        <w:trPr>
          <w:trHeight w:val="300"/>
        </w:trPr>
        <w:tc>
          <w:tcPr>
            <w:tcW w:w="520" w:type="dxa"/>
            <w:tcBorders>
              <w:top w:val="nil"/>
              <w:left w:val="nil"/>
              <w:bottom w:val="nil"/>
              <w:right w:val="nil"/>
            </w:tcBorders>
            <w:noWrap/>
            <w:vAlign w:val="bottom"/>
            <w:hideMark/>
          </w:tcPr>
          <w:p w14:paraId="130F610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50098D9A" w14:textId="77777777" w:rsidR="006B2AFA" w:rsidRPr="006B2AFA" w:rsidRDefault="006B2AFA" w:rsidP="006B2AFA">
            <w:pPr>
              <w:spacing w:after="0" w:line="240" w:lineRule="auto"/>
              <w:rPr>
                <w:rFonts w:ascii="Calibri" w:eastAsia="Times New Roman" w:hAnsi="Calibri" w:cs="Times New Roman"/>
                <w:color w:val="0000FF"/>
                <w:u w:val="single"/>
              </w:rPr>
            </w:pPr>
            <w:hyperlink r:id="rId6" w:history="1">
              <w:r w:rsidRPr="006B2AFA">
                <w:rPr>
                  <w:rFonts w:ascii="Calibri" w:eastAsia="Times New Roman" w:hAnsi="Calibri" w:cs="Times New Roman"/>
                  <w:color w:val="0000FF"/>
                  <w:u w:val="single"/>
                </w:rPr>
                <w:t>http://www.equator-network.org/reporting-guidelines/srqr/</w:t>
              </w:r>
            </w:hyperlink>
          </w:p>
        </w:tc>
        <w:tc>
          <w:tcPr>
            <w:tcW w:w="1740" w:type="dxa"/>
            <w:tcBorders>
              <w:top w:val="nil"/>
              <w:left w:val="nil"/>
              <w:bottom w:val="nil"/>
              <w:right w:val="nil"/>
            </w:tcBorders>
            <w:noWrap/>
            <w:vAlign w:val="bottom"/>
            <w:hideMark/>
          </w:tcPr>
          <w:p w14:paraId="198A1AC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C71A80F" w14:textId="77777777" w:rsidTr="006B2AFA">
        <w:trPr>
          <w:trHeight w:val="375"/>
        </w:trPr>
        <w:tc>
          <w:tcPr>
            <w:tcW w:w="520" w:type="dxa"/>
            <w:tcBorders>
              <w:top w:val="nil"/>
              <w:left w:val="nil"/>
              <w:bottom w:val="nil"/>
              <w:right w:val="nil"/>
            </w:tcBorders>
            <w:noWrap/>
            <w:vAlign w:val="bottom"/>
            <w:hideMark/>
          </w:tcPr>
          <w:p w14:paraId="52E4372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1825E516" w14:textId="77777777" w:rsidR="006B2AFA" w:rsidRPr="006B2AFA" w:rsidRDefault="006B2AFA" w:rsidP="006B2AFA">
            <w:pPr>
              <w:spacing w:after="0" w:line="240" w:lineRule="auto"/>
              <w:rPr>
                <w:rFonts w:ascii="Calibri" w:eastAsia="Times New Roman" w:hAnsi="Calibri" w:cs="Times New Roman"/>
                <w:b/>
                <w:bCs/>
                <w:color w:val="000000"/>
                <w:sz w:val="28"/>
                <w:szCs w:val="28"/>
              </w:rPr>
            </w:pPr>
          </w:p>
        </w:tc>
        <w:tc>
          <w:tcPr>
            <w:tcW w:w="1740" w:type="dxa"/>
            <w:tcBorders>
              <w:top w:val="nil"/>
              <w:left w:val="nil"/>
              <w:bottom w:val="nil"/>
              <w:right w:val="nil"/>
            </w:tcBorders>
            <w:noWrap/>
            <w:vAlign w:val="bottom"/>
            <w:hideMark/>
          </w:tcPr>
          <w:p w14:paraId="00D23CC3"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Page/line no(s).</w:t>
            </w:r>
          </w:p>
        </w:tc>
      </w:tr>
      <w:tr w:rsidR="006B2AFA" w:rsidRPr="006B2AFA" w14:paraId="29315D5F" w14:textId="77777777" w:rsidTr="006B2AFA">
        <w:trPr>
          <w:trHeight w:val="300"/>
        </w:trPr>
        <w:tc>
          <w:tcPr>
            <w:tcW w:w="8160" w:type="dxa"/>
            <w:gridSpan w:val="2"/>
            <w:tcBorders>
              <w:top w:val="nil"/>
              <w:left w:val="nil"/>
              <w:bottom w:val="nil"/>
              <w:right w:val="nil"/>
            </w:tcBorders>
            <w:noWrap/>
            <w:vAlign w:val="bottom"/>
            <w:hideMark/>
          </w:tcPr>
          <w:p w14:paraId="4F490929"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Title and abstract</w:t>
            </w:r>
          </w:p>
        </w:tc>
        <w:tc>
          <w:tcPr>
            <w:tcW w:w="1740" w:type="dxa"/>
            <w:tcBorders>
              <w:top w:val="nil"/>
              <w:left w:val="nil"/>
              <w:bottom w:val="nil"/>
              <w:right w:val="nil"/>
            </w:tcBorders>
            <w:noWrap/>
            <w:vAlign w:val="bottom"/>
            <w:hideMark/>
          </w:tcPr>
          <w:p w14:paraId="3FF15AB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4FD4090" w14:textId="77777777" w:rsidTr="00CB6141">
        <w:trPr>
          <w:trHeight w:val="1200"/>
        </w:trPr>
        <w:tc>
          <w:tcPr>
            <w:tcW w:w="520" w:type="dxa"/>
            <w:tcBorders>
              <w:top w:val="nil"/>
              <w:left w:val="nil"/>
              <w:bottom w:val="nil"/>
              <w:right w:val="nil"/>
            </w:tcBorders>
            <w:noWrap/>
            <w:vAlign w:val="bottom"/>
            <w:hideMark/>
          </w:tcPr>
          <w:p w14:paraId="65D7BEE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20C3A95E"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Title</w:t>
            </w:r>
            <w:r w:rsidRPr="006B2AFA">
              <w:rPr>
                <w:rFonts w:ascii="Calibri" w:eastAsia="Times New Roman" w:hAnsi="Calibri" w:cs="Times New Roman"/>
                <w:color w:val="000000"/>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noWrap/>
            <w:vAlign w:val="center"/>
            <w:hideMark/>
          </w:tcPr>
          <w:p w14:paraId="0D4541E2" w14:textId="245C9B30" w:rsidR="006B2AFA" w:rsidRPr="006B2AFA" w:rsidRDefault="00CB6141" w:rsidP="00CB6141">
            <w:pPr>
              <w:spacing w:after="0" w:line="240" w:lineRule="auto"/>
              <w:jc w:val="center"/>
              <w:rPr>
                <w:rFonts w:ascii="Calibri" w:eastAsia="Times New Roman" w:hAnsi="Calibri" w:cs="Times New Roman"/>
                <w:color w:val="000000"/>
              </w:rPr>
            </w:pPr>
            <w:r>
              <w:rPr>
                <w:rFonts w:ascii="Calibri" w:eastAsia="Times New Roman" w:hAnsi="Calibri" w:cs="Times New Roman"/>
                <w:color w:val="000000"/>
              </w:rPr>
              <w:t>1/1</w:t>
            </w:r>
            <w:r w:rsidR="00BE5004">
              <w:rPr>
                <w:rFonts w:ascii="Calibri" w:eastAsia="Times New Roman" w:hAnsi="Calibri" w:cs="Times New Roman"/>
                <w:color w:val="000000"/>
              </w:rPr>
              <w:t>-</w:t>
            </w:r>
            <w:r>
              <w:rPr>
                <w:rFonts w:ascii="Calibri" w:eastAsia="Times New Roman" w:hAnsi="Calibri" w:cs="Times New Roman"/>
                <w:color w:val="000000"/>
              </w:rPr>
              <w:t>3</w:t>
            </w:r>
          </w:p>
        </w:tc>
      </w:tr>
      <w:tr w:rsidR="006B2AFA" w:rsidRPr="006B2AFA" w14:paraId="7411A9F4" w14:textId="77777777" w:rsidTr="006B2AFA">
        <w:trPr>
          <w:trHeight w:val="900"/>
        </w:trPr>
        <w:tc>
          <w:tcPr>
            <w:tcW w:w="520" w:type="dxa"/>
            <w:tcBorders>
              <w:top w:val="nil"/>
              <w:left w:val="nil"/>
              <w:bottom w:val="nil"/>
              <w:right w:val="nil"/>
            </w:tcBorders>
            <w:noWrap/>
            <w:vAlign w:val="bottom"/>
            <w:hideMark/>
          </w:tcPr>
          <w:p w14:paraId="72A2966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270A8D6" w14:textId="6F557682" w:rsidR="006B2AFA" w:rsidRPr="006B2AFA" w:rsidRDefault="0099700C"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Abstract</w:t>
            </w:r>
            <w:r w:rsidRPr="006B2AFA">
              <w:rPr>
                <w:rFonts w:ascii="Calibri" w:eastAsia="Times New Roman" w:hAnsi="Calibri" w:cs="Times New Roman"/>
                <w:color w:val="000000"/>
              </w:rPr>
              <w:t xml:space="preserve"> -</w:t>
            </w:r>
            <w:r w:rsidR="006B2AFA" w:rsidRPr="006B2AFA">
              <w:rPr>
                <w:rFonts w:ascii="Calibri" w:eastAsia="Times New Roman" w:hAnsi="Calibri" w:cs="Times New Roman"/>
                <w:color w:val="000000"/>
              </w:rPr>
              <w:t xml:space="preserve">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noWrap/>
            <w:vAlign w:val="bottom"/>
            <w:hideMark/>
          </w:tcPr>
          <w:p w14:paraId="1709F53C" w14:textId="264CB3D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E5004">
              <w:rPr>
                <w:rFonts w:ascii="Calibri" w:eastAsia="Times New Roman" w:hAnsi="Calibri" w:cs="Times New Roman"/>
                <w:color w:val="000000"/>
              </w:rPr>
              <w:t>1-2/20-57</w:t>
            </w:r>
          </w:p>
        </w:tc>
      </w:tr>
      <w:tr w:rsidR="006B2AFA" w:rsidRPr="006B2AFA" w14:paraId="0BCA0BC8" w14:textId="77777777" w:rsidTr="006B2AFA">
        <w:trPr>
          <w:trHeight w:val="300"/>
        </w:trPr>
        <w:tc>
          <w:tcPr>
            <w:tcW w:w="520" w:type="dxa"/>
            <w:tcBorders>
              <w:top w:val="nil"/>
              <w:left w:val="nil"/>
              <w:bottom w:val="nil"/>
              <w:right w:val="nil"/>
            </w:tcBorders>
            <w:noWrap/>
            <w:vAlign w:val="bottom"/>
            <w:hideMark/>
          </w:tcPr>
          <w:p w14:paraId="64B1E77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18094A0D"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376A805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B01AF96" w14:textId="77777777" w:rsidTr="006B2AFA">
        <w:trPr>
          <w:trHeight w:val="300"/>
        </w:trPr>
        <w:tc>
          <w:tcPr>
            <w:tcW w:w="8160" w:type="dxa"/>
            <w:gridSpan w:val="2"/>
            <w:tcBorders>
              <w:top w:val="nil"/>
              <w:left w:val="nil"/>
              <w:bottom w:val="nil"/>
              <w:right w:val="nil"/>
            </w:tcBorders>
            <w:noWrap/>
            <w:vAlign w:val="bottom"/>
            <w:hideMark/>
          </w:tcPr>
          <w:p w14:paraId="6132B565"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Introduction</w:t>
            </w:r>
          </w:p>
        </w:tc>
        <w:tc>
          <w:tcPr>
            <w:tcW w:w="1740" w:type="dxa"/>
            <w:tcBorders>
              <w:top w:val="nil"/>
              <w:left w:val="nil"/>
              <w:bottom w:val="nil"/>
              <w:right w:val="nil"/>
            </w:tcBorders>
            <w:noWrap/>
            <w:vAlign w:val="bottom"/>
            <w:hideMark/>
          </w:tcPr>
          <w:p w14:paraId="7165D74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1DC9D9F" w14:textId="77777777" w:rsidTr="006B2AFA">
        <w:trPr>
          <w:trHeight w:val="900"/>
        </w:trPr>
        <w:tc>
          <w:tcPr>
            <w:tcW w:w="520" w:type="dxa"/>
            <w:tcBorders>
              <w:top w:val="nil"/>
              <w:left w:val="nil"/>
              <w:bottom w:val="nil"/>
              <w:right w:val="nil"/>
            </w:tcBorders>
            <w:noWrap/>
            <w:vAlign w:val="bottom"/>
            <w:hideMark/>
          </w:tcPr>
          <w:p w14:paraId="3ABA0F0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0EDFF51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Problem formulation</w:t>
            </w:r>
            <w:r w:rsidRPr="006B2AFA">
              <w:rPr>
                <w:rFonts w:ascii="Calibri" w:eastAsia="Times New Roman" w:hAnsi="Calibri" w:cs="Times New Roman"/>
                <w:color w:val="000000"/>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noWrap/>
            <w:vAlign w:val="bottom"/>
            <w:hideMark/>
          </w:tcPr>
          <w:p w14:paraId="40CA0989" w14:textId="373B75F4"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BE5004">
              <w:rPr>
                <w:rFonts w:ascii="Calibri" w:eastAsia="Times New Roman" w:hAnsi="Calibri" w:cs="Times New Roman"/>
                <w:color w:val="000000"/>
              </w:rPr>
              <w:t>2-3/62-97</w:t>
            </w:r>
          </w:p>
        </w:tc>
      </w:tr>
      <w:tr w:rsidR="006B2AFA" w:rsidRPr="006B2AFA" w14:paraId="329C23C7" w14:textId="77777777" w:rsidTr="006B2AFA">
        <w:trPr>
          <w:trHeight w:val="600"/>
        </w:trPr>
        <w:tc>
          <w:tcPr>
            <w:tcW w:w="520" w:type="dxa"/>
            <w:tcBorders>
              <w:top w:val="nil"/>
              <w:left w:val="nil"/>
              <w:bottom w:val="nil"/>
              <w:right w:val="nil"/>
            </w:tcBorders>
            <w:noWrap/>
            <w:vAlign w:val="bottom"/>
            <w:hideMark/>
          </w:tcPr>
          <w:p w14:paraId="27978FD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7C76E67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Purpose or research questio</w:t>
            </w:r>
            <w:r w:rsidRPr="006B2AFA">
              <w:rPr>
                <w:rFonts w:ascii="Calibri" w:eastAsia="Times New Roman" w:hAnsi="Calibri" w:cs="Times New Roman"/>
                <w:color w:val="000000"/>
              </w:rPr>
              <w:t>n - Purpose of the study and specific objectives or questions</w:t>
            </w:r>
          </w:p>
        </w:tc>
        <w:tc>
          <w:tcPr>
            <w:tcW w:w="1740" w:type="dxa"/>
            <w:tcBorders>
              <w:top w:val="nil"/>
              <w:left w:val="nil"/>
              <w:bottom w:val="single" w:sz="4" w:space="0" w:color="auto"/>
              <w:right w:val="single" w:sz="4" w:space="0" w:color="auto"/>
            </w:tcBorders>
            <w:noWrap/>
            <w:vAlign w:val="bottom"/>
            <w:hideMark/>
          </w:tcPr>
          <w:p w14:paraId="7874C450" w14:textId="1D8AD37E" w:rsidR="006B2AFA" w:rsidRPr="006B2AFA" w:rsidRDefault="00BE5004"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3/89-97</w:t>
            </w:r>
          </w:p>
        </w:tc>
      </w:tr>
      <w:tr w:rsidR="006B2AFA" w:rsidRPr="006B2AFA" w14:paraId="4E5FC512" w14:textId="77777777" w:rsidTr="006B2AFA">
        <w:trPr>
          <w:trHeight w:val="300"/>
        </w:trPr>
        <w:tc>
          <w:tcPr>
            <w:tcW w:w="520" w:type="dxa"/>
            <w:tcBorders>
              <w:top w:val="nil"/>
              <w:left w:val="nil"/>
              <w:bottom w:val="nil"/>
              <w:right w:val="nil"/>
            </w:tcBorders>
            <w:noWrap/>
            <w:vAlign w:val="bottom"/>
            <w:hideMark/>
          </w:tcPr>
          <w:p w14:paraId="2B1566B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6F12DAD0"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41615752"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14FAE2E" w14:textId="77777777" w:rsidTr="006B2AFA">
        <w:trPr>
          <w:trHeight w:val="300"/>
        </w:trPr>
        <w:tc>
          <w:tcPr>
            <w:tcW w:w="8160" w:type="dxa"/>
            <w:gridSpan w:val="2"/>
            <w:tcBorders>
              <w:top w:val="nil"/>
              <w:left w:val="nil"/>
              <w:bottom w:val="nil"/>
              <w:right w:val="nil"/>
            </w:tcBorders>
            <w:noWrap/>
            <w:vAlign w:val="bottom"/>
            <w:hideMark/>
          </w:tcPr>
          <w:p w14:paraId="4B182D0A"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Methods</w:t>
            </w:r>
          </w:p>
        </w:tc>
        <w:tc>
          <w:tcPr>
            <w:tcW w:w="1740" w:type="dxa"/>
            <w:tcBorders>
              <w:top w:val="nil"/>
              <w:left w:val="nil"/>
              <w:bottom w:val="nil"/>
              <w:right w:val="nil"/>
            </w:tcBorders>
            <w:noWrap/>
            <w:vAlign w:val="bottom"/>
            <w:hideMark/>
          </w:tcPr>
          <w:p w14:paraId="7984A8E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2A900E5" w14:textId="77777777" w:rsidTr="006B2AFA">
        <w:trPr>
          <w:trHeight w:val="1500"/>
        </w:trPr>
        <w:tc>
          <w:tcPr>
            <w:tcW w:w="520" w:type="dxa"/>
            <w:tcBorders>
              <w:top w:val="nil"/>
              <w:left w:val="nil"/>
              <w:bottom w:val="nil"/>
              <w:right w:val="nil"/>
            </w:tcBorders>
            <w:vAlign w:val="bottom"/>
            <w:hideMark/>
          </w:tcPr>
          <w:p w14:paraId="18DA10E0"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00C6261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Qualitative approach and research paradigm</w:t>
            </w:r>
            <w:r w:rsidRPr="006B2AFA">
              <w:rPr>
                <w:rFonts w:ascii="Calibri" w:eastAsia="Times New Roman" w:hAnsi="Calibri" w:cs="Times New Roman"/>
                <w:color w:val="000000"/>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vAlign w:val="bottom"/>
            <w:hideMark/>
          </w:tcPr>
          <w:p w14:paraId="4CAFE31F" w14:textId="2CEE0B76" w:rsidR="006B2AFA" w:rsidRPr="006B2AFA" w:rsidRDefault="00BE5004"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3-4/129-147</w:t>
            </w:r>
          </w:p>
        </w:tc>
      </w:tr>
      <w:tr w:rsidR="006B2AFA" w:rsidRPr="006B2AFA" w14:paraId="4A9EC415" w14:textId="77777777" w:rsidTr="006B2AFA">
        <w:trPr>
          <w:trHeight w:val="1800"/>
        </w:trPr>
        <w:tc>
          <w:tcPr>
            <w:tcW w:w="520" w:type="dxa"/>
            <w:tcBorders>
              <w:top w:val="nil"/>
              <w:left w:val="nil"/>
              <w:bottom w:val="nil"/>
              <w:right w:val="nil"/>
            </w:tcBorders>
            <w:noWrap/>
            <w:vAlign w:val="bottom"/>
            <w:hideMark/>
          </w:tcPr>
          <w:p w14:paraId="78940DF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2E855C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Researcher characteristics and reflexivity </w:t>
            </w:r>
            <w:r w:rsidRPr="006B2AFA">
              <w:rPr>
                <w:rFonts w:ascii="Calibri" w:eastAsia="Times New Roman" w:hAnsi="Calibri" w:cs="Times New Roman"/>
                <w:color w:val="000000"/>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noWrap/>
            <w:vAlign w:val="bottom"/>
            <w:hideMark/>
          </w:tcPr>
          <w:p w14:paraId="062EC095" w14:textId="68E68CB6" w:rsidR="006B2AFA" w:rsidRPr="006B2AFA" w:rsidRDefault="00451EFA"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4/158-160,15/630-641</w:t>
            </w:r>
          </w:p>
        </w:tc>
      </w:tr>
      <w:tr w:rsidR="006B2AFA" w:rsidRPr="006B2AFA" w14:paraId="7F9D16E5" w14:textId="77777777" w:rsidTr="006B2AFA">
        <w:trPr>
          <w:trHeight w:val="300"/>
        </w:trPr>
        <w:tc>
          <w:tcPr>
            <w:tcW w:w="520" w:type="dxa"/>
            <w:tcBorders>
              <w:top w:val="nil"/>
              <w:left w:val="nil"/>
              <w:bottom w:val="nil"/>
              <w:right w:val="nil"/>
            </w:tcBorders>
            <w:noWrap/>
            <w:vAlign w:val="bottom"/>
            <w:hideMark/>
          </w:tcPr>
          <w:p w14:paraId="47D53D0F"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5A9443B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Context</w:t>
            </w:r>
            <w:r w:rsidRPr="006B2AFA">
              <w:rPr>
                <w:rFonts w:ascii="Calibri" w:eastAsia="Times New Roman" w:hAnsi="Calibri" w:cs="Times New Roman"/>
                <w:color w:val="000000"/>
              </w:rPr>
              <w:t xml:space="preserve"> - Setting/site and salient contextual factors; rationale</w:t>
            </w:r>
            <w:r>
              <w:rPr>
                <w:rFonts w:ascii="Calibri" w:eastAsia="Times New Roman" w:hAnsi="Calibri" w:cs="Times New Roman"/>
                <w:color w:val="000000"/>
              </w:rPr>
              <w:t>**</w:t>
            </w:r>
          </w:p>
        </w:tc>
        <w:tc>
          <w:tcPr>
            <w:tcW w:w="1740" w:type="dxa"/>
            <w:tcBorders>
              <w:top w:val="nil"/>
              <w:left w:val="nil"/>
              <w:bottom w:val="single" w:sz="4" w:space="0" w:color="auto"/>
              <w:right w:val="single" w:sz="4" w:space="0" w:color="auto"/>
            </w:tcBorders>
            <w:noWrap/>
            <w:vAlign w:val="bottom"/>
            <w:hideMark/>
          </w:tcPr>
          <w:p w14:paraId="04F6801A" w14:textId="672B85DA"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451EFA">
              <w:rPr>
                <w:rFonts w:ascii="Calibri" w:eastAsia="Times New Roman" w:hAnsi="Calibri" w:cs="Times New Roman"/>
                <w:color w:val="000000"/>
              </w:rPr>
              <w:t>3/100-127</w:t>
            </w:r>
          </w:p>
        </w:tc>
      </w:tr>
      <w:tr w:rsidR="006B2AFA" w:rsidRPr="006B2AFA" w14:paraId="1D049938" w14:textId="77777777" w:rsidTr="006B2AFA">
        <w:trPr>
          <w:trHeight w:val="900"/>
        </w:trPr>
        <w:tc>
          <w:tcPr>
            <w:tcW w:w="520" w:type="dxa"/>
            <w:tcBorders>
              <w:top w:val="nil"/>
              <w:left w:val="nil"/>
              <w:bottom w:val="nil"/>
              <w:right w:val="nil"/>
            </w:tcBorders>
            <w:noWrap/>
            <w:vAlign w:val="bottom"/>
            <w:hideMark/>
          </w:tcPr>
          <w:p w14:paraId="48844AE6"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163A2F33"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Sampling strategy</w:t>
            </w:r>
            <w:r w:rsidRPr="006B2AFA">
              <w:rPr>
                <w:rFonts w:ascii="Calibri" w:eastAsia="Times New Roman" w:hAnsi="Calibri" w:cs="Times New Roman"/>
                <w:color w:val="000000"/>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noWrap/>
            <w:vAlign w:val="bottom"/>
            <w:hideMark/>
          </w:tcPr>
          <w:p w14:paraId="736C4E4B" w14:textId="253D22FC" w:rsidR="00631565" w:rsidRPr="006B2AFA" w:rsidRDefault="00451EFA"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4/152-160</w:t>
            </w:r>
          </w:p>
        </w:tc>
      </w:tr>
      <w:tr w:rsidR="006B2AFA" w:rsidRPr="006B2AFA" w14:paraId="16A4BC13" w14:textId="77777777" w:rsidTr="006B2AFA">
        <w:trPr>
          <w:trHeight w:val="900"/>
        </w:trPr>
        <w:tc>
          <w:tcPr>
            <w:tcW w:w="520" w:type="dxa"/>
            <w:tcBorders>
              <w:top w:val="nil"/>
              <w:left w:val="nil"/>
              <w:bottom w:val="nil"/>
              <w:right w:val="nil"/>
            </w:tcBorders>
            <w:noWrap/>
            <w:vAlign w:val="bottom"/>
            <w:hideMark/>
          </w:tcPr>
          <w:p w14:paraId="5476CA7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C4312BF"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Ethical issues pertaining to human subjects </w:t>
            </w:r>
            <w:r w:rsidRPr="006B2AFA">
              <w:rPr>
                <w:rFonts w:ascii="Calibri" w:eastAsia="Times New Roman" w:hAnsi="Calibri" w:cs="Times New Roman"/>
                <w:color w:val="000000"/>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noWrap/>
            <w:vAlign w:val="bottom"/>
            <w:hideMark/>
          </w:tcPr>
          <w:p w14:paraId="64331475" w14:textId="27928217" w:rsidR="006B2AFA" w:rsidRPr="006B2AFA" w:rsidRDefault="00451EFA"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16/661-663</w:t>
            </w:r>
          </w:p>
        </w:tc>
      </w:tr>
      <w:tr w:rsidR="006B2AFA" w:rsidRPr="006B2AFA" w14:paraId="14E17D8E" w14:textId="77777777" w:rsidTr="006B2AFA">
        <w:trPr>
          <w:trHeight w:val="1200"/>
        </w:trPr>
        <w:tc>
          <w:tcPr>
            <w:tcW w:w="520" w:type="dxa"/>
            <w:tcBorders>
              <w:top w:val="nil"/>
              <w:left w:val="nil"/>
              <w:bottom w:val="nil"/>
              <w:right w:val="nil"/>
            </w:tcBorders>
            <w:noWrap/>
            <w:vAlign w:val="bottom"/>
            <w:hideMark/>
          </w:tcPr>
          <w:p w14:paraId="48CFEA2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B56144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methods</w:t>
            </w:r>
            <w:r w:rsidRPr="006B2AFA">
              <w:rPr>
                <w:rFonts w:ascii="Calibri" w:eastAsia="Times New Roman" w:hAnsi="Calibri" w:cs="Times New Roman"/>
                <w:color w:val="000000"/>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noWrap/>
            <w:vAlign w:val="bottom"/>
            <w:hideMark/>
          </w:tcPr>
          <w:p w14:paraId="6054161F" w14:textId="2230F28E" w:rsidR="006B2AFA" w:rsidRPr="006B2AFA" w:rsidRDefault="00451EFA"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4/152-160</w:t>
            </w:r>
          </w:p>
        </w:tc>
      </w:tr>
      <w:tr w:rsidR="006B2AFA" w:rsidRPr="006B2AFA" w14:paraId="2DC5F324" w14:textId="77777777" w:rsidTr="006B2AFA">
        <w:trPr>
          <w:trHeight w:val="1200"/>
        </w:trPr>
        <w:tc>
          <w:tcPr>
            <w:tcW w:w="520" w:type="dxa"/>
            <w:tcBorders>
              <w:top w:val="nil"/>
              <w:left w:val="nil"/>
              <w:bottom w:val="nil"/>
              <w:right w:val="nil"/>
            </w:tcBorders>
            <w:noWrap/>
            <w:vAlign w:val="bottom"/>
            <w:hideMark/>
          </w:tcPr>
          <w:p w14:paraId="299A5F5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224873A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collection instruments and technologies</w:t>
            </w:r>
            <w:r w:rsidRPr="006B2AFA">
              <w:rPr>
                <w:rFonts w:ascii="Calibri" w:eastAsia="Times New Roman" w:hAnsi="Calibri" w:cs="Times New Roman"/>
                <w:color w:val="000000"/>
              </w:rPr>
              <w:t xml:space="preserve"> - Description of instruments (e.g., interview guides, questionnaires) and devices (e.g., audio recorders) used for data </w:t>
            </w:r>
            <w:proofErr w:type="gramStart"/>
            <w:r w:rsidRPr="006B2AFA">
              <w:rPr>
                <w:rFonts w:ascii="Calibri" w:eastAsia="Times New Roman" w:hAnsi="Calibri" w:cs="Times New Roman"/>
                <w:color w:val="000000"/>
              </w:rPr>
              <w:t>collection;</w:t>
            </w:r>
            <w:proofErr w:type="gramEnd"/>
            <w:r w:rsidRPr="006B2AFA">
              <w:rPr>
                <w:rFonts w:ascii="Calibri" w:eastAsia="Times New Roman" w:hAnsi="Calibri" w:cs="Times New Roman"/>
                <w:color w:val="000000"/>
              </w:rPr>
              <w:t xml:space="preserve"> if/how the instrument(s) changed over the course of the study</w:t>
            </w:r>
          </w:p>
        </w:tc>
        <w:tc>
          <w:tcPr>
            <w:tcW w:w="1740" w:type="dxa"/>
            <w:tcBorders>
              <w:top w:val="nil"/>
              <w:left w:val="nil"/>
              <w:bottom w:val="single" w:sz="4" w:space="0" w:color="auto"/>
              <w:right w:val="single" w:sz="4" w:space="0" w:color="auto"/>
            </w:tcBorders>
            <w:noWrap/>
            <w:vAlign w:val="bottom"/>
            <w:hideMark/>
          </w:tcPr>
          <w:p w14:paraId="5088DE53" w14:textId="3287DBDF"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451EFA">
              <w:rPr>
                <w:rFonts w:ascii="Calibri" w:eastAsia="Times New Roman" w:hAnsi="Calibri" w:cs="Times New Roman"/>
                <w:color w:val="000000"/>
              </w:rPr>
              <w:t>4/152-160</w:t>
            </w:r>
            <w:r w:rsidR="00451EFA" w:rsidRPr="00C16142">
              <w:rPr>
                <w:rFonts w:ascii="Calibri" w:eastAsia="Times New Roman" w:hAnsi="Calibri" w:cs="Times New Roman"/>
                <w:i/>
                <w:iCs/>
                <w:color w:val="000000"/>
              </w:rPr>
              <w:t xml:space="preserve"> </w:t>
            </w:r>
            <w:r w:rsidR="00C16142" w:rsidRPr="00C16142">
              <w:rPr>
                <w:rFonts w:ascii="Calibri" w:eastAsia="Times New Roman" w:hAnsi="Calibri" w:cs="Times New Roman"/>
                <w:i/>
                <w:iCs/>
                <w:color w:val="000000"/>
              </w:rPr>
              <w:t>(Table 1)</w:t>
            </w:r>
          </w:p>
        </w:tc>
      </w:tr>
      <w:tr w:rsidR="006B2AFA" w:rsidRPr="006B2AFA" w14:paraId="079FC491" w14:textId="77777777" w:rsidTr="006B2AFA">
        <w:trPr>
          <w:trHeight w:val="900"/>
        </w:trPr>
        <w:tc>
          <w:tcPr>
            <w:tcW w:w="520" w:type="dxa"/>
            <w:tcBorders>
              <w:top w:val="nil"/>
              <w:left w:val="nil"/>
              <w:bottom w:val="nil"/>
              <w:right w:val="nil"/>
            </w:tcBorders>
            <w:noWrap/>
            <w:vAlign w:val="bottom"/>
            <w:hideMark/>
          </w:tcPr>
          <w:p w14:paraId="1E0D6F8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047BE0B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Units of study</w:t>
            </w:r>
            <w:r w:rsidRPr="006B2AFA">
              <w:rPr>
                <w:rFonts w:ascii="Calibri" w:eastAsia="Times New Roman" w:hAnsi="Calibri" w:cs="Times New Roman"/>
                <w:color w:val="000000"/>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noWrap/>
            <w:vAlign w:val="bottom"/>
            <w:hideMark/>
          </w:tcPr>
          <w:p w14:paraId="1F688414" w14:textId="5D2473D7" w:rsidR="006B2AFA" w:rsidRPr="00451EFA" w:rsidRDefault="006B2AFA" w:rsidP="006B2AFA">
            <w:pPr>
              <w:spacing w:after="0" w:line="240" w:lineRule="auto"/>
              <w:rPr>
                <w:rFonts w:ascii="Calibri" w:eastAsia="Times New Roman" w:hAnsi="Calibri" w:cs="Times New Roman"/>
                <w:i/>
                <w:iCs/>
                <w:color w:val="000000"/>
              </w:rPr>
            </w:pPr>
            <w:r w:rsidRPr="006B2AFA">
              <w:rPr>
                <w:rFonts w:ascii="Calibri" w:eastAsia="Times New Roman" w:hAnsi="Calibri" w:cs="Times New Roman"/>
                <w:color w:val="000000"/>
              </w:rPr>
              <w:t> </w:t>
            </w:r>
            <w:r w:rsidR="00451EFA">
              <w:rPr>
                <w:rFonts w:ascii="Calibri" w:eastAsia="Times New Roman" w:hAnsi="Calibri" w:cs="Times New Roman"/>
                <w:color w:val="000000"/>
              </w:rPr>
              <w:t>3/126-127/ (</w:t>
            </w:r>
            <w:r w:rsidR="00451EFA">
              <w:rPr>
                <w:rFonts w:ascii="Calibri" w:eastAsia="Times New Roman" w:hAnsi="Calibri" w:cs="Times New Roman"/>
                <w:i/>
                <w:iCs/>
                <w:color w:val="000000"/>
              </w:rPr>
              <w:t>Table 1)</w:t>
            </w:r>
          </w:p>
        </w:tc>
      </w:tr>
      <w:tr w:rsidR="006B2AFA" w:rsidRPr="006B2AFA" w14:paraId="6A90B6AC" w14:textId="77777777" w:rsidTr="006B2AFA">
        <w:trPr>
          <w:trHeight w:val="900"/>
        </w:trPr>
        <w:tc>
          <w:tcPr>
            <w:tcW w:w="520" w:type="dxa"/>
            <w:tcBorders>
              <w:top w:val="nil"/>
              <w:left w:val="nil"/>
              <w:bottom w:val="nil"/>
              <w:right w:val="nil"/>
            </w:tcBorders>
            <w:noWrap/>
            <w:vAlign w:val="bottom"/>
            <w:hideMark/>
          </w:tcPr>
          <w:p w14:paraId="1744A53A"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3F835E8A"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processing</w:t>
            </w:r>
            <w:r w:rsidRPr="006B2AFA">
              <w:rPr>
                <w:rFonts w:ascii="Calibri" w:eastAsia="Times New Roman" w:hAnsi="Calibri" w:cs="Times New Roman"/>
                <w:color w:val="000000"/>
              </w:rPr>
              <w:t xml:space="preserve"> - Methods for processing data prior to and during analysis, including transcription, data entry, data management and security, verification of data integrity, data coding, and anonymization/de</w:t>
            </w:r>
            <w:r>
              <w:rPr>
                <w:rFonts w:ascii="Calibri" w:eastAsia="Times New Roman" w:hAnsi="Calibri" w:cs="Times New Roman"/>
                <w:color w:val="000000"/>
              </w:rPr>
              <w:t>-</w:t>
            </w:r>
            <w:r w:rsidRPr="006B2AFA">
              <w:rPr>
                <w:rFonts w:ascii="Calibri" w:eastAsia="Times New Roman" w:hAnsi="Calibri" w:cs="Times New Roman"/>
                <w:color w:val="000000"/>
              </w:rPr>
              <w:t>identification of excerpts</w:t>
            </w:r>
          </w:p>
        </w:tc>
        <w:tc>
          <w:tcPr>
            <w:tcW w:w="1740" w:type="dxa"/>
            <w:tcBorders>
              <w:top w:val="nil"/>
              <w:left w:val="nil"/>
              <w:bottom w:val="single" w:sz="4" w:space="0" w:color="auto"/>
              <w:right w:val="single" w:sz="4" w:space="0" w:color="auto"/>
            </w:tcBorders>
            <w:noWrap/>
            <w:vAlign w:val="bottom"/>
            <w:hideMark/>
          </w:tcPr>
          <w:p w14:paraId="2DCE9E03" w14:textId="5FF68AED"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451EFA">
              <w:rPr>
                <w:rFonts w:ascii="Calibri" w:eastAsia="Times New Roman" w:hAnsi="Calibri" w:cs="Times New Roman"/>
                <w:color w:val="000000"/>
              </w:rPr>
              <w:t>4/145-147</w:t>
            </w:r>
          </w:p>
        </w:tc>
      </w:tr>
      <w:tr w:rsidR="006B2AFA" w:rsidRPr="006B2AFA" w14:paraId="489E3574" w14:textId="77777777" w:rsidTr="006B2AFA">
        <w:trPr>
          <w:trHeight w:val="900"/>
        </w:trPr>
        <w:tc>
          <w:tcPr>
            <w:tcW w:w="520" w:type="dxa"/>
            <w:tcBorders>
              <w:top w:val="nil"/>
              <w:left w:val="nil"/>
              <w:bottom w:val="nil"/>
              <w:right w:val="nil"/>
            </w:tcBorders>
            <w:noWrap/>
            <w:vAlign w:val="bottom"/>
            <w:hideMark/>
          </w:tcPr>
          <w:p w14:paraId="4CBCDFA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04DD6E4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Data analysis</w:t>
            </w:r>
            <w:r w:rsidRPr="006B2AFA">
              <w:rPr>
                <w:rFonts w:ascii="Calibri" w:eastAsia="Times New Roman" w:hAnsi="Calibri" w:cs="Times New Roman"/>
                <w:color w:val="000000"/>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noWrap/>
            <w:vAlign w:val="bottom"/>
            <w:hideMark/>
          </w:tcPr>
          <w:p w14:paraId="3DDC5463" w14:textId="7A1A45D8"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451EFA">
              <w:rPr>
                <w:rFonts w:ascii="Calibri" w:eastAsia="Times New Roman" w:hAnsi="Calibri" w:cs="Times New Roman"/>
                <w:color w:val="000000"/>
              </w:rPr>
              <w:t>3-4/129-147</w:t>
            </w:r>
          </w:p>
        </w:tc>
      </w:tr>
      <w:tr w:rsidR="006B2AFA" w:rsidRPr="006B2AFA" w14:paraId="52E9DDDE" w14:textId="77777777" w:rsidTr="006B2AFA">
        <w:trPr>
          <w:trHeight w:val="900"/>
        </w:trPr>
        <w:tc>
          <w:tcPr>
            <w:tcW w:w="520" w:type="dxa"/>
            <w:tcBorders>
              <w:top w:val="nil"/>
              <w:left w:val="nil"/>
              <w:bottom w:val="nil"/>
              <w:right w:val="nil"/>
            </w:tcBorders>
            <w:noWrap/>
            <w:vAlign w:val="bottom"/>
            <w:hideMark/>
          </w:tcPr>
          <w:p w14:paraId="787574A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4D096936"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Techniques to enhance trustworthiness</w:t>
            </w:r>
            <w:r w:rsidRPr="006B2AFA">
              <w:rPr>
                <w:rFonts w:ascii="Calibri" w:eastAsia="Times New Roman" w:hAnsi="Calibri" w:cs="Times New Roman"/>
                <w:color w:val="000000"/>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noWrap/>
            <w:vAlign w:val="bottom"/>
            <w:hideMark/>
          </w:tcPr>
          <w:p w14:paraId="7D161328" w14:textId="26301320"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451EFA">
              <w:rPr>
                <w:rFonts w:ascii="Calibri" w:eastAsia="Times New Roman" w:hAnsi="Calibri" w:cs="Times New Roman"/>
                <w:color w:val="000000"/>
              </w:rPr>
              <w:t>4/158-160</w:t>
            </w:r>
          </w:p>
        </w:tc>
      </w:tr>
      <w:tr w:rsidR="006B2AFA" w:rsidRPr="006B2AFA" w14:paraId="6A3F2B83" w14:textId="77777777" w:rsidTr="006B2AFA">
        <w:trPr>
          <w:trHeight w:val="300"/>
        </w:trPr>
        <w:tc>
          <w:tcPr>
            <w:tcW w:w="520" w:type="dxa"/>
            <w:tcBorders>
              <w:top w:val="nil"/>
              <w:left w:val="nil"/>
              <w:bottom w:val="nil"/>
              <w:right w:val="nil"/>
            </w:tcBorders>
            <w:noWrap/>
            <w:vAlign w:val="bottom"/>
            <w:hideMark/>
          </w:tcPr>
          <w:p w14:paraId="70F15C8C"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76784AF6"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7FE0B2F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729D6FE" w14:textId="77777777" w:rsidTr="006B2AFA">
        <w:trPr>
          <w:trHeight w:val="300"/>
        </w:trPr>
        <w:tc>
          <w:tcPr>
            <w:tcW w:w="8160" w:type="dxa"/>
            <w:gridSpan w:val="2"/>
            <w:tcBorders>
              <w:top w:val="nil"/>
              <w:left w:val="nil"/>
              <w:bottom w:val="nil"/>
              <w:right w:val="nil"/>
            </w:tcBorders>
            <w:noWrap/>
            <w:vAlign w:val="bottom"/>
            <w:hideMark/>
          </w:tcPr>
          <w:p w14:paraId="147522D3"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Results/findings</w:t>
            </w:r>
          </w:p>
        </w:tc>
        <w:tc>
          <w:tcPr>
            <w:tcW w:w="1740" w:type="dxa"/>
            <w:tcBorders>
              <w:top w:val="nil"/>
              <w:left w:val="nil"/>
              <w:bottom w:val="nil"/>
              <w:right w:val="nil"/>
            </w:tcBorders>
            <w:noWrap/>
            <w:vAlign w:val="bottom"/>
            <w:hideMark/>
          </w:tcPr>
          <w:p w14:paraId="6CC5B125"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E88C860" w14:textId="77777777" w:rsidTr="006B2AFA">
        <w:trPr>
          <w:trHeight w:val="900"/>
        </w:trPr>
        <w:tc>
          <w:tcPr>
            <w:tcW w:w="520" w:type="dxa"/>
            <w:tcBorders>
              <w:top w:val="nil"/>
              <w:left w:val="nil"/>
              <w:bottom w:val="nil"/>
              <w:right w:val="nil"/>
            </w:tcBorders>
            <w:noWrap/>
            <w:vAlign w:val="bottom"/>
            <w:hideMark/>
          </w:tcPr>
          <w:p w14:paraId="1B29C68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2CB23DC7"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Synthesis and interpretation</w:t>
            </w:r>
            <w:r w:rsidRPr="006B2AFA">
              <w:rPr>
                <w:rFonts w:ascii="Calibri" w:eastAsia="Times New Roman" w:hAnsi="Calibri" w:cs="Times New Roman"/>
                <w:color w:val="000000"/>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noWrap/>
            <w:vAlign w:val="bottom"/>
            <w:hideMark/>
          </w:tcPr>
          <w:p w14:paraId="4CF8C41F" w14:textId="1E13CCA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451EFA">
              <w:rPr>
                <w:rFonts w:ascii="Calibri" w:eastAsia="Times New Roman" w:hAnsi="Calibri" w:cs="Times New Roman"/>
                <w:color w:val="000000"/>
              </w:rPr>
              <w:t>4 – 11/ 164-460</w:t>
            </w:r>
          </w:p>
        </w:tc>
      </w:tr>
      <w:tr w:rsidR="006B2AFA" w:rsidRPr="006B2AFA" w14:paraId="28ACE9B9" w14:textId="77777777" w:rsidTr="006B2AFA">
        <w:trPr>
          <w:trHeight w:val="600"/>
        </w:trPr>
        <w:tc>
          <w:tcPr>
            <w:tcW w:w="520" w:type="dxa"/>
            <w:tcBorders>
              <w:top w:val="nil"/>
              <w:left w:val="nil"/>
              <w:bottom w:val="nil"/>
              <w:right w:val="nil"/>
            </w:tcBorders>
            <w:noWrap/>
            <w:vAlign w:val="bottom"/>
            <w:hideMark/>
          </w:tcPr>
          <w:p w14:paraId="607C196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13E6D73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 xml:space="preserve">Links to empirical data </w:t>
            </w:r>
            <w:r w:rsidRPr="006B2AFA">
              <w:rPr>
                <w:rFonts w:ascii="Calibri" w:eastAsia="Times New Roman" w:hAnsi="Calibri" w:cs="Times New Roman"/>
                <w:color w:val="000000"/>
              </w:rPr>
              <w:t>- Evidence (e.g., quotes, field notes, text excerpts, photographs) to substantiate analytic findings</w:t>
            </w:r>
          </w:p>
        </w:tc>
        <w:tc>
          <w:tcPr>
            <w:tcW w:w="1740" w:type="dxa"/>
            <w:tcBorders>
              <w:top w:val="nil"/>
              <w:left w:val="nil"/>
              <w:bottom w:val="single" w:sz="4" w:space="0" w:color="auto"/>
              <w:right w:val="single" w:sz="4" w:space="0" w:color="auto"/>
            </w:tcBorders>
            <w:noWrap/>
            <w:vAlign w:val="bottom"/>
            <w:hideMark/>
          </w:tcPr>
          <w:p w14:paraId="19DC04B2" w14:textId="098A3B5B" w:rsidR="006B2AFA" w:rsidRPr="006B2AFA" w:rsidRDefault="003030EE" w:rsidP="006B2AFA">
            <w:pPr>
              <w:spacing w:after="0" w:line="240" w:lineRule="auto"/>
              <w:rPr>
                <w:rFonts w:ascii="Calibri" w:eastAsia="Times New Roman" w:hAnsi="Calibri" w:cs="Times New Roman"/>
                <w:color w:val="000000"/>
              </w:rPr>
            </w:pPr>
            <w:r>
              <w:rPr>
                <w:rFonts w:ascii="Calibri" w:eastAsia="Times New Roman" w:hAnsi="Calibri" w:cs="Times New Roman"/>
                <w:color w:val="000000"/>
              </w:rPr>
              <w:t>1</w:t>
            </w:r>
            <w:r w:rsidR="00451EFA">
              <w:rPr>
                <w:rFonts w:ascii="Calibri" w:eastAsia="Times New Roman" w:hAnsi="Calibri" w:cs="Times New Roman"/>
                <w:color w:val="000000"/>
              </w:rPr>
              <w:t>4</w:t>
            </w:r>
            <w:r>
              <w:rPr>
                <w:rFonts w:ascii="Calibri" w:eastAsia="Times New Roman" w:hAnsi="Calibri" w:cs="Times New Roman"/>
                <w:color w:val="000000"/>
              </w:rPr>
              <w:t xml:space="preserve">/ </w:t>
            </w:r>
            <w:r w:rsidR="00451EFA">
              <w:rPr>
                <w:rFonts w:ascii="Calibri" w:eastAsia="Times New Roman" w:hAnsi="Calibri" w:cs="Times New Roman"/>
                <w:color w:val="000000"/>
              </w:rPr>
              <w:t>169-172</w:t>
            </w:r>
            <w:r w:rsidR="00C16142">
              <w:rPr>
                <w:rFonts w:ascii="Calibri" w:eastAsia="Times New Roman" w:hAnsi="Calibri" w:cs="Times New Roman"/>
                <w:color w:val="000000"/>
              </w:rPr>
              <w:t xml:space="preserve"> </w:t>
            </w:r>
            <w:r w:rsidR="00C16142" w:rsidRPr="00C16142">
              <w:rPr>
                <w:rFonts w:ascii="Calibri" w:eastAsia="Times New Roman" w:hAnsi="Calibri" w:cs="Times New Roman"/>
                <w:i/>
                <w:iCs/>
                <w:color w:val="000000"/>
              </w:rPr>
              <w:t>(Table 2 and 3)</w:t>
            </w:r>
            <w:r w:rsidR="00C16142">
              <w:rPr>
                <w:rFonts w:ascii="Calibri" w:eastAsia="Times New Roman" w:hAnsi="Calibri" w:cs="Times New Roman"/>
                <w:color w:val="000000"/>
              </w:rPr>
              <w:t xml:space="preserve"> </w:t>
            </w:r>
          </w:p>
        </w:tc>
      </w:tr>
      <w:tr w:rsidR="006B2AFA" w:rsidRPr="006B2AFA" w14:paraId="4A3A465C" w14:textId="77777777" w:rsidTr="006B2AFA">
        <w:trPr>
          <w:trHeight w:val="300"/>
        </w:trPr>
        <w:tc>
          <w:tcPr>
            <w:tcW w:w="520" w:type="dxa"/>
            <w:tcBorders>
              <w:top w:val="nil"/>
              <w:left w:val="nil"/>
              <w:bottom w:val="nil"/>
              <w:right w:val="nil"/>
            </w:tcBorders>
            <w:noWrap/>
            <w:vAlign w:val="bottom"/>
            <w:hideMark/>
          </w:tcPr>
          <w:p w14:paraId="0C8F158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6838D1A6"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66CFBAB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D373A36" w14:textId="77777777" w:rsidTr="006B2AFA">
        <w:trPr>
          <w:trHeight w:val="300"/>
        </w:trPr>
        <w:tc>
          <w:tcPr>
            <w:tcW w:w="8160" w:type="dxa"/>
            <w:gridSpan w:val="2"/>
            <w:tcBorders>
              <w:top w:val="nil"/>
              <w:left w:val="nil"/>
              <w:bottom w:val="nil"/>
              <w:right w:val="nil"/>
            </w:tcBorders>
            <w:noWrap/>
            <w:vAlign w:val="bottom"/>
            <w:hideMark/>
          </w:tcPr>
          <w:p w14:paraId="38AA0F63"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Discussion</w:t>
            </w:r>
          </w:p>
        </w:tc>
        <w:tc>
          <w:tcPr>
            <w:tcW w:w="1740" w:type="dxa"/>
            <w:tcBorders>
              <w:top w:val="nil"/>
              <w:left w:val="nil"/>
              <w:bottom w:val="nil"/>
              <w:right w:val="nil"/>
            </w:tcBorders>
            <w:noWrap/>
            <w:vAlign w:val="bottom"/>
            <w:hideMark/>
          </w:tcPr>
          <w:p w14:paraId="6F1D2C3E"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93D63EE" w14:textId="77777777" w:rsidTr="006B2AFA">
        <w:trPr>
          <w:trHeight w:val="1500"/>
        </w:trPr>
        <w:tc>
          <w:tcPr>
            <w:tcW w:w="520" w:type="dxa"/>
            <w:tcBorders>
              <w:top w:val="nil"/>
              <w:left w:val="nil"/>
              <w:bottom w:val="nil"/>
              <w:right w:val="nil"/>
            </w:tcBorders>
            <w:noWrap/>
            <w:vAlign w:val="bottom"/>
            <w:hideMark/>
          </w:tcPr>
          <w:p w14:paraId="5AC114D7"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3C49532C"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 xml:space="preserve">Integration with prior work, implications, transferability, and contribution(s) to the field - </w:t>
            </w:r>
            <w:proofErr w:type="gramStart"/>
            <w:r w:rsidRPr="006B2AFA">
              <w:rPr>
                <w:rFonts w:ascii="Calibri" w:eastAsia="Times New Roman" w:hAnsi="Calibri" w:cs="Times New Roman"/>
                <w:color w:val="000000"/>
              </w:rPr>
              <w:t>Short</w:t>
            </w:r>
            <w:proofErr w:type="gramEnd"/>
            <w:r w:rsidRPr="006B2AFA">
              <w:rPr>
                <w:rFonts w:ascii="Calibri" w:eastAsia="Times New Roman" w:hAnsi="Calibri" w:cs="Times New Roman"/>
                <w:color w:val="000000"/>
              </w:rP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noWrap/>
            <w:vAlign w:val="bottom"/>
            <w:hideMark/>
          </w:tcPr>
          <w:p w14:paraId="64089B5E" w14:textId="57EB7893"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451EFA">
              <w:rPr>
                <w:rFonts w:ascii="Calibri" w:eastAsia="Times New Roman" w:hAnsi="Calibri" w:cs="Times New Roman"/>
                <w:color w:val="000000"/>
              </w:rPr>
              <w:t>11-13/ 462-554</w:t>
            </w:r>
          </w:p>
        </w:tc>
      </w:tr>
      <w:tr w:rsidR="006B2AFA" w:rsidRPr="006B2AFA" w14:paraId="598B5E2A" w14:textId="77777777" w:rsidTr="006B2AFA">
        <w:trPr>
          <w:trHeight w:val="300"/>
        </w:trPr>
        <w:tc>
          <w:tcPr>
            <w:tcW w:w="520" w:type="dxa"/>
            <w:tcBorders>
              <w:top w:val="nil"/>
              <w:left w:val="nil"/>
              <w:bottom w:val="nil"/>
              <w:right w:val="nil"/>
            </w:tcBorders>
            <w:noWrap/>
            <w:vAlign w:val="bottom"/>
            <w:hideMark/>
          </w:tcPr>
          <w:p w14:paraId="032F61D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4BC8B69D"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Limitations</w:t>
            </w:r>
            <w:r w:rsidRPr="006B2AFA">
              <w:rPr>
                <w:rFonts w:ascii="Calibri" w:eastAsia="Times New Roman" w:hAnsi="Calibri" w:cs="Times New Roman"/>
                <w:color w:val="000000"/>
              </w:rPr>
              <w:t xml:space="preserve"> - Trustworthiness and limitations of findings</w:t>
            </w:r>
          </w:p>
        </w:tc>
        <w:tc>
          <w:tcPr>
            <w:tcW w:w="1740" w:type="dxa"/>
            <w:tcBorders>
              <w:top w:val="nil"/>
              <w:left w:val="nil"/>
              <w:bottom w:val="single" w:sz="4" w:space="0" w:color="auto"/>
              <w:right w:val="single" w:sz="4" w:space="0" w:color="auto"/>
            </w:tcBorders>
            <w:noWrap/>
            <w:vAlign w:val="bottom"/>
            <w:hideMark/>
          </w:tcPr>
          <w:p w14:paraId="6E129281"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p>
        </w:tc>
      </w:tr>
      <w:tr w:rsidR="006B2AFA" w:rsidRPr="006B2AFA" w14:paraId="04BEFA5B" w14:textId="77777777" w:rsidTr="006B2AFA">
        <w:trPr>
          <w:trHeight w:val="300"/>
        </w:trPr>
        <w:tc>
          <w:tcPr>
            <w:tcW w:w="520" w:type="dxa"/>
            <w:tcBorders>
              <w:top w:val="nil"/>
              <w:left w:val="nil"/>
              <w:bottom w:val="nil"/>
              <w:right w:val="nil"/>
            </w:tcBorders>
            <w:noWrap/>
            <w:vAlign w:val="bottom"/>
            <w:hideMark/>
          </w:tcPr>
          <w:p w14:paraId="52A8627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20D6A768"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65E10663"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C8DDDE0" w14:textId="77777777" w:rsidTr="006B2AFA">
        <w:trPr>
          <w:trHeight w:val="300"/>
        </w:trPr>
        <w:tc>
          <w:tcPr>
            <w:tcW w:w="8160" w:type="dxa"/>
            <w:gridSpan w:val="2"/>
            <w:tcBorders>
              <w:top w:val="nil"/>
              <w:left w:val="nil"/>
              <w:bottom w:val="nil"/>
              <w:right w:val="nil"/>
            </w:tcBorders>
            <w:noWrap/>
            <w:vAlign w:val="bottom"/>
            <w:hideMark/>
          </w:tcPr>
          <w:p w14:paraId="2D97283C" w14:textId="77777777" w:rsidR="006B2AFA" w:rsidRPr="006B2AFA" w:rsidRDefault="006B2AFA" w:rsidP="006B2AFA">
            <w:pPr>
              <w:spacing w:after="0" w:line="240" w:lineRule="auto"/>
              <w:rPr>
                <w:rFonts w:ascii="Calibri" w:eastAsia="Times New Roman" w:hAnsi="Calibri" w:cs="Times New Roman"/>
                <w:b/>
                <w:bCs/>
                <w:color w:val="000000"/>
              </w:rPr>
            </w:pPr>
            <w:r w:rsidRPr="006B2AFA">
              <w:rPr>
                <w:rFonts w:ascii="Calibri" w:eastAsia="Times New Roman" w:hAnsi="Calibri" w:cs="Times New Roman"/>
                <w:b/>
                <w:bCs/>
                <w:color w:val="000000"/>
              </w:rPr>
              <w:t>Other</w:t>
            </w:r>
          </w:p>
        </w:tc>
        <w:tc>
          <w:tcPr>
            <w:tcW w:w="1740" w:type="dxa"/>
            <w:tcBorders>
              <w:top w:val="nil"/>
              <w:left w:val="nil"/>
              <w:bottom w:val="nil"/>
              <w:right w:val="nil"/>
            </w:tcBorders>
            <w:noWrap/>
            <w:vAlign w:val="bottom"/>
            <w:hideMark/>
          </w:tcPr>
          <w:p w14:paraId="1AEF61F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3F5F4D02" w14:textId="77777777" w:rsidTr="006B2AFA">
        <w:trPr>
          <w:trHeight w:val="600"/>
        </w:trPr>
        <w:tc>
          <w:tcPr>
            <w:tcW w:w="520" w:type="dxa"/>
            <w:tcBorders>
              <w:top w:val="nil"/>
              <w:left w:val="nil"/>
              <w:bottom w:val="nil"/>
              <w:right w:val="nil"/>
            </w:tcBorders>
            <w:noWrap/>
            <w:vAlign w:val="bottom"/>
            <w:hideMark/>
          </w:tcPr>
          <w:p w14:paraId="1985CD78"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single" w:sz="4" w:space="0" w:color="auto"/>
              <w:right w:val="single" w:sz="4" w:space="0" w:color="auto"/>
            </w:tcBorders>
            <w:vAlign w:val="bottom"/>
            <w:hideMark/>
          </w:tcPr>
          <w:p w14:paraId="3D282812"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Conflicts of interest</w:t>
            </w:r>
            <w:r w:rsidRPr="006B2AFA">
              <w:rPr>
                <w:rFonts w:ascii="Calibri" w:eastAsia="Times New Roman" w:hAnsi="Calibri" w:cs="Times New Roman"/>
                <w:color w:val="000000"/>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noWrap/>
            <w:vAlign w:val="bottom"/>
            <w:hideMark/>
          </w:tcPr>
          <w:p w14:paraId="48960C36" w14:textId="74359BE1"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451EFA">
              <w:rPr>
                <w:rFonts w:ascii="Calibri" w:eastAsia="Times New Roman" w:hAnsi="Calibri" w:cs="Times New Roman"/>
                <w:color w:val="000000"/>
              </w:rPr>
              <w:t>15/</w:t>
            </w:r>
            <w:r w:rsidR="00776241">
              <w:rPr>
                <w:rFonts w:ascii="Calibri" w:eastAsia="Times New Roman" w:hAnsi="Calibri" w:cs="Times New Roman"/>
                <w:color w:val="000000"/>
              </w:rPr>
              <w:t>630-641</w:t>
            </w:r>
          </w:p>
        </w:tc>
      </w:tr>
      <w:tr w:rsidR="006B2AFA" w:rsidRPr="006B2AFA" w14:paraId="6EA79200" w14:textId="77777777" w:rsidTr="006B2AFA">
        <w:trPr>
          <w:trHeight w:val="600"/>
        </w:trPr>
        <w:tc>
          <w:tcPr>
            <w:tcW w:w="520" w:type="dxa"/>
            <w:tcBorders>
              <w:top w:val="nil"/>
              <w:left w:val="nil"/>
              <w:bottom w:val="nil"/>
              <w:right w:val="nil"/>
            </w:tcBorders>
            <w:noWrap/>
            <w:vAlign w:val="bottom"/>
            <w:hideMark/>
          </w:tcPr>
          <w:p w14:paraId="461A13F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717C4364" w14:textId="77777777"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b/>
                <w:bCs/>
                <w:color w:val="000000"/>
              </w:rPr>
              <w:t>Funding</w:t>
            </w:r>
            <w:r w:rsidRPr="006B2AFA">
              <w:rPr>
                <w:rFonts w:ascii="Calibri" w:eastAsia="Times New Roman" w:hAnsi="Calibri" w:cs="Times New Roman"/>
                <w:color w:val="000000"/>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noWrap/>
            <w:vAlign w:val="bottom"/>
            <w:hideMark/>
          </w:tcPr>
          <w:p w14:paraId="473245AB" w14:textId="74FC86F6" w:rsidR="006B2AFA" w:rsidRPr="006B2AFA" w:rsidRDefault="006B2AFA" w:rsidP="006B2AFA">
            <w:pPr>
              <w:spacing w:after="0" w:line="240" w:lineRule="auto"/>
              <w:rPr>
                <w:rFonts w:ascii="Calibri" w:eastAsia="Times New Roman" w:hAnsi="Calibri" w:cs="Times New Roman"/>
                <w:color w:val="000000"/>
              </w:rPr>
            </w:pPr>
            <w:r w:rsidRPr="006B2AFA">
              <w:rPr>
                <w:rFonts w:ascii="Calibri" w:eastAsia="Times New Roman" w:hAnsi="Calibri" w:cs="Times New Roman"/>
                <w:color w:val="000000"/>
              </w:rPr>
              <w:t> </w:t>
            </w:r>
            <w:r w:rsidR="00776241">
              <w:rPr>
                <w:rFonts w:ascii="Calibri" w:eastAsia="Times New Roman" w:hAnsi="Calibri" w:cs="Times New Roman"/>
                <w:color w:val="000000"/>
              </w:rPr>
              <w:t>15/643-646</w:t>
            </w:r>
          </w:p>
        </w:tc>
      </w:tr>
      <w:tr w:rsidR="006B2AFA" w:rsidRPr="006B2AFA" w14:paraId="38D4D038" w14:textId="77777777" w:rsidTr="006B2AFA">
        <w:trPr>
          <w:trHeight w:val="300"/>
        </w:trPr>
        <w:tc>
          <w:tcPr>
            <w:tcW w:w="520" w:type="dxa"/>
            <w:tcBorders>
              <w:top w:val="nil"/>
              <w:left w:val="nil"/>
              <w:bottom w:val="nil"/>
              <w:right w:val="nil"/>
            </w:tcBorders>
            <w:noWrap/>
            <w:vAlign w:val="bottom"/>
            <w:hideMark/>
          </w:tcPr>
          <w:p w14:paraId="2D9904E2"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625D27BE"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2ACA9577"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E4B1A21" w14:textId="77777777" w:rsidTr="006B2AFA">
        <w:trPr>
          <w:trHeight w:val="1290"/>
        </w:trPr>
        <w:tc>
          <w:tcPr>
            <w:tcW w:w="520" w:type="dxa"/>
            <w:tcBorders>
              <w:top w:val="nil"/>
              <w:left w:val="nil"/>
              <w:bottom w:val="nil"/>
              <w:right w:val="nil"/>
            </w:tcBorders>
            <w:noWrap/>
            <w:vAlign w:val="bottom"/>
            <w:hideMark/>
          </w:tcPr>
          <w:p w14:paraId="5744D3F3"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single" w:sz="4" w:space="0" w:color="auto"/>
              <w:left w:val="single" w:sz="4" w:space="0" w:color="auto"/>
              <w:bottom w:val="nil"/>
              <w:right w:val="single" w:sz="4" w:space="0" w:color="auto"/>
            </w:tcBorders>
            <w:vAlign w:val="bottom"/>
            <w:hideMark/>
          </w:tcPr>
          <w:p w14:paraId="068408CB"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authors created the SRQR by searching the literature to identify guidelines, reporting standards, and critical appraisal criteria for qualitative research; reviewing the reference lists of retrieved sources; and contacting experts to gain feedback. The SRQR aims to improve the transparency of all aspects of qualitative research by providing clear standards for reporting qualitative research.</w:t>
            </w:r>
          </w:p>
        </w:tc>
        <w:tc>
          <w:tcPr>
            <w:tcW w:w="1740" w:type="dxa"/>
            <w:tcBorders>
              <w:top w:val="nil"/>
              <w:left w:val="nil"/>
              <w:bottom w:val="nil"/>
              <w:right w:val="nil"/>
            </w:tcBorders>
            <w:noWrap/>
            <w:vAlign w:val="bottom"/>
            <w:hideMark/>
          </w:tcPr>
          <w:p w14:paraId="1251FC5C"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06C9B56" w14:textId="77777777" w:rsidTr="006B2AFA">
        <w:trPr>
          <w:trHeight w:val="300"/>
        </w:trPr>
        <w:tc>
          <w:tcPr>
            <w:tcW w:w="520" w:type="dxa"/>
            <w:tcBorders>
              <w:top w:val="nil"/>
              <w:left w:val="nil"/>
              <w:bottom w:val="nil"/>
              <w:right w:val="nil"/>
            </w:tcBorders>
            <w:noWrap/>
            <w:vAlign w:val="bottom"/>
            <w:hideMark/>
          </w:tcPr>
          <w:p w14:paraId="5236537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nil"/>
              <w:right w:val="single" w:sz="4" w:space="0" w:color="auto"/>
            </w:tcBorders>
            <w:vAlign w:val="bottom"/>
            <w:hideMark/>
          </w:tcPr>
          <w:p w14:paraId="092D7A51"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 </w:t>
            </w:r>
          </w:p>
        </w:tc>
        <w:tc>
          <w:tcPr>
            <w:tcW w:w="1740" w:type="dxa"/>
            <w:tcBorders>
              <w:top w:val="nil"/>
              <w:left w:val="nil"/>
              <w:bottom w:val="nil"/>
              <w:right w:val="nil"/>
            </w:tcBorders>
            <w:noWrap/>
            <w:vAlign w:val="bottom"/>
            <w:hideMark/>
          </w:tcPr>
          <w:p w14:paraId="30BA26B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029E292" w14:textId="77777777" w:rsidTr="006B2AFA">
        <w:trPr>
          <w:trHeight w:val="1290"/>
        </w:trPr>
        <w:tc>
          <w:tcPr>
            <w:tcW w:w="520" w:type="dxa"/>
            <w:tcBorders>
              <w:top w:val="nil"/>
              <w:left w:val="nil"/>
              <w:bottom w:val="nil"/>
              <w:right w:val="nil"/>
            </w:tcBorders>
            <w:noWrap/>
            <w:vAlign w:val="bottom"/>
            <w:hideMark/>
          </w:tcPr>
          <w:p w14:paraId="1190366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single" w:sz="4" w:space="0" w:color="auto"/>
              <w:bottom w:val="single" w:sz="4" w:space="0" w:color="auto"/>
              <w:right w:val="single" w:sz="4" w:space="0" w:color="auto"/>
            </w:tcBorders>
            <w:vAlign w:val="bottom"/>
            <w:hideMark/>
          </w:tcPr>
          <w:p w14:paraId="64846A3B" w14:textId="77777777" w:rsidR="006B2AFA" w:rsidRPr="006B2AFA" w:rsidRDefault="006B2AFA" w:rsidP="006B2AFA">
            <w:pPr>
              <w:spacing w:after="0" w:line="240" w:lineRule="auto"/>
              <w:rPr>
                <w:rFonts w:ascii="Calibri" w:eastAsia="Times New Roman" w:hAnsi="Calibri" w:cs="Times New Roman"/>
                <w:color w:val="000000"/>
                <w:sz w:val="20"/>
                <w:szCs w:val="20"/>
              </w:rPr>
            </w:pPr>
            <w:r w:rsidRPr="006B2AFA">
              <w:rPr>
                <w:rFonts w:ascii="Calibri" w:eastAsia="Times New Roman" w:hAnsi="Calibri" w:cs="Times New Roman"/>
                <w:color w:val="000000"/>
                <w:sz w:val="20"/>
                <w:szCs w:val="20"/>
              </w:rPr>
              <w:t>**The rationale should briefly discuss the justification for choosing that theory, approach, method, or technique rather than other options available, the assumptions and limitations implicit in those choices, and how those choices influence study conclusions and transferability. As appropriate, the rationale for several items might be discussed together.</w:t>
            </w:r>
          </w:p>
        </w:tc>
        <w:tc>
          <w:tcPr>
            <w:tcW w:w="1740" w:type="dxa"/>
            <w:tcBorders>
              <w:top w:val="nil"/>
              <w:left w:val="nil"/>
              <w:bottom w:val="nil"/>
              <w:right w:val="nil"/>
            </w:tcBorders>
            <w:noWrap/>
            <w:vAlign w:val="bottom"/>
            <w:hideMark/>
          </w:tcPr>
          <w:p w14:paraId="46EC3E9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4F944BAE" w14:textId="77777777" w:rsidTr="006B2AFA">
        <w:trPr>
          <w:trHeight w:val="300"/>
        </w:trPr>
        <w:tc>
          <w:tcPr>
            <w:tcW w:w="520" w:type="dxa"/>
            <w:tcBorders>
              <w:top w:val="nil"/>
              <w:left w:val="nil"/>
              <w:bottom w:val="nil"/>
              <w:right w:val="nil"/>
            </w:tcBorders>
            <w:noWrap/>
            <w:vAlign w:val="bottom"/>
            <w:hideMark/>
          </w:tcPr>
          <w:p w14:paraId="11E5F254"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3D8E3A96" w14:textId="77777777" w:rsidR="006B2AFA" w:rsidRPr="006B2AFA" w:rsidRDefault="006B2AFA" w:rsidP="006B2AFA">
            <w:pPr>
              <w:spacing w:after="0" w:line="240" w:lineRule="auto"/>
              <w:rPr>
                <w:rFonts w:ascii="Calibri" w:eastAsia="Times New Roman" w:hAnsi="Calibri" w:cs="Times New Roman"/>
                <w:color w:val="000000"/>
              </w:rPr>
            </w:pPr>
          </w:p>
        </w:tc>
        <w:tc>
          <w:tcPr>
            <w:tcW w:w="1740" w:type="dxa"/>
            <w:tcBorders>
              <w:top w:val="nil"/>
              <w:left w:val="nil"/>
              <w:bottom w:val="nil"/>
              <w:right w:val="nil"/>
            </w:tcBorders>
            <w:noWrap/>
            <w:vAlign w:val="bottom"/>
            <w:hideMark/>
          </w:tcPr>
          <w:p w14:paraId="146A5D91"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730C89A4" w14:textId="77777777" w:rsidTr="006B2AFA">
        <w:trPr>
          <w:trHeight w:val="300"/>
        </w:trPr>
        <w:tc>
          <w:tcPr>
            <w:tcW w:w="520" w:type="dxa"/>
            <w:tcBorders>
              <w:top w:val="nil"/>
              <w:left w:val="nil"/>
              <w:bottom w:val="nil"/>
              <w:right w:val="nil"/>
            </w:tcBorders>
            <w:noWrap/>
            <w:vAlign w:val="bottom"/>
            <w:hideMark/>
          </w:tcPr>
          <w:p w14:paraId="07284169"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2E61FB8A" w14:textId="77777777" w:rsidR="006B2AFA" w:rsidRPr="006B2AFA" w:rsidRDefault="006B2AFA" w:rsidP="006B2AFA">
            <w:pPr>
              <w:spacing w:after="0" w:line="240" w:lineRule="auto"/>
              <w:rPr>
                <w:rFonts w:ascii="Calibri" w:eastAsia="Times New Roman" w:hAnsi="Calibri" w:cs="Times New Roman"/>
                <w:b/>
                <w:bCs/>
                <w:color w:val="000000"/>
                <w:sz w:val="20"/>
                <w:szCs w:val="20"/>
                <w:u w:val="single"/>
              </w:rPr>
            </w:pPr>
            <w:r w:rsidRPr="006B2AFA">
              <w:rPr>
                <w:rFonts w:ascii="Calibri" w:eastAsia="Times New Roman" w:hAnsi="Calibri" w:cs="Times New Roman"/>
                <w:b/>
                <w:bCs/>
                <w:color w:val="000000"/>
                <w:sz w:val="20"/>
                <w:szCs w:val="20"/>
                <w:u w:val="single"/>
              </w:rPr>
              <w:t xml:space="preserve">Reference:  </w:t>
            </w:r>
          </w:p>
        </w:tc>
        <w:tc>
          <w:tcPr>
            <w:tcW w:w="1740" w:type="dxa"/>
            <w:tcBorders>
              <w:top w:val="nil"/>
              <w:left w:val="nil"/>
              <w:bottom w:val="nil"/>
              <w:right w:val="nil"/>
            </w:tcBorders>
            <w:noWrap/>
            <w:vAlign w:val="bottom"/>
            <w:hideMark/>
          </w:tcPr>
          <w:p w14:paraId="7FFB9EEB"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60576C8D" w14:textId="77777777" w:rsidTr="006B2AFA">
        <w:trPr>
          <w:trHeight w:val="300"/>
        </w:trPr>
        <w:tc>
          <w:tcPr>
            <w:tcW w:w="520" w:type="dxa"/>
            <w:tcBorders>
              <w:top w:val="nil"/>
              <w:left w:val="nil"/>
              <w:bottom w:val="nil"/>
              <w:right w:val="nil"/>
            </w:tcBorders>
            <w:noWrap/>
            <w:vAlign w:val="bottom"/>
            <w:hideMark/>
          </w:tcPr>
          <w:p w14:paraId="4309448D"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center"/>
            <w:hideMark/>
          </w:tcPr>
          <w:p w14:paraId="5597A552" w14:textId="77777777" w:rsidR="006B2AFA" w:rsidRDefault="006B2AFA" w:rsidP="006B2AFA">
            <w:pPr>
              <w:spacing w:after="0" w:line="240" w:lineRule="auto"/>
              <w:rPr>
                <w:rFonts w:cs="Frutiger-Light"/>
                <w:color w:val="0070C0"/>
                <w:sz w:val="20"/>
                <w:szCs w:val="20"/>
              </w:rPr>
            </w:pPr>
            <w:r w:rsidRPr="006B2AFA">
              <w:rPr>
                <w:rFonts w:eastAsia="Times New Roman" w:cs="Times New Roman"/>
                <w:color w:val="0070C0"/>
                <w:sz w:val="20"/>
                <w:szCs w:val="20"/>
              </w:rPr>
              <w:t>O'Brien BC, Harris IB, Beckman TJ, Reed DA, Cook DA.</w:t>
            </w:r>
            <w:r>
              <w:rPr>
                <w:rFonts w:eastAsia="Times New Roman" w:cs="Times New Roman"/>
                <w:color w:val="0070C0"/>
                <w:sz w:val="20"/>
                <w:szCs w:val="20"/>
              </w:rPr>
              <w:t xml:space="preserve"> </w:t>
            </w:r>
            <w:r w:rsidRPr="006B2AFA">
              <w:rPr>
                <w:rFonts w:eastAsia="Times New Roman" w:cs="Times New Roman"/>
                <w:b/>
                <w:bCs/>
                <w:color w:val="0070C0"/>
                <w:sz w:val="20"/>
                <w:szCs w:val="20"/>
              </w:rPr>
              <w:t>Standards for reporting qualitative research: a synthesis of recommendations.</w:t>
            </w:r>
            <w:r>
              <w:rPr>
                <w:rFonts w:eastAsia="Times New Roman" w:cs="Times New Roman"/>
                <w:b/>
                <w:bCs/>
                <w:color w:val="0070C0"/>
                <w:sz w:val="20"/>
                <w:szCs w:val="20"/>
              </w:rPr>
              <w:t xml:space="preserve"> </w:t>
            </w:r>
            <w:r w:rsidRPr="006B2AFA">
              <w:rPr>
                <w:rFonts w:cs="Frutiger-Light"/>
                <w:i/>
                <w:color w:val="0070C0"/>
                <w:sz w:val="20"/>
                <w:szCs w:val="20"/>
              </w:rPr>
              <w:t>Academic Medicine</w:t>
            </w:r>
            <w:r w:rsidRPr="006B2AFA">
              <w:rPr>
                <w:rFonts w:cs="Frutiger-Light"/>
                <w:color w:val="0070C0"/>
                <w:sz w:val="20"/>
                <w:szCs w:val="20"/>
              </w:rPr>
              <w:t>, Vol. 89, No. 9 / Sept 2014</w:t>
            </w:r>
          </w:p>
          <w:p w14:paraId="35AE1B4C" w14:textId="77777777" w:rsidR="006B2AFA" w:rsidRPr="006B2AFA" w:rsidRDefault="006B2AFA" w:rsidP="006B2AFA">
            <w:pPr>
              <w:spacing w:after="0" w:line="240" w:lineRule="auto"/>
              <w:rPr>
                <w:rFonts w:eastAsia="Times New Roman" w:cs="Times New Roman"/>
                <w:color w:val="0070C0"/>
                <w:sz w:val="20"/>
                <w:szCs w:val="20"/>
              </w:rPr>
            </w:pPr>
            <w:r w:rsidRPr="006B2AFA">
              <w:rPr>
                <w:rFonts w:eastAsia="Times New Roman" w:cs="Times New Roman"/>
                <w:color w:val="0070C0"/>
                <w:sz w:val="20"/>
                <w:szCs w:val="20"/>
              </w:rPr>
              <w:t>DOI: 10.1097/ACM.0000000000000388</w:t>
            </w:r>
          </w:p>
        </w:tc>
        <w:tc>
          <w:tcPr>
            <w:tcW w:w="1740" w:type="dxa"/>
            <w:tcBorders>
              <w:top w:val="nil"/>
              <w:left w:val="nil"/>
              <w:bottom w:val="nil"/>
              <w:right w:val="nil"/>
            </w:tcBorders>
            <w:noWrap/>
            <w:vAlign w:val="bottom"/>
            <w:hideMark/>
          </w:tcPr>
          <w:p w14:paraId="735A0AA6"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2871A9B7" w14:textId="77777777" w:rsidTr="006B2AFA">
        <w:trPr>
          <w:trHeight w:val="345"/>
        </w:trPr>
        <w:tc>
          <w:tcPr>
            <w:tcW w:w="520" w:type="dxa"/>
            <w:tcBorders>
              <w:top w:val="nil"/>
              <w:left w:val="nil"/>
              <w:bottom w:val="nil"/>
              <w:right w:val="nil"/>
            </w:tcBorders>
            <w:noWrap/>
            <w:vAlign w:val="bottom"/>
            <w:hideMark/>
          </w:tcPr>
          <w:p w14:paraId="14EC4CCB"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484ACCFB"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noWrap/>
            <w:vAlign w:val="bottom"/>
            <w:hideMark/>
          </w:tcPr>
          <w:p w14:paraId="78A68CBA" w14:textId="77777777" w:rsidR="006B2AFA" w:rsidRPr="006B2AFA" w:rsidRDefault="006B2AFA" w:rsidP="006B2AFA">
            <w:pPr>
              <w:spacing w:after="0" w:line="240" w:lineRule="auto"/>
              <w:rPr>
                <w:rFonts w:ascii="Calibri" w:eastAsia="Times New Roman" w:hAnsi="Calibri" w:cs="Times New Roman"/>
                <w:color w:val="000000"/>
              </w:rPr>
            </w:pPr>
          </w:p>
        </w:tc>
      </w:tr>
      <w:tr w:rsidR="006B2AFA" w:rsidRPr="006B2AFA" w14:paraId="1610856C" w14:textId="77777777" w:rsidTr="006B2AFA">
        <w:trPr>
          <w:trHeight w:val="244"/>
        </w:trPr>
        <w:tc>
          <w:tcPr>
            <w:tcW w:w="520" w:type="dxa"/>
            <w:tcBorders>
              <w:top w:val="nil"/>
              <w:left w:val="nil"/>
              <w:bottom w:val="nil"/>
              <w:right w:val="nil"/>
            </w:tcBorders>
            <w:noWrap/>
            <w:vAlign w:val="bottom"/>
            <w:hideMark/>
          </w:tcPr>
          <w:p w14:paraId="2B88ABC5" w14:textId="77777777" w:rsidR="006B2AFA" w:rsidRPr="006B2AFA" w:rsidRDefault="006B2AFA" w:rsidP="006B2AFA">
            <w:pPr>
              <w:spacing w:after="0" w:line="240" w:lineRule="auto"/>
              <w:rPr>
                <w:rFonts w:ascii="Calibri" w:eastAsia="Times New Roman" w:hAnsi="Calibri" w:cs="Times New Roman"/>
                <w:b/>
                <w:bCs/>
                <w:color w:val="000000"/>
              </w:rPr>
            </w:pPr>
          </w:p>
        </w:tc>
        <w:tc>
          <w:tcPr>
            <w:tcW w:w="7640" w:type="dxa"/>
            <w:tcBorders>
              <w:top w:val="nil"/>
              <w:left w:val="nil"/>
              <w:bottom w:val="nil"/>
              <w:right w:val="nil"/>
            </w:tcBorders>
            <w:vAlign w:val="bottom"/>
            <w:hideMark/>
          </w:tcPr>
          <w:p w14:paraId="353279B0" w14:textId="77777777" w:rsidR="006B2AFA" w:rsidRPr="006B2AFA" w:rsidRDefault="006B2AFA" w:rsidP="006B2AFA">
            <w:pPr>
              <w:spacing w:after="0" w:line="240" w:lineRule="auto"/>
              <w:rPr>
                <w:rFonts w:eastAsia="Times New Roman" w:cs="Times New Roman"/>
                <w:color w:val="0070C0"/>
                <w:sz w:val="20"/>
                <w:szCs w:val="20"/>
              </w:rPr>
            </w:pPr>
          </w:p>
        </w:tc>
        <w:tc>
          <w:tcPr>
            <w:tcW w:w="1740" w:type="dxa"/>
            <w:tcBorders>
              <w:top w:val="nil"/>
              <w:left w:val="nil"/>
              <w:bottom w:val="nil"/>
              <w:right w:val="nil"/>
            </w:tcBorders>
            <w:noWrap/>
            <w:vAlign w:val="bottom"/>
            <w:hideMark/>
          </w:tcPr>
          <w:p w14:paraId="6C731599" w14:textId="77777777" w:rsidR="006B2AFA" w:rsidRPr="006B2AFA" w:rsidRDefault="006B2AFA" w:rsidP="006B2AFA">
            <w:pPr>
              <w:spacing w:after="0" w:line="240" w:lineRule="auto"/>
              <w:rPr>
                <w:rFonts w:ascii="Calibri" w:eastAsia="Times New Roman" w:hAnsi="Calibri" w:cs="Times New Roman"/>
                <w:color w:val="000000"/>
              </w:rPr>
            </w:pPr>
          </w:p>
        </w:tc>
      </w:tr>
    </w:tbl>
    <w:p w14:paraId="12DB36DC" w14:textId="77777777" w:rsidR="00254EC3" w:rsidRDefault="00254EC3"/>
    <w:sectPr w:rsidR="00254EC3" w:rsidSect="006B2AFA">
      <w:footerReference w:type="default" r:id="rId7"/>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3FD2B" w14:textId="77777777" w:rsidR="00AA38ED" w:rsidRDefault="00AA38ED" w:rsidP="006B2AFA">
      <w:pPr>
        <w:spacing w:after="0" w:line="240" w:lineRule="auto"/>
      </w:pPr>
      <w:r>
        <w:separator/>
      </w:r>
    </w:p>
  </w:endnote>
  <w:endnote w:type="continuationSeparator" w:id="0">
    <w:p w14:paraId="5958212D" w14:textId="77777777" w:rsidR="00AA38ED" w:rsidRDefault="00AA38ED"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Frutiger-Light">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100257"/>
      <w:docPartObj>
        <w:docPartGallery w:val="Page Numbers (Bottom of Page)"/>
        <w:docPartUnique/>
      </w:docPartObj>
    </w:sdtPr>
    <w:sdtEndPr>
      <w:rPr>
        <w:noProof/>
      </w:rPr>
    </w:sdtEndPr>
    <w:sdtContent>
      <w:p w14:paraId="322D89AB" w14:textId="77777777" w:rsidR="006B2AFA" w:rsidRDefault="006B2AFA">
        <w:pPr>
          <w:pStyle w:val="Footer"/>
          <w:jc w:val="right"/>
        </w:pPr>
        <w:r>
          <w:fldChar w:fldCharType="begin"/>
        </w:r>
        <w:r>
          <w:instrText xml:space="preserve"> PAGE   \* MERGEFORMAT </w:instrText>
        </w:r>
        <w:r>
          <w:fldChar w:fldCharType="separate"/>
        </w:r>
        <w:r w:rsidR="00E11EF6">
          <w:rPr>
            <w:noProof/>
          </w:rPr>
          <w:t>3</w:t>
        </w:r>
        <w:r>
          <w:rPr>
            <w:noProof/>
          </w:rPr>
          <w:fldChar w:fldCharType="end"/>
        </w:r>
      </w:p>
    </w:sdtContent>
  </w:sdt>
  <w:p w14:paraId="18072BC8"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73AEE" w14:textId="77777777" w:rsidR="00AA38ED" w:rsidRDefault="00AA38ED" w:rsidP="006B2AFA">
      <w:pPr>
        <w:spacing w:after="0" w:line="240" w:lineRule="auto"/>
      </w:pPr>
      <w:r>
        <w:separator/>
      </w:r>
    </w:p>
  </w:footnote>
  <w:footnote w:type="continuationSeparator" w:id="0">
    <w:p w14:paraId="5BD23C0B" w14:textId="77777777" w:rsidR="00AA38ED" w:rsidRDefault="00AA38ED"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AFA"/>
    <w:rsid w:val="00125FEA"/>
    <w:rsid w:val="001E743F"/>
    <w:rsid w:val="00254EC3"/>
    <w:rsid w:val="003030EE"/>
    <w:rsid w:val="00451EFA"/>
    <w:rsid w:val="00537410"/>
    <w:rsid w:val="00573B78"/>
    <w:rsid w:val="005846A6"/>
    <w:rsid w:val="00631565"/>
    <w:rsid w:val="00670B49"/>
    <w:rsid w:val="006B2AFA"/>
    <w:rsid w:val="00776241"/>
    <w:rsid w:val="00791046"/>
    <w:rsid w:val="00791241"/>
    <w:rsid w:val="008760BB"/>
    <w:rsid w:val="008A1477"/>
    <w:rsid w:val="008E432C"/>
    <w:rsid w:val="0099700C"/>
    <w:rsid w:val="009E14F7"/>
    <w:rsid w:val="00AA38ED"/>
    <w:rsid w:val="00AC02BA"/>
    <w:rsid w:val="00AF4FF7"/>
    <w:rsid w:val="00B74C01"/>
    <w:rsid w:val="00BE5004"/>
    <w:rsid w:val="00C11B0D"/>
    <w:rsid w:val="00C16142"/>
    <w:rsid w:val="00C25C0F"/>
    <w:rsid w:val="00C3122B"/>
    <w:rsid w:val="00CB5790"/>
    <w:rsid w:val="00CB6141"/>
    <w:rsid w:val="00D42750"/>
    <w:rsid w:val="00E11EF6"/>
    <w:rsid w:val="00F37CEA"/>
    <w:rsid w:val="00F67D47"/>
    <w:rsid w:val="00FB266E"/>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C5111"/>
  <w15:docId w15:val="{3B66A520-377E-42C3-9831-E8DF797E2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equator-network.org/reporting-guidelines/srqr/"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Rai, Sauharda</cp:lastModifiedBy>
  <cp:revision>4</cp:revision>
  <dcterms:created xsi:type="dcterms:W3CDTF">2025-07-14T18:11:00Z</dcterms:created>
  <dcterms:modified xsi:type="dcterms:W3CDTF">2025-09-18T14:18:00Z</dcterms:modified>
</cp:coreProperties>
</file>