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DD2" w:rsidRPr="00D25A30" w:rsidRDefault="00F40DD2">
      <w:pPr>
        <w:rPr>
          <w:color w:val="000000" w:themeColor="text1"/>
        </w:rPr>
      </w:pPr>
      <w:r w:rsidRPr="00D25A30">
        <w:rPr>
          <w:noProof/>
          <w:color w:val="000000" w:themeColor="text1"/>
          <w:lang w:val="en-IN" w:eastAsia="en-IN"/>
        </w:rPr>
        <w:drawing>
          <wp:inline distT="0" distB="0" distL="0" distR="0" wp14:anchorId="407F6B1F" wp14:editId="733D4958">
            <wp:extent cx="5274310" cy="3726815"/>
            <wp:effectExtent l="0" t="0" r="0" b="0"/>
            <wp:docPr id="16431477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726815"/>
                    </a:xfrm>
                    <a:prstGeom prst="rect">
                      <a:avLst/>
                    </a:prstGeom>
                    <a:noFill/>
                    <a:ln>
                      <a:noFill/>
                    </a:ln>
                  </pic:spPr>
                </pic:pic>
              </a:graphicData>
            </a:graphic>
          </wp:inline>
        </w:drawing>
      </w:r>
      <w:bookmarkStart w:id="0" w:name="_GoBack"/>
      <w:bookmarkEnd w:id="0"/>
    </w:p>
    <w:p w:rsidR="00F40DD2" w:rsidRPr="00D25A30" w:rsidRDefault="00F40DD2">
      <w:pPr>
        <w:rPr>
          <w:color w:val="000000" w:themeColor="text1"/>
        </w:rPr>
      </w:pPr>
    </w:p>
    <w:p w:rsidR="00F40DD2" w:rsidRPr="00D25A30" w:rsidRDefault="00D644DC">
      <w:pPr>
        <w:rPr>
          <w:color w:val="000000" w:themeColor="text1"/>
        </w:rPr>
      </w:pPr>
      <w:r w:rsidRPr="00D25A30">
        <w:rPr>
          <w:rFonts w:ascii="Arial" w:hAnsi="Arial" w:cs="Arial"/>
          <w:noProof/>
          <w:color w:val="000000" w:themeColor="text1"/>
          <w:sz w:val="18"/>
        </w:rPr>
        <w:t>Additional file 1:</w:t>
      </w:r>
      <w:r w:rsidR="00F40DD2" w:rsidRPr="00D25A30">
        <w:rPr>
          <w:rFonts w:ascii="Arial" w:hAnsi="Arial" w:cs="Arial" w:hint="eastAsia"/>
          <w:noProof/>
          <w:color w:val="000000" w:themeColor="text1"/>
          <w:sz w:val="18"/>
        </w:rPr>
        <w:t xml:space="preserve"> </w:t>
      </w:r>
      <w:r w:rsidR="00F40DD2" w:rsidRPr="00D25A30">
        <w:rPr>
          <w:rFonts w:ascii="Arial" w:hAnsi="Arial" w:cs="Arial"/>
          <w:noProof/>
          <w:color w:val="000000" w:themeColor="text1"/>
          <w:sz w:val="18"/>
        </w:rPr>
        <w:t>Fig.</w:t>
      </w:r>
      <w:r w:rsidRPr="00D25A30">
        <w:rPr>
          <w:rFonts w:ascii="Arial" w:hAnsi="Arial" w:cs="Arial"/>
          <w:noProof/>
          <w:color w:val="000000" w:themeColor="text1"/>
          <w:sz w:val="18"/>
        </w:rPr>
        <w:t xml:space="preserve"> S</w:t>
      </w:r>
      <w:r w:rsidR="00F40DD2" w:rsidRPr="00D25A30">
        <w:rPr>
          <w:rFonts w:ascii="Arial" w:hAnsi="Arial" w:cs="Arial"/>
          <w:noProof/>
          <w:color w:val="000000" w:themeColor="text1"/>
          <w:sz w:val="18"/>
        </w:rPr>
        <w:t xml:space="preserve">1 Two </w:t>
      </w:r>
      <w:r w:rsidR="00F40DD2" w:rsidRPr="00D25A30">
        <w:rPr>
          <w:rFonts w:ascii="Arial" w:hAnsi="Arial" w:cs="Arial"/>
          <w:color w:val="000000" w:themeColor="text1"/>
          <w:sz w:val="18"/>
        </w:rPr>
        <w:t xml:space="preserve">estimated network structures based on </w:t>
      </w:r>
      <w:r w:rsidR="00F40DD2" w:rsidRPr="00D25A30">
        <w:rPr>
          <w:rFonts w:ascii="Arial" w:hAnsi="Arial" w:cs="Arial" w:hint="eastAsia"/>
          <w:color w:val="000000" w:themeColor="text1"/>
          <w:sz w:val="18"/>
        </w:rPr>
        <w:t>nonclinical</w:t>
      </w:r>
      <w:r w:rsidR="00F40DD2" w:rsidRPr="00D25A30">
        <w:rPr>
          <w:rFonts w:ascii="Arial" w:hAnsi="Arial" w:cs="Arial"/>
          <w:color w:val="000000" w:themeColor="text1"/>
          <w:sz w:val="18"/>
        </w:rPr>
        <w:t xml:space="preserve"> (left) and </w:t>
      </w:r>
      <w:r w:rsidR="00F40DD2" w:rsidRPr="00D25A30">
        <w:rPr>
          <w:rFonts w:ascii="Arial" w:hAnsi="Arial" w:cs="Arial" w:hint="eastAsia"/>
          <w:color w:val="000000" w:themeColor="text1"/>
          <w:sz w:val="18"/>
        </w:rPr>
        <w:t>clinical</w:t>
      </w:r>
      <w:r w:rsidR="00F40DD2" w:rsidRPr="00D25A30">
        <w:rPr>
          <w:rFonts w:ascii="Arial" w:hAnsi="Arial" w:cs="Arial"/>
          <w:color w:val="000000" w:themeColor="text1"/>
          <w:sz w:val="18"/>
        </w:rPr>
        <w:t xml:space="preserve"> (right)</w:t>
      </w:r>
      <w:r w:rsidR="00F40DD2" w:rsidRPr="00D25A30">
        <w:rPr>
          <w:rFonts w:ascii="Arial" w:hAnsi="Arial" w:cs="Arial" w:hint="eastAsia"/>
          <w:color w:val="000000" w:themeColor="text1"/>
          <w:sz w:val="18"/>
        </w:rPr>
        <w:t xml:space="preserve"> samples</w:t>
      </w:r>
      <w:r w:rsidR="00F40DD2" w:rsidRPr="00D25A30">
        <w:rPr>
          <w:rFonts w:ascii="Arial" w:hAnsi="Arial" w:cs="Arial"/>
          <w:color w:val="000000" w:themeColor="text1"/>
          <w:sz w:val="18"/>
        </w:rPr>
        <w:t>. The networks show the relationships among variables, including symptoms (SI, NSSI, depression, and anxiety) and psychological characteristics (ERS, SPSI, and DERS). The edge weights are the regression coefficients with regularization. Blue edges represent positive relationships and red edges indicate negative relationships. The thickness of the edge reflects the magnitude of the relationship.</w:t>
      </w:r>
    </w:p>
    <w:p w:rsidR="00F40DD2" w:rsidRPr="00D25A30" w:rsidRDefault="00F40DD2">
      <w:pPr>
        <w:rPr>
          <w:color w:val="000000" w:themeColor="text1"/>
        </w:rPr>
      </w:pPr>
    </w:p>
    <w:p w:rsidR="00F40DD2" w:rsidRPr="00D25A30" w:rsidRDefault="00F40DD2">
      <w:pPr>
        <w:widowControl/>
        <w:jc w:val="left"/>
        <w:rPr>
          <w:color w:val="000000" w:themeColor="text1"/>
        </w:rPr>
      </w:pPr>
      <w:r w:rsidRPr="00D25A30">
        <w:rPr>
          <w:color w:val="000000" w:themeColor="text1"/>
        </w:rPr>
        <w:br w:type="page"/>
      </w:r>
    </w:p>
    <w:p w:rsidR="00F40DD2" w:rsidRPr="00D25A30" w:rsidRDefault="00F40DD2">
      <w:pPr>
        <w:rPr>
          <w:color w:val="000000" w:themeColor="text1"/>
        </w:rPr>
      </w:pPr>
      <w:r w:rsidRPr="00D25A30">
        <w:rPr>
          <w:noProof/>
          <w:color w:val="000000" w:themeColor="text1"/>
          <w:lang w:val="en-IN" w:eastAsia="en-IN"/>
        </w:rPr>
        <w:drawing>
          <wp:inline distT="0" distB="0" distL="0" distR="0">
            <wp:extent cx="5274310" cy="3352165"/>
            <wp:effectExtent l="0" t="0" r="0" b="0"/>
            <wp:docPr id="11891571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3352165"/>
                    </a:xfrm>
                    <a:prstGeom prst="rect">
                      <a:avLst/>
                    </a:prstGeom>
                    <a:noFill/>
                    <a:ln>
                      <a:noFill/>
                    </a:ln>
                  </pic:spPr>
                </pic:pic>
              </a:graphicData>
            </a:graphic>
          </wp:inline>
        </w:drawing>
      </w:r>
    </w:p>
    <w:p w:rsidR="00F40DD2" w:rsidRPr="00D25A30" w:rsidRDefault="00D644DC">
      <w:pPr>
        <w:rPr>
          <w:rFonts w:ascii="Arial" w:hAnsi="Arial" w:cs="Arial"/>
          <w:color w:val="000000" w:themeColor="text1"/>
          <w:sz w:val="18"/>
        </w:rPr>
      </w:pPr>
      <w:r w:rsidRPr="00D25A30">
        <w:rPr>
          <w:rFonts w:ascii="Arial" w:hAnsi="Arial" w:cs="Arial"/>
          <w:noProof/>
          <w:color w:val="000000" w:themeColor="text1"/>
          <w:sz w:val="18"/>
        </w:rPr>
        <w:t>Additional file 1:</w:t>
      </w:r>
      <w:r w:rsidR="00F40DD2" w:rsidRPr="00D25A30">
        <w:rPr>
          <w:rFonts w:ascii="Arial" w:hAnsi="Arial" w:cs="Arial" w:hint="eastAsia"/>
          <w:noProof/>
          <w:color w:val="000000" w:themeColor="text1"/>
          <w:sz w:val="18"/>
        </w:rPr>
        <w:t xml:space="preserve"> </w:t>
      </w:r>
      <w:r w:rsidR="00F40DD2" w:rsidRPr="00D25A30">
        <w:rPr>
          <w:rFonts w:ascii="Arial" w:hAnsi="Arial" w:cs="Arial" w:hint="eastAsia"/>
          <w:color w:val="000000" w:themeColor="text1"/>
          <w:sz w:val="18"/>
        </w:rPr>
        <w:t xml:space="preserve">Fig. </w:t>
      </w:r>
      <w:r w:rsidRPr="00D25A30">
        <w:rPr>
          <w:rFonts w:ascii="Arial" w:hAnsi="Arial" w:cs="Arial"/>
          <w:color w:val="000000" w:themeColor="text1"/>
          <w:sz w:val="18"/>
        </w:rPr>
        <w:t>S</w:t>
      </w:r>
      <w:r w:rsidR="00F40DD2" w:rsidRPr="00D25A30">
        <w:rPr>
          <w:rFonts w:ascii="Arial" w:hAnsi="Arial" w:cs="Arial" w:hint="eastAsia"/>
          <w:color w:val="000000" w:themeColor="text1"/>
          <w:sz w:val="18"/>
        </w:rPr>
        <w:t xml:space="preserve">2. </w:t>
      </w:r>
      <w:r w:rsidR="00F40DD2" w:rsidRPr="00D25A30">
        <w:rPr>
          <w:rFonts w:ascii="Arial" w:hAnsi="Arial" w:cs="Arial"/>
          <w:color w:val="000000" w:themeColor="text1"/>
          <w:sz w:val="18"/>
        </w:rPr>
        <w:t xml:space="preserve">Centrality indices for the nodes in </w:t>
      </w:r>
      <w:r w:rsidR="00F40DD2" w:rsidRPr="00D25A30">
        <w:rPr>
          <w:rFonts w:ascii="Arial" w:hAnsi="Arial" w:cs="Arial" w:hint="eastAsia"/>
          <w:color w:val="000000" w:themeColor="text1"/>
          <w:sz w:val="18"/>
        </w:rPr>
        <w:t>the</w:t>
      </w:r>
      <w:r w:rsidR="00F40DD2" w:rsidRPr="00D25A30">
        <w:rPr>
          <w:rFonts w:ascii="Arial" w:hAnsi="Arial" w:cs="Arial"/>
          <w:color w:val="000000" w:themeColor="text1"/>
          <w:sz w:val="18"/>
        </w:rPr>
        <w:t xml:space="preserve"> </w:t>
      </w:r>
      <w:r w:rsidR="00F40DD2" w:rsidRPr="00D25A30">
        <w:rPr>
          <w:rFonts w:ascii="Arial" w:hAnsi="Arial" w:cs="Arial" w:hint="eastAsia"/>
          <w:color w:val="000000" w:themeColor="text1"/>
          <w:sz w:val="18"/>
        </w:rPr>
        <w:t>nonclinical</w:t>
      </w:r>
      <w:r w:rsidR="00F40DD2" w:rsidRPr="00D25A30">
        <w:rPr>
          <w:rFonts w:ascii="Arial" w:hAnsi="Arial" w:cs="Arial"/>
          <w:color w:val="000000" w:themeColor="text1"/>
          <w:sz w:val="18"/>
        </w:rPr>
        <w:t xml:space="preserve"> and </w:t>
      </w:r>
      <w:r w:rsidR="00F40DD2" w:rsidRPr="00D25A30">
        <w:rPr>
          <w:rFonts w:ascii="Arial" w:hAnsi="Arial" w:cs="Arial" w:hint="eastAsia"/>
          <w:color w:val="000000" w:themeColor="text1"/>
          <w:sz w:val="18"/>
        </w:rPr>
        <w:t>clinical</w:t>
      </w:r>
      <w:r w:rsidR="00F40DD2" w:rsidRPr="00D25A30">
        <w:rPr>
          <w:rFonts w:ascii="Arial" w:hAnsi="Arial" w:cs="Arial"/>
          <w:color w:val="000000" w:themeColor="text1"/>
          <w:sz w:val="18"/>
        </w:rPr>
        <w:t xml:space="preserve"> networks, including those for strength, betweenness, closeness, and expected influence. Red and blue represent female and male networks, respectively.</w:t>
      </w:r>
    </w:p>
    <w:p w:rsidR="00F40DD2" w:rsidRPr="00D25A30" w:rsidRDefault="00F40DD2">
      <w:pPr>
        <w:widowControl/>
        <w:jc w:val="left"/>
        <w:rPr>
          <w:color w:val="000000" w:themeColor="text1"/>
        </w:rPr>
      </w:pPr>
      <w:r w:rsidRPr="00D25A30">
        <w:rPr>
          <w:color w:val="000000" w:themeColor="text1"/>
        </w:rPr>
        <w:br w:type="page"/>
      </w:r>
    </w:p>
    <w:p w:rsidR="00F40DD2" w:rsidRPr="00D25A30" w:rsidRDefault="00D644DC" w:rsidP="00F40DD2">
      <w:pPr>
        <w:jc w:val="center"/>
        <w:rPr>
          <w:rFonts w:ascii="Times New Roman" w:hAnsi="Times New Roman" w:cs="Times New Roman"/>
          <w:color w:val="000000" w:themeColor="text1"/>
        </w:rPr>
      </w:pPr>
      <w:r w:rsidRPr="00D25A30">
        <w:rPr>
          <w:rFonts w:ascii="Arial" w:hAnsi="Arial" w:cs="Arial"/>
          <w:noProof/>
          <w:color w:val="000000" w:themeColor="text1"/>
          <w:sz w:val="18"/>
        </w:rPr>
        <w:t>Additional file 1:</w:t>
      </w:r>
      <w:r w:rsidR="00A40C61" w:rsidRPr="00D25A30">
        <w:rPr>
          <w:rFonts w:ascii="Arial" w:hAnsi="Arial" w:cs="Arial" w:hint="eastAsia"/>
          <w:noProof/>
          <w:color w:val="000000" w:themeColor="text1"/>
          <w:sz w:val="18"/>
        </w:rPr>
        <w:t xml:space="preserve"> </w:t>
      </w:r>
      <w:r w:rsidR="00F40DD2" w:rsidRPr="00D25A30">
        <w:rPr>
          <w:rFonts w:ascii="Times New Roman" w:hAnsi="Times New Roman" w:cs="Times New Roman"/>
          <w:color w:val="000000" w:themeColor="text1"/>
        </w:rPr>
        <w:t xml:space="preserve">Table </w:t>
      </w:r>
      <w:r w:rsidRPr="00D25A30">
        <w:rPr>
          <w:rFonts w:ascii="Times New Roman" w:hAnsi="Times New Roman" w:cs="Times New Roman"/>
          <w:color w:val="000000" w:themeColor="text1"/>
        </w:rPr>
        <w:t>S</w:t>
      </w:r>
      <w:r w:rsidR="00F40DD2" w:rsidRPr="00D25A30">
        <w:rPr>
          <w:rFonts w:ascii="Times New Roman" w:hAnsi="Times New Roman" w:cs="Times New Roman"/>
          <w:color w:val="000000" w:themeColor="text1"/>
        </w:rPr>
        <w:t>1 Logistic Regression Performed to Ascertain the Effects of Various Factors on the Likelihood of SI</w:t>
      </w:r>
    </w:p>
    <w:tbl>
      <w:tblPr>
        <w:tblW w:w="0" w:type="auto"/>
        <w:jc w:val="center"/>
        <w:tblBorders>
          <w:top w:val="single" w:sz="4" w:space="0" w:color="auto"/>
          <w:bottom w:val="single" w:sz="4" w:space="0" w:color="auto"/>
        </w:tblBorders>
        <w:tblLook w:val="0000" w:firstRow="0" w:lastRow="0" w:firstColumn="0" w:lastColumn="0" w:noHBand="0" w:noVBand="0"/>
      </w:tblPr>
      <w:tblGrid>
        <w:gridCol w:w="1726"/>
        <w:gridCol w:w="621"/>
        <w:gridCol w:w="536"/>
        <w:gridCol w:w="531"/>
        <w:gridCol w:w="621"/>
        <w:gridCol w:w="621"/>
        <w:gridCol w:w="536"/>
        <w:gridCol w:w="531"/>
        <w:gridCol w:w="621"/>
      </w:tblGrid>
      <w:tr w:rsidR="00D25A30" w:rsidRPr="00D25A30" w:rsidTr="00362D8C">
        <w:trPr>
          <w:jc w:val="center"/>
        </w:trPr>
        <w:tc>
          <w:tcPr>
            <w:tcW w:w="0" w:type="auto"/>
          </w:tcPr>
          <w:p w:rsidR="00F40DD2" w:rsidRPr="00D25A30" w:rsidRDefault="00F40DD2" w:rsidP="00362D8C">
            <w:pPr>
              <w:autoSpaceDE w:val="0"/>
              <w:autoSpaceDN w:val="0"/>
              <w:adjustRightInd w:val="0"/>
              <w:jc w:val="left"/>
              <w:rPr>
                <w:rFonts w:ascii="Times New Roman" w:eastAsia="SimSun" w:hAnsi="Times New Roman" w:cs="Times New Roman"/>
                <w:color w:val="000000" w:themeColor="text1"/>
                <w:kern w:val="0"/>
                <w:sz w:val="24"/>
                <w:szCs w:val="24"/>
              </w:rPr>
            </w:pPr>
          </w:p>
        </w:tc>
        <w:tc>
          <w:tcPr>
            <w:tcW w:w="0" w:type="auto"/>
            <w:gridSpan w:val="4"/>
            <w:tcBorders>
              <w:bottom w:val="nil"/>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Nonclinical</w:t>
            </w:r>
          </w:p>
        </w:tc>
        <w:tc>
          <w:tcPr>
            <w:tcW w:w="0" w:type="auto"/>
            <w:gridSpan w:val="4"/>
            <w:tcBorders>
              <w:bottom w:val="nil"/>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Clinical</w:t>
            </w:r>
          </w:p>
        </w:tc>
      </w:tr>
      <w:tr w:rsidR="00D25A30" w:rsidRPr="00D25A30" w:rsidTr="00362D8C">
        <w:trPr>
          <w:jc w:val="center"/>
        </w:trPr>
        <w:tc>
          <w:tcPr>
            <w:tcW w:w="0" w:type="auto"/>
          </w:tcPr>
          <w:p w:rsidR="00F40DD2" w:rsidRPr="00D25A30" w:rsidRDefault="00F40DD2" w:rsidP="00362D8C">
            <w:pPr>
              <w:autoSpaceDE w:val="0"/>
              <w:autoSpaceDN w:val="0"/>
              <w:adjustRightInd w:val="0"/>
              <w:jc w:val="left"/>
              <w:rPr>
                <w:rFonts w:ascii="Times New Roman" w:eastAsia="SimSun" w:hAnsi="Times New Roman" w:cs="Times New Roman"/>
                <w:color w:val="000000" w:themeColor="text1"/>
                <w:kern w:val="0"/>
                <w:sz w:val="24"/>
                <w:szCs w:val="24"/>
              </w:rPr>
            </w:pP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B</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SE</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p</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OR</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B</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SE</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p</w:t>
            </w:r>
          </w:p>
        </w:tc>
        <w:tc>
          <w:tcPr>
            <w:tcW w:w="0" w:type="auto"/>
            <w:tcBorders>
              <w:top w:val="nil"/>
              <w:bottom w:val="single" w:sz="4" w:space="0" w:color="auto"/>
            </w:tcBorders>
          </w:tcPr>
          <w:p w:rsidR="00F40DD2" w:rsidRPr="00D25A30" w:rsidRDefault="00F40DD2" w:rsidP="00362D8C">
            <w:pPr>
              <w:autoSpaceDE w:val="0"/>
              <w:autoSpaceDN w:val="0"/>
              <w:adjustRightInd w:val="0"/>
              <w:spacing w:line="320" w:lineRule="atLeast"/>
              <w:ind w:left="60" w:right="60"/>
              <w:jc w:val="center"/>
              <w:rPr>
                <w:rFonts w:ascii="Times New Roman" w:eastAsia="SimSun" w:hAnsi="Times New Roman" w:cs="Times New Roman"/>
                <w:i/>
                <w:color w:val="000000" w:themeColor="text1"/>
                <w:kern w:val="0"/>
                <w:sz w:val="18"/>
                <w:szCs w:val="18"/>
              </w:rPr>
            </w:pPr>
            <w:r w:rsidRPr="00D25A30">
              <w:rPr>
                <w:rFonts w:ascii="Times New Roman" w:eastAsia="SimSun" w:hAnsi="Times New Roman" w:cs="Times New Roman"/>
                <w:i/>
                <w:color w:val="000000" w:themeColor="text1"/>
                <w:kern w:val="0"/>
                <w:sz w:val="18"/>
                <w:szCs w:val="18"/>
              </w:rPr>
              <w:t>OR</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Sensitivity</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.088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.059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.135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1.092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-.122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.060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.042 </w:t>
            </w:r>
          </w:p>
        </w:tc>
        <w:tc>
          <w:tcPr>
            <w:tcW w:w="0" w:type="auto"/>
            <w:tcBorders>
              <w:top w:val="single" w:sz="4" w:space="0" w:color="auto"/>
            </w:tcBorders>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.885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Intensity</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.140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.891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.075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.215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1.097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Persistency</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.308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.122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1.360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.110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.959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1.006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Lack of Awareness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-.049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.440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.952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.199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.063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1.220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Clarity</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.357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1.088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.084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.179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.894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proofErr w:type="spellStart"/>
            <w:r w:rsidRPr="00D25A30">
              <w:rPr>
                <w:rFonts w:ascii="Times New Roman" w:eastAsia="SimSun" w:hAnsi="Times New Roman" w:cs="Times New Roman"/>
                <w:color w:val="000000" w:themeColor="text1"/>
                <w:kern w:val="0"/>
                <w:sz w:val="18"/>
                <w:szCs w:val="18"/>
              </w:rPr>
              <w:t>Nonacceptance</w:t>
            </w:r>
            <w:proofErr w:type="spellEnd"/>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.146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.914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.062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.994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1.000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Impulses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.898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.993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.055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.849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1.010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Goals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-.038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.557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.963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.075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.849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1.014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Strategies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.342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.948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.060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1.112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NSSI</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1.586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.460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4.884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1.838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.506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6.284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RPS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.037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.141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.947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.021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.033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.516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1.022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AS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-.047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.379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.954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.059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1.104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ICS</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.034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.079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.670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1.034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.089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.998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PPO</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.095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1.015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-.021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.114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.853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.979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NPO</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.073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.934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.994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.077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.836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.984 </w:t>
            </w:r>
          </w:p>
        </w:tc>
      </w:tr>
      <w:tr w:rsidR="00D25A30"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Anxiety</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.084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.410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1.072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.262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.109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.017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1.300 </w:t>
            </w:r>
          </w:p>
        </w:tc>
      </w:tr>
      <w:tr w:rsidR="00A40C61" w:rsidRPr="00D25A30" w:rsidTr="006136C3">
        <w:trPr>
          <w:jc w:val="center"/>
        </w:trPr>
        <w:tc>
          <w:tcPr>
            <w:tcW w:w="0" w:type="auto"/>
          </w:tcPr>
          <w:p w:rsidR="00A40C61" w:rsidRPr="00D25A30" w:rsidRDefault="00A40C61" w:rsidP="00A40C61">
            <w:pPr>
              <w:autoSpaceDE w:val="0"/>
              <w:autoSpaceDN w:val="0"/>
              <w:adjustRightInd w:val="0"/>
              <w:spacing w:line="320" w:lineRule="atLeast"/>
              <w:ind w:left="60" w:right="60"/>
              <w:jc w:val="left"/>
              <w:rPr>
                <w:rFonts w:ascii="Times New Roman" w:eastAsia="SimSun" w:hAnsi="Times New Roman" w:cs="Times New Roman"/>
                <w:color w:val="000000" w:themeColor="text1"/>
                <w:kern w:val="0"/>
                <w:sz w:val="18"/>
                <w:szCs w:val="18"/>
              </w:rPr>
            </w:pPr>
            <w:r w:rsidRPr="00D25A30">
              <w:rPr>
                <w:rFonts w:ascii="Times New Roman" w:eastAsia="SimSun" w:hAnsi="Times New Roman" w:cs="Times New Roman"/>
                <w:color w:val="000000" w:themeColor="text1"/>
                <w:kern w:val="0"/>
                <w:sz w:val="18"/>
                <w:szCs w:val="18"/>
              </w:rPr>
              <w:t>Depression</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.078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.022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1.195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-.007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.080 </w:t>
            </w:r>
          </w:p>
        </w:tc>
        <w:tc>
          <w:tcPr>
            <w:tcW w:w="0" w:type="auto"/>
            <w:vAlign w:val="center"/>
          </w:tcPr>
          <w:p w:rsidR="00A40C61" w:rsidRPr="00D25A30" w:rsidRDefault="00A40C61" w:rsidP="00A40C61">
            <w:pPr>
              <w:widowControl/>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.930 </w:t>
            </w:r>
          </w:p>
        </w:tc>
        <w:tc>
          <w:tcPr>
            <w:tcW w:w="0" w:type="auto"/>
            <w:vAlign w:val="center"/>
          </w:tcPr>
          <w:p w:rsidR="00A40C61" w:rsidRPr="00D25A30" w:rsidRDefault="00A40C61" w:rsidP="00A40C61">
            <w:pPr>
              <w:jc w:val="right"/>
              <w:rPr>
                <w:rFonts w:ascii="Times New Roman" w:eastAsia="等线" w:hAnsi="Times New Roman" w:cs="Times New Roman"/>
                <w:color w:val="000000" w:themeColor="text1"/>
                <w:sz w:val="18"/>
                <w:szCs w:val="18"/>
              </w:rPr>
            </w:pPr>
            <w:r w:rsidRPr="00D25A30">
              <w:rPr>
                <w:rFonts w:ascii="Times New Roman" w:eastAsia="等线" w:hAnsi="Times New Roman" w:cs="Times New Roman"/>
                <w:color w:val="000000" w:themeColor="text1"/>
                <w:sz w:val="18"/>
                <w:szCs w:val="18"/>
              </w:rPr>
              <w:t xml:space="preserve">.993 </w:t>
            </w:r>
          </w:p>
        </w:tc>
      </w:tr>
    </w:tbl>
    <w:p w:rsidR="00F40DD2" w:rsidRPr="00D25A30" w:rsidRDefault="00F40DD2" w:rsidP="00F40DD2">
      <w:pPr>
        <w:rPr>
          <w:color w:val="000000" w:themeColor="text1"/>
        </w:rPr>
      </w:pPr>
    </w:p>
    <w:p w:rsidR="009A3D9E" w:rsidRPr="00D25A30" w:rsidRDefault="00F40DD2">
      <w:pPr>
        <w:rPr>
          <w:color w:val="000000" w:themeColor="text1"/>
        </w:rPr>
      </w:pPr>
      <w:r w:rsidRPr="00D25A30">
        <w:rPr>
          <w:noProof/>
          <w:color w:val="000000" w:themeColor="text1"/>
          <w:lang w:val="en-IN" w:eastAsia="en-IN"/>
        </w:rPr>
        <w:drawing>
          <wp:inline distT="0" distB="0" distL="0" distR="0">
            <wp:extent cx="5274310" cy="3424555"/>
            <wp:effectExtent l="0" t="0" r="0" b="0"/>
            <wp:docPr id="319285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424555"/>
                    </a:xfrm>
                    <a:prstGeom prst="rect">
                      <a:avLst/>
                    </a:prstGeom>
                    <a:noFill/>
                    <a:ln>
                      <a:noFill/>
                    </a:ln>
                  </pic:spPr>
                </pic:pic>
              </a:graphicData>
            </a:graphic>
          </wp:inline>
        </w:drawing>
      </w:r>
    </w:p>
    <w:p w:rsidR="00F40DD2" w:rsidRPr="00D25A30" w:rsidRDefault="00D644DC">
      <w:pPr>
        <w:rPr>
          <w:rFonts w:ascii="Arial" w:hAnsi="Arial" w:cs="Arial"/>
          <w:color w:val="000000" w:themeColor="text1"/>
          <w:sz w:val="18"/>
        </w:rPr>
      </w:pPr>
      <w:r w:rsidRPr="00D25A30">
        <w:rPr>
          <w:rFonts w:ascii="Arial" w:hAnsi="Arial" w:cs="Arial"/>
          <w:noProof/>
          <w:color w:val="000000" w:themeColor="text1"/>
          <w:sz w:val="18"/>
        </w:rPr>
        <w:t>Additional file 1:</w:t>
      </w:r>
      <w:r w:rsidR="00F40DD2" w:rsidRPr="00D25A30">
        <w:rPr>
          <w:rFonts w:ascii="Arial" w:hAnsi="Arial" w:cs="Arial" w:hint="eastAsia"/>
          <w:noProof/>
          <w:color w:val="000000" w:themeColor="text1"/>
          <w:sz w:val="18"/>
        </w:rPr>
        <w:t xml:space="preserve"> </w:t>
      </w:r>
      <w:r w:rsidR="00F40DD2" w:rsidRPr="00D25A30">
        <w:rPr>
          <w:rFonts w:ascii="Arial" w:hAnsi="Arial" w:cs="Arial" w:hint="eastAsia"/>
          <w:color w:val="000000" w:themeColor="text1"/>
          <w:sz w:val="18"/>
        </w:rPr>
        <w:t>Fig</w:t>
      </w:r>
      <w:r w:rsidR="00F40DD2" w:rsidRPr="00D25A30">
        <w:rPr>
          <w:rFonts w:ascii="Arial" w:hAnsi="Arial" w:cs="Arial"/>
          <w:color w:val="000000" w:themeColor="text1"/>
          <w:sz w:val="18"/>
        </w:rPr>
        <w:t>.</w:t>
      </w:r>
      <w:r w:rsidR="00F40DD2" w:rsidRPr="00D25A30">
        <w:rPr>
          <w:rFonts w:ascii="Arial" w:hAnsi="Arial" w:cs="Arial" w:hint="eastAsia"/>
          <w:color w:val="000000" w:themeColor="text1"/>
          <w:sz w:val="18"/>
        </w:rPr>
        <w:t xml:space="preserve"> </w:t>
      </w:r>
      <w:r w:rsidRPr="00D25A30">
        <w:rPr>
          <w:rFonts w:ascii="Arial" w:hAnsi="Arial" w:cs="Arial"/>
          <w:color w:val="000000" w:themeColor="text1"/>
          <w:sz w:val="18"/>
        </w:rPr>
        <w:t>S</w:t>
      </w:r>
      <w:r w:rsidR="00F40DD2" w:rsidRPr="00D25A30">
        <w:rPr>
          <w:rFonts w:ascii="Arial" w:hAnsi="Arial" w:cs="Arial" w:hint="eastAsia"/>
          <w:color w:val="000000" w:themeColor="text1"/>
          <w:sz w:val="18"/>
        </w:rPr>
        <w:t>3</w:t>
      </w:r>
      <w:r w:rsidR="00F40DD2" w:rsidRPr="00D25A30">
        <w:rPr>
          <w:rFonts w:ascii="Arial" w:hAnsi="Arial" w:cs="Arial"/>
          <w:color w:val="000000" w:themeColor="text1"/>
          <w:sz w:val="18"/>
        </w:rPr>
        <w:t xml:space="preserve"> Forest plot of the odds ratios in the logistic regression. The red numbers indicate ORs less than 1 and the blue numbers indicate ORs equal to or greater than 1. Note that the OR value is large for NSSI because it’s a categorical variable.</w:t>
      </w:r>
    </w:p>
    <w:p w:rsidR="00F40DD2" w:rsidRPr="00D25A30" w:rsidRDefault="00F40DD2">
      <w:pPr>
        <w:rPr>
          <w:color w:val="000000" w:themeColor="text1"/>
        </w:rPr>
      </w:pPr>
    </w:p>
    <w:sectPr w:rsidR="00F40DD2" w:rsidRPr="00D25A30" w:rsidSect="00D25A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bordersDoNotSurroundHeader/>
  <w:bordersDoNotSurroundFooter/>
  <w:proofState w:spelling="clean" w:grammar="clean"/>
  <w:revisionView w:markup="0"/>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
  <w:rsids>
    <w:rsidRoot w:val="00F40DD2"/>
    <w:rsid w:val="009A3D9E"/>
    <w:rsid w:val="00A40C61"/>
    <w:rsid w:val="00D25A30"/>
    <w:rsid w:val="00D644DC"/>
    <w:rsid w:val="00DC35F5"/>
    <w:rsid w:val="00F40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32FCA2-5C0D-4730-8EF9-B1C770C53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33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wmf"/><Relationship Id="rId4"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文靖 颜</dc:creator>
  <cp:keywords/>
  <dc:description/>
  <cp:lastModifiedBy>Sindhu Chinnaiyan</cp:lastModifiedBy>
  <cp:revision>3</cp:revision>
  <dcterms:created xsi:type="dcterms:W3CDTF">2024-04-18T07:01:00Z</dcterms:created>
  <dcterms:modified xsi:type="dcterms:W3CDTF">2024-04-27T02:46:00Z</dcterms:modified>
</cp:coreProperties>
</file>