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1E3D" w:rsidRDefault="00021E3D" w:rsidP="00AB2A11">
      <w:pPr>
        <w:pStyle w:val="Heading2"/>
      </w:pPr>
      <w:r w:rsidRPr="00AB2A11">
        <w:t>Statistical</w:t>
      </w:r>
      <w:r>
        <w:t xml:space="preserve"> approach</w:t>
      </w:r>
    </w:p>
    <w:p w:rsidR="00021E3D" w:rsidRDefault="00021E3D" w:rsidP="00AB2A11">
      <w:pPr>
        <w:pStyle w:val="Heading3"/>
      </w:pPr>
      <w:r>
        <w:t xml:space="preserve">Sample size and </w:t>
      </w:r>
      <w:r w:rsidRPr="00AB2A11">
        <w:t>power</w:t>
      </w:r>
      <w:r>
        <w:t xml:space="preserve"> calculations</w:t>
      </w:r>
    </w:p>
    <w:p w:rsidR="00343DE1" w:rsidRDefault="00021E3D" w:rsidP="00021E3D">
      <w:pPr>
        <w:ind w:firstLine="426"/>
      </w:pPr>
      <w:r>
        <w:t>In order for the analyses to be adequately powered (β=.</w:t>
      </w:r>
      <w:r w:rsidR="00343DE1">
        <w:t>9</w:t>
      </w:r>
      <w:r>
        <w:t>0), with a type-II error rate of 5% or less (α=.05),</w:t>
      </w:r>
      <w:r w:rsidR="00343DE1">
        <w:t xml:space="preserve"> we calculated minimum sample sizes required for each analysis. These are </w:t>
      </w:r>
      <w:r w:rsidR="00BB6FA6">
        <w:t>discussed in the sections that follow.</w:t>
      </w:r>
    </w:p>
    <w:p w:rsidR="00021E3D" w:rsidRPr="00784785" w:rsidRDefault="00021E3D" w:rsidP="00021E3D"/>
    <w:p w:rsidR="00021E3D" w:rsidRDefault="00021E3D" w:rsidP="00AB2A11">
      <w:pPr>
        <w:pStyle w:val="Heading2"/>
      </w:pPr>
      <w:r>
        <w:t>Reliability</w:t>
      </w:r>
    </w:p>
    <w:p w:rsidR="00021E3D" w:rsidRPr="000749FD" w:rsidRDefault="00021E3D" w:rsidP="00AB2A11">
      <w:pPr>
        <w:pStyle w:val="Heading3"/>
      </w:pPr>
      <w:r>
        <w:t>Internal consistency reliability</w:t>
      </w:r>
    </w:p>
    <w:p w:rsidR="00DF4F83" w:rsidRDefault="00DF4F83" w:rsidP="00151F4F">
      <w:pPr>
        <w:ind w:firstLine="426"/>
      </w:pPr>
      <w:bookmarkStart w:id="0" w:name="_Hlk172186868"/>
      <w:r>
        <w:t>Cronbach’s alpha is widely used to assess internal consistency reliability</w:t>
      </w:r>
      <w:r w:rsidR="00733D63">
        <w:t xml:space="preserve"> [</w:t>
      </w:r>
      <w:r w:rsidRPr="00733D63">
        <w:fldChar w:fldCharType="begin"/>
      </w:r>
      <w:r w:rsidRPr="00733D63">
        <w:instrText xml:space="preserve"> REF _Ref154236426 \r \h  \* MERGEFORMAT </w:instrText>
      </w:r>
      <w:r w:rsidRPr="00733D63">
        <w:fldChar w:fldCharType="separate"/>
      </w:r>
      <w:r w:rsidR="00EB790F">
        <w:t>1</w:t>
      </w:r>
      <w:r w:rsidRPr="00733D63">
        <w:fldChar w:fldCharType="end"/>
      </w:r>
      <w:r w:rsidR="00733D63">
        <w:t>].</w:t>
      </w:r>
      <w:r w:rsidRPr="00021E3D">
        <w:rPr>
          <w:vertAlign w:val="superscript"/>
        </w:rPr>
        <w:t xml:space="preserve"> </w:t>
      </w:r>
      <w:r>
        <w:t xml:space="preserve">However, a more correct interpretation is that the test actually assesses the </w:t>
      </w:r>
      <w:proofErr w:type="spellStart"/>
      <w:r>
        <w:t>uni</w:t>
      </w:r>
      <w:proofErr w:type="spellEnd"/>
      <w:r w:rsidR="00BD4608">
        <w:t>-</w:t>
      </w:r>
      <w:r>
        <w:t>dimensionality of a set of test items. Too few, or too many items can cause Cronbach’s alpha values to be biased downwards</w:t>
      </w:r>
      <w:r w:rsidR="00733D63">
        <w:t xml:space="preserve"> [</w:t>
      </w:r>
      <w:r w:rsidRPr="00733D63">
        <w:fldChar w:fldCharType="begin"/>
      </w:r>
      <w:r w:rsidRPr="00733D63">
        <w:instrText xml:space="preserve"> REF _Ref154236769 \r \h  \* MERGEFORMAT </w:instrText>
      </w:r>
      <w:r w:rsidRPr="00733D63">
        <w:fldChar w:fldCharType="separate"/>
      </w:r>
      <w:r w:rsidR="00EB790F">
        <w:t>2</w:t>
      </w:r>
      <w:r w:rsidRPr="00733D63">
        <w:fldChar w:fldCharType="end"/>
      </w:r>
      <w:r w:rsidR="00733D63">
        <w:t xml:space="preserve">]. </w:t>
      </w:r>
      <w:r>
        <w:t xml:space="preserve">Theoretically, provided each item in the scale assesses the same unidimensional construct, Cronbach’s alpha coefficients </w:t>
      </w:r>
      <w:r w:rsidR="00151F4F">
        <w:t>should</w:t>
      </w:r>
      <w:r>
        <w:t xml:space="preserve"> be meaningful. Since subscales for alcohol and each of the illicit substances included 5-items</w:t>
      </w:r>
      <w:r w:rsidR="005346B7">
        <w:t xml:space="preserve">; </w:t>
      </w:r>
      <w:r>
        <w:t xml:space="preserve">which, we hypothesise were </w:t>
      </w:r>
      <w:proofErr w:type="spellStart"/>
      <w:r w:rsidR="00BD4608">
        <w:t>uni</w:t>
      </w:r>
      <w:proofErr w:type="spellEnd"/>
      <w:r w:rsidR="00BD4608">
        <w:t>-dimensionally-</w:t>
      </w:r>
      <w:r>
        <w:t xml:space="preserve">related to SUD-risk severity, we assume that Cronbach’s alpha will be a reliable indicator of each subscale’s internal consistency. However, since </w:t>
      </w:r>
      <w:r w:rsidR="00BD4608">
        <w:t xml:space="preserve">our </w:t>
      </w:r>
      <w:r>
        <w:t xml:space="preserve">tobacco </w:t>
      </w:r>
      <w:r w:rsidR="00BD4608">
        <w:t xml:space="preserve">subscale </w:t>
      </w:r>
      <w:r>
        <w:t xml:space="preserve">only contains four items, there is the potential that </w:t>
      </w:r>
      <w:r w:rsidR="00BD4608">
        <w:t>too few scale items would lead to</w:t>
      </w:r>
      <w:r w:rsidR="00733D63">
        <w:t xml:space="preserve"> inaccurate results</w:t>
      </w:r>
      <w:r w:rsidR="00BD4608">
        <w:t xml:space="preserve">. Therefore, we decided </w:t>
      </w:r>
      <w:r w:rsidR="00733D63">
        <w:t>to use</w:t>
      </w:r>
      <w:r w:rsidR="00BD4608">
        <w:t xml:space="preserve"> bootstrapping</w:t>
      </w:r>
      <w:r w:rsidR="00733D63">
        <w:t xml:space="preserve"> to approximate the alpha coefficient</w:t>
      </w:r>
      <w:r w:rsidR="00BD4608">
        <w:t>, with 1000 samples</w:t>
      </w:r>
      <w:r w:rsidR="00733D63">
        <w:t xml:space="preserve">. This </w:t>
      </w:r>
      <w:r w:rsidR="00BD4608">
        <w:t>calculate</w:t>
      </w:r>
      <w:r w:rsidR="00733D63">
        <w:t>d</w:t>
      </w:r>
      <w:r w:rsidR="00BD4608">
        <w:t xml:space="preserve"> a </w:t>
      </w:r>
      <w:r w:rsidR="00733D63">
        <w:t>distribution</w:t>
      </w:r>
      <w:r w:rsidR="00BD4608">
        <w:t xml:space="preserve"> of Cronbach’s alpha coefficients </w:t>
      </w:r>
      <w:r w:rsidR="00733D63">
        <w:t xml:space="preserve">which </w:t>
      </w:r>
      <w:r w:rsidR="00BD4608">
        <w:t xml:space="preserve">we could reasonably expect from our sample. Moreover, since the scale items use previously-defined score weightings that are not consistent across items (i.e., some items are scored between 0 and 5, while some are scored between 0 and 8), it was necessary to standardize score items. We used min-max scaling, whereby for each given individual score on each given item, we subtracted the minimum possible score from each individual’s </w:t>
      </w:r>
      <w:r w:rsidR="00BD4608">
        <w:lastRenderedPageBreak/>
        <w:t>score, and divided by the score range. This re-scaled each score item to range between 0 and 1 for each item</w:t>
      </w:r>
      <w:r w:rsidR="00AB2A11">
        <w:t>, allowing us to compare adequately without biased estimates.</w:t>
      </w:r>
      <w:r w:rsidR="00BD4608">
        <w:t xml:space="preserve"> </w:t>
      </w:r>
    </w:p>
    <w:p w:rsidR="006D7598" w:rsidRDefault="006D7598" w:rsidP="00AB2A11">
      <w:pPr>
        <w:ind w:firstLine="426"/>
      </w:pPr>
      <w:r>
        <w:t xml:space="preserve">We calculated the minimum sample size required to detect a Cronbach’s alpha </w:t>
      </w:r>
      <w:r w:rsidR="00343DE1">
        <w:t xml:space="preserve">of .70 or greater, setting the alpha significance to .05, with a minimum power of .90, with the number of scale items equal to 4 (tobacco) or 5 (all other substances). This method </w:t>
      </w:r>
      <w:r w:rsidR="002168C1">
        <w:t>has been suggested previously [</w:t>
      </w:r>
      <w:r w:rsidR="002168C1">
        <w:fldChar w:fldCharType="begin"/>
      </w:r>
      <w:r w:rsidR="002168C1">
        <w:instrText xml:space="preserve"> REF _Ref172188231 \r \h </w:instrText>
      </w:r>
      <w:r w:rsidR="002168C1">
        <w:fldChar w:fldCharType="separate"/>
      </w:r>
      <w:r w:rsidR="00EB790F">
        <w:t>3</w:t>
      </w:r>
      <w:r w:rsidR="002168C1">
        <w:fldChar w:fldCharType="end"/>
      </w:r>
      <w:r w:rsidR="00EB790F">
        <w:t>,</w:t>
      </w:r>
      <w:r w:rsidR="00EB790F">
        <w:fldChar w:fldCharType="begin"/>
      </w:r>
      <w:r w:rsidR="00EB790F">
        <w:instrText xml:space="preserve"> REF _Ref172444534 \r \h </w:instrText>
      </w:r>
      <w:r w:rsidR="00EB790F">
        <w:fldChar w:fldCharType="separate"/>
      </w:r>
      <w:r w:rsidR="00EB790F">
        <w:t>4</w:t>
      </w:r>
      <w:r w:rsidR="00EB790F">
        <w:fldChar w:fldCharType="end"/>
      </w:r>
      <w:r w:rsidR="002168C1">
        <w:t>],</w:t>
      </w:r>
      <w:r w:rsidR="00343DE1">
        <w:t xml:space="preserve"> and has been used widely in health and medical research since </w:t>
      </w:r>
      <w:r w:rsidR="002168C1">
        <w:t>[</w:t>
      </w:r>
      <w:r w:rsidR="00EB790F">
        <w:fldChar w:fldCharType="begin"/>
      </w:r>
      <w:r w:rsidR="00EB790F">
        <w:instrText xml:space="preserve"> REF _Ref172444527 \r \h </w:instrText>
      </w:r>
      <w:r w:rsidR="00EB790F">
        <w:fldChar w:fldCharType="separate"/>
      </w:r>
      <w:r w:rsidR="00EB790F">
        <w:t>5</w:t>
      </w:r>
      <w:r w:rsidR="00EB790F">
        <w:fldChar w:fldCharType="end"/>
      </w:r>
      <w:r w:rsidR="002168C1">
        <w:t>]</w:t>
      </w:r>
      <w:r w:rsidR="00343DE1">
        <w:t xml:space="preserve">. The result was a minimum sample size of 38 for a 5-item scale, and 40 for the 4-item scale. We elected to use 40 as the minimum </w:t>
      </w:r>
      <w:r w:rsidR="00DC030D">
        <w:t xml:space="preserve">sample size </w:t>
      </w:r>
      <w:r w:rsidR="00343DE1">
        <w:t>for consistency.</w:t>
      </w:r>
    </w:p>
    <w:bookmarkEnd w:id="0"/>
    <w:p w:rsidR="00021E3D" w:rsidRDefault="00021E3D" w:rsidP="00021E3D">
      <w:pPr>
        <w:ind w:firstLine="426"/>
      </w:pPr>
    </w:p>
    <w:p w:rsidR="00021E3D" w:rsidRDefault="00EB790F" w:rsidP="00AB2A11">
      <w:pPr>
        <w:pStyle w:val="Heading3"/>
      </w:pPr>
      <w:r>
        <w:t>Cross</w:t>
      </w:r>
      <w:r w:rsidR="00021E3D">
        <w:t>-</w:t>
      </w:r>
      <w:r w:rsidR="00151F4F">
        <w:t>method</w:t>
      </w:r>
      <w:r w:rsidR="00021E3D">
        <w:t xml:space="preserve"> </w:t>
      </w:r>
      <w:r w:rsidR="00DC030D">
        <w:t>agreement</w:t>
      </w:r>
    </w:p>
    <w:p w:rsidR="00021E3D" w:rsidRDefault="00021E3D" w:rsidP="002C75F0">
      <w:pPr>
        <w:ind w:firstLine="426"/>
      </w:pPr>
      <w:r>
        <w:t xml:space="preserve">We assessed the </w:t>
      </w:r>
      <w:r w:rsidR="00EB790F">
        <w:t>cross</w:t>
      </w:r>
      <w:r>
        <w:t>-</w:t>
      </w:r>
      <w:r w:rsidR="00151F4F">
        <w:t>method</w:t>
      </w:r>
      <w:r>
        <w:t xml:space="preserve"> agreement of ASSIST-Y risk outcomes with the </w:t>
      </w:r>
      <w:r w:rsidR="00151F4F">
        <w:t>MINI-Plus</w:t>
      </w:r>
      <w:r>
        <w:t xml:space="preserve"> diagnoses using Cohen’s Kappa. For each outcome, we created a 2x2 matrix, with ASSIST-Y classification in the rows, and </w:t>
      </w:r>
      <w:r w:rsidR="00151F4F">
        <w:t>MINI-Plus</w:t>
      </w:r>
      <w:r>
        <w:t xml:space="preserve"> diagnos</w:t>
      </w:r>
      <w:r w:rsidR="00151F4F">
        <w:t>e</w:t>
      </w:r>
      <w:r>
        <w:t xml:space="preserve">s as the columns. To assess </w:t>
      </w:r>
      <w:r w:rsidR="00EB790F">
        <w:t>cross</w:t>
      </w:r>
      <w:r>
        <w:t>-</w:t>
      </w:r>
      <w:r w:rsidR="00151F4F">
        <w:t xml:space="preserve">method </w:t>
      </w:r>
      <w:r>
        <w:t>agreement between moderate-risk ASSIST ratings with MINI</w:t>
      </w:r>
      <w:r w:rsidR="00151F4F">
        <w:t>-Plus</w:t>
      </w:r>
      <w:r>
        <w:t xml:space="preserve"> abuse ratings, we included all instances of low</w:t>
      </w:r>
      <w:r w:rsidR="00EB790F">
        <w:t>-risk</w:t>
      </w:r>
      <w:r>
        <w:t xml:space="preserve"> (coded 0) and moderate</w:t>
      </w:r>
      <w:r w:rsidR="00EB790F">
        <w:t xml:space="preserve">-risk </w:t>
      </w:r>
      <w:r>
        <w:t xml:space="preserve">(coded 1), and </w:t>
      </w:r>
      <w:r w:rsidR="00151F4F">
        <w:t>MINI-Plus</w:t>
      </w:r>
      <w:r>
        <w:t xml:space="preserve"> non-abuse (0) and abuse (1). Since substance use disorders exist on a continuum, from non-problematic use to dependence, with ‘abuse’ falling somewhere along the spectrum; and likewise ASSIST-Y classifications existing on a continuum from low to high, with moderate-risk falling in the middle; it was necessary to remove all instances of higher risk use or dependence from the comparison of abuse/moderate risk. </w:t>
      </w:r>
      <w:r w:rsidR="002C75F0">
        <w:t xml:space="preserve">This prevented </w:t>
      </w:r>
      <w:r w:rsidR="00EB790F">
        <w:t xml:space="preserve">the </w:t>
      </w:r>
      <w:r w:rsidR="002C75F0">
        <w:t>co</w:t>
      </w:r>
      <w:r w:rsidR="00EB790F">
        <w:t>-</w:t>
      </w:r>
      <w:r w:rsidR="002C75F0">
        <w:t>mingling of low- and high-risk groups</w:t>
      </w:r>
      <w:r w:rsidR="00EB790F">
        <w:t xml:space="preserve"> in the analysis</w:t>
      </w:r>
      <w:r w:rsidR="002C75F0">
        <w:t>.</w:t>
      </w:r>
      <w:r>
        <w:t xml:space="preserve"> Comparisons of high-risk use with </w:t>
      </w:r>
      <w:r w:rsidR="00151F4F">
        <w:t>MINI-Plus</w:t>
      </w:r>
      <w:r>
        <w:t xml:space="preserve"> dependence included the entire sample. For both sets of analyses, we reported Cohen’s Kappa, with 95% confidence intervals and tests of significance. We followed guidelines set out </w:t>
      </w:r>
      <w:r w:rsidR="00EB790F">
        <w:t>by</w:t>
      </w:r>
      <w:r>
        <w:t xml:space="preserve"> Viera &amp; Garret</w:t>
      </w:r>
      <w:r w:rsidR="00EB790F">
        <w:t xml:space="preserve"> [</w:t>
      </w:r>
      <w:r w:rsidR="00EB790F">
        <w:fldChar w:fldCharType="begin"/>
      </w:r>
      <w:r w:rsidR="00EB790F">
        <w:instrText xml:space="preserve"> REF _Ref172444115 \r \h </w:instrText>
      </w:r>
      <w:r w:rsidR="00EB790F">
        <w:fldChar w:fldCharType="separate"/>
      </w:r>
      <w:r w:rsidR="00EB790F">
        <w:t>6</w:t>
      </w:r>
      <w:r w:rsidR="00EB790F">
        <w:fldChar w:fldCharType="end"/>
      </w:r>
      <w:r w:rsidR="00EB790F">
        <w:t>]</w:t>
      </w:r>
      <w:r>
        <w:t xml:space="preserve"> to determine the strength of agreement. </w:t>
      </w:r>
    </w:p>
    <w:p w:rsidR="005346B7" w:rsidRDefault="005346B7" w:rsidP="00021E3D">
      <w:pPr>
        <w:ind w:firstLine="426"/>
      </w:pPr>
      <w:r>
        <w:lastRenderedPageBreak/>
        <w:t xml:space="preserve">We calculated the minimum sample size required to achieve </w:t>
      </w:r>
      <w:r w:rsidR="008A46C2">
        <w:t xml:space="preserve">a kappa value of </w:t>
      </w:r>
      <w:r>
        <w:t>.60 or more, at an alpha level of .05, and power of .10</w:t>
      </w:r>
      <w:r w:rsidR="008A46C2">
        <w:t>, and a disagreement rate of .95</w:t>
      </w:r>
      <w:r>
        <w:t xml:space="preserve">. We used </w:t>
      </w:r>
      <w:proofErr w:type="spellStart"/>
      <w:r>
        <w:t>Temel</w:t>
      </w:r>
      <w:proofErr w:type="spellEnd"/>
      <w:r>
        <w:t xml:space="preserve"> and Erdogan</w:t>
      </w:r>
      <w:r w:rsidR="00EB790F">
        <w:t>’s</w:t>
      </w:r>
      <w:r>
        <w:t xml:space="preserve"> </w:t>
      </w:r>
      <w:r w:rsidR="00EB790F">
        <w:t>[</w:t>
      </w:r>
      <w:r w:rsidR="00EB790F">
        <w:fldChar w:fldCharType="begin"/>
      </w:r>
      <w:r w:rsidR="00EB790F">
        <w:instrText xml:space="preserve"> REF _Ref172444159 \r \h </w:instrText>
      </w:r>
      <w:r w:rsidR="00EB790F">
        <w:fldChar w:fldCharType="separate"/>
      </w:r>
      <w:r w:rsidR="00EB790F">
        <w:t>7</w:t>
      </w:r>
      <w:r w:rsidR="00EB790F">
        <w:fldChar w:fldCharType="end"/>
      </w:r>
      <w:r w:rsidR="00EB790F">
        <w:t>]</w:t>
      </w:r>
      <w:r>
        <w:t xml:space="preserve"> method for calculating the sample size, and determined the value to be </w:t>
      </w:r>
      <w:r w:rsidR="008A46C2">
        <w:t xml:space="preserve">73 </w:t>
      </w:r>
      <w:r>
        <w:t xml:space="preserve">participants. </w:t>
      </w:r>
    </w:p>
    <w:p w:rsidR="00021E3D" w:rsidRDefault="00021E3D" w:rsidP="00021E3D"/>
    <w:p w:rsidR="00021E3D" w:rsidRPr="00617F18" w:rsidRDefault="00021E3D" w:rsidP="0054715E">
      <w:pPr>
        <w:pStyle w:val="Heading1"/>
      </w:pPr>
      <w:r>
        <w:t>Validity</w:t>
      </w:r>
    </w:p>
    <w:p w:rsidR="00021E3D" w:rsidRPr="00617F18" w:rsidRDefault="00021E3D" w:rsidP="0054715E">
      <w:pPr>
        <w:pStyle w:val="Heading3"/>
      </w:pPr>
      <w:r w:rsidRPr="00617F18">
        <w:t>Concurrent validity</w:t>
      </w:r>
    </w:p>
    <w:p w:rsidR="00021E3D" w:rsidRDefault="00021E3D" w:rsidP="00021E3D">
      <w:pPr>
        <w:ind w:firstLine="426"/>
      </w:pPr>
      <w:r>
        <w:t xml:space="preserve">To assess the concurrent validity of the ASSIST-Y with the </w:t>
      </w:r>
      <w:r w:rsidR="002C75F0">
        <w:t>gold-standard clinical interview</w:t>
      </w:r>
      <w:r>
        <w:t xml:space="preserve">, we also </w:t>
      </w:r>
      <w:r w:rsidRPr="00C119ED">
        <w:t>compare</w:t>
      </w:r>
      <w:r>
        <w:t>d</w:t>
      </w:r>
      <w:r w:rsidRPr="00C119ED">
        <w:t xml:space="preserve"> </w:t>
      </w:r>
      <w:r>
        <w:t xml:space="preserve">mean </w:t>
      </w:r>
      <w:r w:rsidR="002C75F0">
        <w:t xml:space="preserve">substance specific involvement (SSI) </w:t>
      </w:r>
      <w:r>
        <w:t>s</w:t>
      </w:r>
      <w:r w:rsidRPr="00C119ED">
        <w:t xml:space="preserve">cores </w:t>
      </w:r>
      <w:r>
        <w:t>between groups based on the</w:t>
      </w:r>
      <w:r w:rsidRPr="00C119ED">
        <w:t xml:space="preserve"> presence or absence of</w:t>
      </w:r>
      <w:r>
        <w:t xml:space="preserve"> </w:t>
      </w:r>
      <w:r w:rsidRPr="00C119ED">
        <w:t>diagnosis for either lifetime or current abuse or dependence.</w:t>
      </w:r>
      <w:r>
        <w:t xml:space="preserve"> We used</w:t>
      </w:r>
      <w:r w:rsidRPr="00C119ED">
        <w:t xml:space="preserve"> two-tailed </w:t>
      </w:r>
      <w:r>
        <w:t>paired-samples</w:t>
      </w:r>
      <w:r w:rsidRPr="00C119ED">
        <w:t xml:space="preserve"> t-tests (with 95% confidence intervals)</w:t>
      </w:r>
      <w:r>
        <w:t xml:space="preserve">, reporting Hedge’s </w:t>
      </w:r>
      <w:r w:rsidRPr="008F3D40">
        <w:rPr>
          <w:i/>
        </w:rPr>
        <w:t>g</w:t>
      </w:r>
      <w:r>
        <w:t xml:space="preserve"> </w:t>
      </w:r>
      <w:r w:rsidR="00EB790F">
        <w:t>[</w:t>
      </w:r>
      <w:r w:rsidR="00EB790F">
        <w:fldChar w:fldCharType="begin"/>
      </w:r>
      <w:r w:rsidR="00EB790F">
        <w:instrText xml:space="preserve"> REF _Ref172444299 \r \h </w:instrText>
      </w:r>
      <w:r w:rsidR="00EB790F">
        <w:fldChar w:fldCharType="separate"/>
      </w:r>
      <w:r w:rsidR="00EB790F">
        <w:t>8</w:t>
      </w:r>
      <w:r w:rsidR="00EB790F">
        <w:fldChar w:fldCharType="end"/>
      </w:r>
      <w:r w:rsidR="00EB790F">
        <w:t xml:space="preserve">] </w:t>
      </w:r>
      <w:r>
        <w:t>as the measure of effect size, using Cohen’s standards to determine small, medium and large effect</w:t>
      </w:r>
      <w:r w:rsidR="00EB790F">
        <w:t xml:space="preserve"> [</w:t>
      </w:r>
      <w:r w:rsidR="00EB790F">
        <w:fldChar w:fldCharType="begin"/>
      </w:r>
      <w:r w:rsidR="00EB790F">
        <w:instrText xml:space="preserve"> REF _Ref172444305 \r \h </w:instrText>
      </w:r>
      <w:r w:rsidR="00EB790F">
        <w:fldChar w:fldCharType="separate"/>
      </w:r>
      <w:r w:rsidR="00EB790F">
        <w:t>9</w:t>
      </w:r>
      <w:r w:rsidR="00EB790F">
        <w:fldChar w:fldCharType="end"/>
      </w:r>
      <w:r w:rsidR="00EB790F">
        <w:t>]</w:t>
      </w:r>
      <w:r>
        <w:t>. Significant effect sizes greater than .20 were deemed to indicate acceptable concurrent validity.</w:t>
      </w:r>
      <w:r w:rsidR="008A46C2">
        <w:t xml:space="preserve"> Minimum required sample size was determined based on an effect size of .30 or greater, at an alpha level of .05 and power of .80. The minimum sample size was determined to be 90 participants.</w:t>
      </w:r>
    </w:p>
    <w:p w:rsidR="00021E3D" w:rsidRDefault="00021E3D" w:rsidP="00021E3D">
      <w:pPr>
        <w:ind w:firstLine="426"/>
      </w:pPr>
    </w:p>
    <w:p w:rsidR="00021E3D" w:rsidRPr="003D1471" w:rsidRDefault="00021E3D" w:rsidP="0054715E">
      <w:pPr>
        <w:pStyle w:val="Heading3"/>
      </w:pPr>
      <w:r>
        <w:t>Convergent validity</w:t>
      </w:r>
    </w:p>
    <w:p w:rsidR="00BB6FA6" w:rsidRDefault="00021E3D" w:rsidP="00BB6FA6">
      <w:pPr>
        <w:ind w:firstLine="426"/>
      </w:pPr>
      <w:r>
        <w:t xml:space="preserve">We assessed convergent validity through a </w:t>
      </w:r>
      <w:r w:rsidR="00EB790F">
        <w:t>correlation</w:t>
      </w:r>
      <w:r>
        <w:t xml:space="preserve"> between ASSIST-Y SSI scores against SDS and CRAFFT; with an additional assessment of SSI cannabis scores against CAST. As CRAFFT does not assess tobacco, we focused on illicit substances and alcohol. A Pearson’s </w:t>
      </w:r>
      <w:r w:rsidRPr="00FC59B6">
        <w:rPr>
          <w:i/>
        </w:rPr>
        <w:t>R</w:t>
      </w:r>
      <w:r>
        <w:t xml:space="preserve"> correlation matrix was used to assess the strength and direction of correlations. </w:t>
      </w:r>
      <w:r w:rsidR="00EB790F">
        <w:t xml:space="preserve">Cohen’s </w:t>
      </w:r>
      <w:r>
        <w:t>[</w:t>
      </w:r>
      <w:r w:rsidR="00EB790F">
        <w:fldChar w:fldCharType="begin"/>
      </w:r>
      <w:r w:rsidR="00EB790F">
        <w:instrText xml:space="preserve"> REF _Ref172444347 \r \h </w:instrText>
      </w:r>
      <w:r w:rsidR="00EB790F">
        <w:fldChar w:fldCharType="separate"/>
      </w:r>
      <w:r w:rsidR="00EB790F">
        <w:t>10</w:t>
      </w:r>
      <w:r w:rsidR="00EB790F">
        <w:fldChar w:fldCharType="end"/>
      </w:r>
      <w:r>
        <w:t>] standards were used to determine weak (.20-.49), moderate (.50-.79), and strong (&gt;.80) coefficients. Significant correlations greater than .20 were deemed to indicate acceptable convergent validity.</w:t>
      </w:r>
    </w:p>
    <w:p w:rsidR="00021E3D" w:rsidRDefault="00BB6FA6" w:rsidP="0054715E">
      <w:pPr>
        <w:pStyle w:val="Heading2"/>
      </w:pPr>
      <w:r>
        <w:lastRenderedPageBreak/>
        <w:t>Clinical Utility</w:t>
      </w:r>
    </w:p>
    <w:p w:rsidR="00343DE1" w:rsidRPr="00784785" w:rsidRDefault="00343DE1" w:rsidP="00343DE1">
      <w:pPr>
        <w:ind w:firstLine="426"/>
      </w:pPr>
      <w:r>
        <w:t>To achieve an adequately powered AUC equal to .70 or higher, with a ratio of 1:1 (negative/positive cases [based on ASSIST-Y scores]) a minimum of 31 participants are needed for each group.  Fewer participants w</w:t>
      </w:r>
      <w:r w:rsidR="00733D63">
        <w:t xml:space="preserve">ould </w:t>
      </w:r>
      <w:r>
        <w:t xml:space="preserve">be required in the event that the ratio of negative/positive cases </w:t>
      </w:r>
      <w:r w:rsidR="00733D63">
        <w:t>wa</w:t>
      </w:r>
      <w:bookmarkStart w:id="1" w:name="_GoBack"/>
      <w:bookmarkEnd w:id="1"/>
      <w:r>
        <w:t>s higher.</w:t>
      </w:r>
    </w:p>
    <w:p w:rsidR="00021E3D" w:rsidRDefault="00021E3D" w:rsidP="00021E3D">
      <w:pPr>
        <w:ind w:firstLine="284"/>
        <w:rPr>
          <w:color w:val="FF0000"/>
        </w:rPr>
      </w:pPr>
      <w:bookmarkStart w:id="2" w:name="_Hlk172205688"/>
      <w:r>
        <w:t>Sensitivity describes the proportion of correctly identified cases of dependence among all those who are dependent in the sample (TP/TP+FN). Specificity describes the proportion of correctly identified cases of non-dependence among all those who are not dependent in the sample (TN/FP+TN). PPV describes the proportion of correctly identified cases among the total number of those who were indicated as being dependent (TP/TP+FP). NPV describes the proportion of correctly identified non-cases among the total of those who were indicated as not being dependent (TN/TN+FN). AUC describes the probability, if given one TP, that that TP will score higher than one TN on the test. The criterion for AUC will be set at ≥0.7</w:t>
      </w:r>
      <w:r w:rsidR="00E567F8">
        <w:t>0</w:t>
      </w:r>
      <w:r>
        <w:t xml:space="preserve">, to indicate at least better than acceptable accuracy. LR+ describes the ratio of true cases of dependence to false cases, while LR- describes the likelihood of true non-cases of dependence to false non-cases. Higher ratios indicate better accuracy. CUI+ is the product of sensitivity and positive predictive value, while CUI- is the product of specificity and the negative predictive value. </w:t>
      </w:r>
    </w:p>
    <w:bookmarkEnd w:id="2"/>
    <w:p w:rsidR="00021E3D" w:rsidRDefault="00021E3D"/>
    <w:p w:rsidR="00021E3D" w:rsidRDefault="00021E3D" w:rsidP="00021E3D">
      <w:pPr>
        <w:pStyle w:val="Heading1"/>
      </w:pPr>
      <w:r>
        <w:t>REFERNCES</w:t>
      </w:r>
    </w:p>
    <w:p w:rsidR="00021E3D" w:rsidRPr="00343DE1" w:rsidRDefault="00021E3D" w:rsidP="00021E3D">
      <w:pPr>
        <w:pStyle w:val="ListParagraph"/>
        <w:numPr>
          <w:ilvl w:val="0"/>
          <w:numId w:val="3"/>
        </w:numPr>
        <w:rPr>
          <w:rFonts w:cs="Times New Roman"/>
          <w:szCs w:val="24"/>
        </w:rPr>
      </w:pPr>
      <w:bookmarkStart w:id="3" w:name="_Ref154236426"/>
      <w:r w:rsidRPr="00343DE1">
        <w:rPr>
          <w:rFonts w:cs="Times New Roman"/>
          <w:color w:val="222222"/>
          <w:szCs w:val="24"/>
          <w:shd w:val="clear" w:color="auto" w:fill="FFFFFF"/>
        </w:rPr>
        <w:t>Cronbach, L. J. (1951). Coefficient alpha and the internal structure of tests. </w:t>
      </w:r>
      <w:proofErr w:type="spellStart"/>
      <w:r w:rsidRPr="00343DE1">
        <w:rPr>
          <w:rFonts w:cs="Times New Roman"/>
          <w:i/>
          <w:iCs/>
          <w:color w:val="222222"/>
          <w:szCs w:val="24"/>
          <w:shd w:val="clear" w:color="auto" w:fill="FFFFFF"/>
        </w:rPr>
        <w:t>psychometrika</w:t>
      </w:r>
      <w:proofErr w:type="spellEnd"/>
      <w:r w:rsidRPr="00343DE1">
        <w:rPr>
          <w:rFonts w:cs="Times New Roman"/>
          <w:color w:val="222222"/>
          <w:szCs w:val="24"/>
          <w:shd w:val="clear" w:color="auto" w:fill="FFFFFF"/>
        </w:rPr>
        <w:t>, </w:t>
      </w:r>
      <w:r w:rsidRPr="00343DE1">
        <w:rPr>
          <w:rFonts w:cs="Times New Roman"/>
          <w:i/>
          <w:iCs/>
          <w:color w:val="222222"/>
          <w:szCs w:val="24"/>
          <w:shd w:val="clear" w:color="auto" w:fill="FFFFFF"/>
        </w:rPr>
        <w:t>16</w:t>
      </w:r>
      <w:r w:rsidRPr="00343DE1">
        <w:rPr>
          <w:rFonts w:cs="Times New Roman"/>
          <w:color w:val="222222"/>
          <w:szCs w:val="24"/>
          <w:shd w:val="clear" w:color="auto" w:fill="FFFFFF"/>
        </w:rPr>
        <w:t>(3), 297-334.</w:t>
      </w:r>
      <w:bookmarkEnd w:id="3"/>
    </w:p>
    <w:p w:rsidR="00021E3D" w:rsidRPr="002168C1" w:rsidRDefault="00021E3D" w:rsidP="00021E3D">
      <w:pPr>
        <w:pStyle w:val="ListParagraph"/>
        <w:numPr>
          <w:ilvl w:val="0"/>
          <w:numId w:val="3"/>
        </w:numPr>
        <w:rPr>
          <w:rStyle w:val="Hyperlink"/>
          <w:rFonts w:cs="Times New Roman"/>
          <w:color w:val="auto"/>
          <w:szCs w:val="24"/>
          <w:u w:val="none"/>
        </w:rPr>
      </w:pPr>
      <w:bookmarkStart w:id="4" w:name="_Ref154236769"/>
      <w:proofErr w:type="spellStart"/>
      <w:r w:rsidRPr="00343DE1">
        <w:rPr>
          <w:rFonts w:cs="Times New Roman"/>
          <w:szCs w:val="24"/>
        </w:rPr>
        <w:t>Tavakol</w:t>
      </w:r>
      <w:proofErr w:type="spellEnd"/>
      <w:r w:rsidRPr="00343DE1">
        <w:rPr>
          <w:rFonts w:cs="Times New Roman"/>
          <w:szCs w:val="24"/>
        </w:rPr>
        <w:t xml:space="preserve">, M., &amp; </w:t>
      </w:r>
      <w:proofErr w:type="spellStart"/>
      <w:r w:rsidRPr="00343DE1">
        <w:rPr>
          <w:rFonts w:cs="Times New Roman"/>
          <w:szCs w:val="24"/>
        </w:rPr>
        <w:t>Dennick</w:t>
      </w:r>
      <w:proofErr w:type="spellEnd"/>
      <w:r w:rsidRPr="00343DE1">
        <w:rPr>
          <w:rFonts w:cs="Times New Roman"/>
          <w:szCs w:val="24"/>
        </w:rPr>
        <w:t xml:space="preserve">, R. (2011). Making sense of Cronbach's alpha. International journal of medical education, 2, 53–55. </w:t>
      </w:r>
      <w:hyperlink r:id="rId6" w:history="1">
        <w:r w:rsidR="00DF4F83" w:rsidRPr="00343DE1">
          <w:rPr>
            <w:rStyle w:val="Hyperlink"/>
            <w:rFonts w:cs="Times New Roman"/>
            <w:szCs w:val="24"/>
          </w:rPr>
          <w:t>https://doi.org/10.5116/ijme.4dfb.8dfd</w:t>
        </w:r>
      </w:hyperlink>
      <w:bookmarkEnd w:id="4"/>
    </w:p>
    <w:p w:rsidR="002168C1" w:rsidRPr="00343DE1" w:rsidRDefault="002168C1" w:rsidP="00021E3D">
      <w:pPr>
        <w:pStyle w:val="ListParagraph"/>
        <w:numPr>
          <w:ilvl w:val="0"/>
          <w:numId w:val="3"/>
        </w:numPr>
        <w:rPr>
          <w:rFonts w:cs="Times New Roman"/>
          <w:szCs w:val="24"/>
        </w:rPr>
      </w:pPr>
      <w:bookmarkStart w:id="5" w:name="_Ref172188231"/>
      <w:proofErr w:type="spellStart"/>
      <w:r w:rsidRPr="002168C1">
        <w:rPr>
          <w:rFonts w:cs="Times New Roman"/>
          <w:szCs w:val="24"/>
        </w:rPr>
        <w:lastRenderedPageBreak/>
        <w:t>Bonett</w:t>
      </w:r>
      <w:proofErr w:type="spellEnd"/>
      <w:r w:rsidRPr="002168C1">
        <w:rPr>
          <w:rFonts w:cs="Times New Roman"/>
          <w:szCs w:val="24"/>
        </w:rPr>
        <w:t xml:space="preserve">, D. G. (2002). Sample size requirements for testing and estimating coefficient alpha. Journal of educational and </w:t>
      </w:r>
      <w:proofErr w:type="spellStart"/>
      <w:r w:rsidRPr="002168C1">
        <w:rPr>
          <w:rFonts w:cs="Times New Roman"/>
          <w:szCs w:val="24"/>
        </w:rPr>
        <w:t>behavioral</w:t>
      </w:r>
      <w:proofErr w:type="spellEnd"/>
      <w:r w:rsidRPr="002168C1">
        <w:rPr>
          <w:rFonts w:cs="Times New Roman"/>
          <w:szCs w:val="24"/>
        </w:rPr>
        <w:t xml:space="preserve"> statistics, 27(4), 335-340.</w:t>
      </w:r>
      <w:bookmarkEnd w:id="5"/>
    </w:p>
    <w:p w:rsidR="00EB790F" w:rsidRPr="00EB790F" w:rsidRDefault="00EB790F" w:rsidP="00EB790F">
      <w:pPr>
        <w:pStyle w:val="ListParagraph"/>
        <w:numPr>
          <w:ilvl w:val="0"/>
          <w:numId w:val="3"/>
        </w:numPr>
        <w:rPr>
          <w:rFonts w:cs="Times New Roman"/>
          <w:szCs w:val="24"/>
        </w:rPr>
      </w:pPr>
      <w:bookmarkStart w:id="6" w:name="_Ref172188261"/>
      <w:bookmarkStart w:id="7" w:name="_Ref172444534"/>
      <w:proofErr w:type="spellStart"/>
      <w:r w:rsidRPr="00EB790F">
        <w:rPr>
          <w:rFonts w:cs="Times New Roman"/>
          <w:szCs w:val="24"/>
        </w:rPr>
        <w:t>Streiner</w:t>
      </w:r>
      <w:proofErr w:type="spellEnd"/>
      <w:r w:rsidRPr="00EB790F">
        <w:rPr>
          <w:rFonts w:cs="Times New Roman"/>
          <w:szCs w:val="24"/>
        </w:rPr>
        <w:t>, D. L. (2003). Starting at the beginning: an introduction to coefficient alpha and internal consistency. Journal of personality assessment, 80(1), 99-103. https://doi.org/10.21315/mjms2018.25.6.9</w:t>
      </w:r>
      <w:bookmarkEnd w:id="7"/>
    </w:p>
    <w:p w:rsidR="00DF4F83" w:rsidRPr="00343DE1" w:rsidRDefault="002168C1" w:rsidP="00021E3D">
      <w:pPr>
        <w:pStyle w:val="ListParagraph"/>
        <w:numPr>
          <w:ilvl w:val="0"/>
          <w:numId w:val="3"/>
        </w:numPr>
        <w:rPr>
          <w:rFonts w:cs="Times New Roman"/>
          <w:szCs w:val="24"/>
        </w:rPr>
      </w:pPr>
      <w:bookmarkStart w:id="8" w:name="_Ref172444527"/>
      <w:proofErr w:type="spellStart"/>
      <w:r w:rsidRPr="00343DE1">
        <w:rPr>
          <w:rFonts w:cs="Times New Roman"/>
          <w:szCs w:val="24"/>
        </w:rPr>
        <w:t>Bujang</w:t>
      </w:r>
      <w:proofErr w:type="spellEnd"/>
      <w:r w:rsidRPr="00343DE1">
        <w:rPr>
          <w:rFonts w:cs="Times New Roman"/>
          <w:szCs w:val="24"/>
        </w:rPr>
        <w:t xml:space="preserve">, M. A., Omar, E. D., &amp; </w:t>
      </w:r>
      <w:proofErr w:type="spellStart"/>
      <w:r w:rsidRPr="00343DE1">
        <w:rPr>
          <w:rFonts w:cs="Times New Roman"/>
          <w:szCs w:val="24"/>
        </w:rPr>
        <w:t>Baharum</w:t>
      </w:r>
      <w:proofErr w:type="spellEnd"/>
      <w:r w:rsidRPr="00343DE1">
        <w:rPr>
          <w:rFonts w:cs="Times New Roman"/>
          <w:szCs w:val="24"/>
        </w:rPr>
        <w:t xml:space="preserve">, N. A. (2018). A Review on Sample Size Determination for Cronbach's Alpha Test: A Simple Guide for Researchers. The Malaysian journal of medical </w:t>
      </w:r>
      <w:proofErr w:type="gramStart"/>
      <w:r w:rsidRPr="00343DE1">
        <w:rPr>
          <w:rFonts w:cs="Times New Roman"/>
          <w:szCs w:val="24"/>
        </w:rPr>
        <w:t>sciences :</w:t>
      </w:r>
      <w:proofErr w:type="gramEnd"/>
      <w:r w:rsidRPr="00343DE1">
        <w:rPr>
          <w:rFonts w:cs="Times New Roman"/>
          <w:szCs w:val="24"/>
        </w:rPr>
        <w:t xml:space="preserve"> MJMS, 25(6), 85–99. </w:t>
      </w:r>
      <w:r w:rsidR="00DF4F83" w:rsidRPr="00343DE1">
        <w:rPr>
          <w:rFonts w:cs="Times New Roman"/>
          <w:szCs w:val="24"/>
        </w:rPr>
        <w:t>Lord, F. M., &amp; Novick, M. R. (2008). Statistical theories of mental test scores. IAP.</w:t>
      </w:r>
      <w:bookmarkEnd w:id="6"/>
      <w:bookmarkEnd w:id="8"/>
    </w:p>
    <w:p w:rsidR="00EB790F" w:rsidRDefault="00EB790F" w:rsidP="002168C1">
      <w:pPr>
        <w:pStyle w:val="ListParagraph"/>
        <w:numPr>
          <w:ilvl w:val="0"/>
          <w:numId w:val="3"/>
        </w:numPr>
        <w:rPr>
          <w:rFonts w:cs="Times New Roman"/>
          <w:szCs w:val="24"/>
        </w:rPr>
      </w:pPr>
      <w:bookmarkStart w:id="9" w:name="_Ref172444115"/>
      <w:r w:rsidRPr="00EB790F">
        <w:rPr>
          <w:rFonts w:cs="Times New Roman"/>
          <w:szCs w:val="24"/>
        </w:rPr>
        <w:t>Viera, A. J., &amp; Garrett, J. M. (2005). Understanding interobserver agreement: the kappa statistic. Fam med, 37(5), 360-363.</w:t>
      </w:r>
      <w:bookmarkEnd w:id="9"/>
    </w:p>
    <w:p w:rsidR="00EB790F" w:rsidRDefault="00EB790F" w:rsidP="00EB790F">
      <w:pPr>
        <w:pStyle w:val="ListParagraph"/>
        <w:numPr>
          <w:ilvl w:val="0"/>
          <w:numId w:val="3"/>
        </w:numPr>
        <w:rPr>
          <w:rFonts w:cs="Times New Roman"/>
          <w:szCs w:val="24"/>
        </w:rPr>
      </w:pPr>
      <w:bookmarkStart w:id="10" w:name="_Ref172444159"/>
      <w:proofErr w:type="spellStart"/>
      <w:r w:rsidRPr="005346B7">
        <w:rPr>
          <w:rFonts w:cs="Times New Roman"/>
          <w:szCs w:val="24"/>
        </w:rPr>
        <w:t>T</w:t>
      </w:r>
      <w:r>
        <w:rPr>
          <w:rFonts w:cs="Times New Roman"/>
          <w:szCs w:val="24"/>
        </w:rPr>
        <w:t>emel</w:t>
      </w:r>
      <w:proofErr w:type="spellEnd"/>
      <w:r w:rsidRPr="005346B7">
        <w:rPr>
          <w:rFonts w:cs="Times New Roman"/>
          <w:szCs w:val="24"/>
        </w:rPr>
        <w:t>, G., &amp; Erdogan, S. (2017). Determining the sample size in agreement studies. Marmara Medical Journal, 30(2), 101-112.</w:t>
      </w:r>
      <w:bookmarkEnd w:id="10"/>
    </w:p>
    <w:p w:rsidR="00EB790F" w:rsidRPr="00EB790F" w:rsidRDefault="00EB790F" w:rsidP="00EB790F">
      <w:pPr>
        <w:pStyle w:val="ListParagraph"/>
        <w:numPr>
          <w:ilvl w:val="0"/>
          <w:numId w:val="3"/>
        </w:numPr>
        <w:rPr>
          <w:rFonts w:cs="Times New Roman"/>
          <w:szCs w:val="24"/>
        </w:rPr>
      </w:pPr>
      <w:bookmarkStart w:id="11" w:name="_Ref172444299"/>
      <w:r w:rsidRPr="00EB790F">
        <w:rPr>
          <w:rFonts w:cs="Times New Roman"/>
          <w:szCs w:val="24"/>
        </w:rPr>
        <w:t>Hedges, L. V. (1981). Distribution Theory for Glass's Estimator of Effect size and Related Estimators. Journal of Educational Statistics, 6(2), 107-128.</w:t>
      </w:r>
      <w:bookmarkEnd w:id="11"/>
      <w:r w:rsidRPr="00EB790F">
        <w:rPr>
          <w:rFonts w:cs="Times New Roman"/>
          <w:szCs w:val="24"/>
        </w:rPr>
        <w:t xml:space="preserve"> </w:t>
      </w:r>
    </w:p>
    <w:p w:rsidR="00EB790F" w:rsidRPr="00EB790F" w:rsidRDefault="00EB790F" w:rsidP="00EB790F">
      <w:pPr>
        <w:pStyle w:val="ListParagraph"/>
        <w:numPr>
          <w:ilvl w:val="0"/>
          <w:numId w:val="3"/>
        </w:numPr>
        <w:rPr>
          <w:rFonts w:cs="Times New Roman"/>
          <w:szCs w:val="24"/>
        </w:rPr>
      </w:pPr>
      <w:bookmarkStart w:id="12" w:name="_Ref172444305"/>
      <w:r w:rsidRPr="00EB790F">
        <w:rPr>
          <w:rFonts w:cs="Times New Roman"/>
          <w:szCs w:val="24"/>
        </w:rPr>
        <w:t>Cohen J. A power primer. 2016.</w:t>
      </w:r>
      <w:bookmarkEnd w:id="12"/>
    </w:p>
    <w:p w:rsidR="00EB790F" w:rsidRPr="00EB790F" w:rsidRDefault="00EB790F" w:rsidP="00EB790F">
      <w:pPr>
        <w:pStyle w:val="ListParagraph"/>
        <w:numPr>
          <w:ilvl w:val="0"/>
          <w:numId w:val="3"/>
        </w:numPr>
        <w:rPr>
          <w:rFonts w:cs="Times New Roman"/>
          <w:szCs w:val="24"/>
        </w:rPr>
      </w:pPr>
      <w:bookmarkStart w:id="13" w:name="_Ref172444347"/>
      <w:r w:rsidRPr="00EB790F">
        <w:rPr>
          <w:rFonts w:cs="Times New Roman"/>
          <w:szCs w:val="24"/>
        </w:rPr>
        <w:t xml:space="preserve">Cohen J. Statistical power analysis for the </w:t>
      </w:r>
      <w:proofErr w:type="spellStart"/>
      <w:r w:rsidRPr="00EB790F">
        <w:rPr>
          <w:rFonts w:cs="Times New Roman"/>
          <w:szCs w:val="24"/>
        </w:rPr>
        <w:t>behavioral</w:t>
      </w:r>
      <w:proofErr w:type="spellEnd"/>
      <w:r w:rsidRPr="00EB790F">
        <w:rPr>
          <w:rFonts w:cs="Times New Roman"/>
          <w:szCs w:val="24"/>
        </w:rPr>
        <w:t xml:space="preserve"> sciences. Academic press; 2013 Sep 3.</w:t>
      </w:r>
      <w:bookmarkEnd w:id="13"/>
    </w:p>
    <w:p w:rsidR="00EB790F" w:rsidRDefault="00EB790F" w:rsidP="002168C1">
      <w:pPr>
        <w:pStyle w:val="ListParagraph"/>
        <w:numPr>
          <w:ilvl w:val="0"/>
          <w:numId w:val="3"/>
        </w:numPr>
        <w:rPr>
          <w:rFonts w:cs="Times New Roman"/>
          <w:szCs w:val="24"/>
        </w:rPr>
      </w:pPr>
    </w:p>
    <w:p w:rsidR="008A46C2" w:rsidRPr="00343DE1" w:rsidRDefault="008A46C2" w:rsidP="00021E3D">
      <w:pPr>
        <w:pStyle w:val="ListParagraph"/>
        <w:numPr>
          <w:ilvl w:val="0"/>
          <w:numId w:val="3"/>
        </w:numPr>
        <w:rPr>
          <w:rFonts w:cs="Times New Roman"/>
          <w:szCs w:val="24"/>
        </w:rPr>
      </w:pPr>
      <w:proofErr w:type="spellStart"/>
      <w:r w:rsidRPr="008A46C2">
        <w:rPr>
          <w:rFonts w:cs="Times New Roman"/>
          <w:szCs w:val="24"/>
        </w:rPr>
        <w:t>Dhand</w:t>
      </w:r>
      <w:proofErr w:type="spellEnd"/>
      <w:r w:rsidRPr="008A46C2">
        <w:rPr>
          <w:rFonts w:cs="Times New Roman"/>
          <w:szCs w:val="24"/>
        </w:rPr>
        <w:t xml:space="preserve">, N. K., &amp; </w:t>
      </w:r>
      <w:proofErr w:type="spellStart"/>
      <w:r w:rsidRPr="008A46C2">
        <w:rPr>
          <w:rFonts w:cs="Times New Roman"/>
          <w:szCs w:val="24"/>
        </w:rPr>
        <w:t>Khatkar</w:t>
      </w:r>
      <w:proofErr w:type="spellEnd"/>
      <w:r w:rsidRPr="008A46C2">
        <w:rPr>
          <w:rFonts w:cs="Times New Roman"/>
          <w:szCs w:val="24"/>
        </w:rPr>
        <w:t xml:space="preserve">, M. S. (2014). </w:t>
      </w:r>
      <w:proofErr w:type="spellStart"/>
      <w:r w:rsidRPr="008A46C2">
        <w:rPr>
          <w:rFonts w:cs="Times New Roman"/>
          <w:szCs w:val="24"/>
        </w:rPr>
        <w:t>Statulator</w:t>
      </w:r>
      <w:proofErr w:type="spellEnd"/>
      <w:r w:rsidRPr="008A46C2">
        <w:rPr>
          <w:rFonts w:cs="Times New Roman"/>
          <w:szCs w:val="24"/>
        </w:rPr>
        <w:t>: An online statistical calculator. Sample Size Calculator for Comparing Two Paired Means</w:t>
      </w:r>
      <w:r>
        <w:rPr>
          <w:rFonts w:cs="Times New Roman"/>
          <w:szCs w:val="24"/>
        </w:rPr>
        <w:t>.</w:t>
      </w:r>
    </w:p>
    <w:sectPr w:rsidR="008A46C2" w:rsidRPr="00343D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603E3F"/>
    <w:multiLevelType w:val="multilevel"/>
    <w:tmpl w:val="6A42F02C"/>
    <w:lvl w:ilvl="0">
      <w:start w:val="1"/>
      <w:numFmt w:val="decimal"/>
      <w:pStyle w:val="Titl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524C6DC3"/>
    <w:multiLevelType w:val="hybridMultilevel"/>
    <w:tmpl w:val="509CD8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6C303626"/>
    <w:multiLevelType w:val="hybridMultilevel"/>
    <w:tmpl w:val="3D2C13F8"/>
    <w:lvl w:ilvl="0" w:tplc="3EB6315A">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E3D"/>
    <w:rsid w:val="00021E3D"/>
    <w:rsid w:val="00151F4F"/>
    <w:rsid w:val="002168C1"/>
    <w:rsid w:val="002C75F0"/>
    <w:rsid w:val="00331FF1"/>
    <w:rsid w:val="00343DE1"/>
    <w:rsid w:val="00423C72"/>
    <w:rsid w:val="00452D72"/>
    <w:rsid w:val="00483DA8"/>
    <w:rsid w:val="004F1426"/>
    <w:rsid w:val="005346B7"/>
    <w:rsid w:val="0054715E"/>
    <w:rsid w:val="00647045"/>
    <w:rsid w:val="006D7598"/>
    <w:rsid w:val="00733D63"/>
    <w:rsid w:val="00741DBA"/>
    <w:rsid w:val="00886E73"/>
    <w:rsid w:val="008A46C2"/>
    <w:rsid w:val="009D64AB"/>
    <w:rsid w:val="00A14888"/>
    <w:rsid w:val="00AB2A11"/>
    <w:rsid w:val="00AE39DC"/>
    <w:rsid w:val="00BB6FA6"/>
    <w:rsid w:val="00BD4608"/>
    <w:rsid w:val="00CC50D3"/>
    <w:rsid w:val="00D4558D"/>
    <w:rsid w:val="00DC030D"/>
    <w:rsid w:val="00DF4F83"/>
    <w:rsid w:val="00E0619B"/>
    <w:rsid w:val="00E567F8"/>
    <w:rsid w:val="00EB790F"/>
    <w:rsid w:val="00F759D7"/>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D2AF0"/>
  <w15:chartTrackingRefBased/>
  <w15:docId w15:val="{6E80B2B5-580E-4873-82C5-F12AB55F8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21E3D"/>
    <w:pPr>
      <w:spacing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021E3D"/>
    <w:pPr>
      <w:keepNext/>
      <w:keepLines/>
      <w:contextualSpacing/>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AB2A11"/>
    <w:pPr>
      <w:keepNext/>
      <w:keepLines/>
      <w:contextualSpacing/>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AB2A11"/>
    <w:pPr>
      <w:keepNext/>
      <w:keepLines/>
      <w:contextualSpacing/>
      <w:outlineLvl w:val="2"/>
    </w:pPr>
    <w:rPr>
      <w:rFonts w:eastAsiaTheme="majorEastAsia" w:cstheme="majorBidi"/>
      <w:b/>
      <w:i/>
      <w:szCs w:val="24"/>
    </w:rPr>
  </w:style>
  <w:style w:type="paragraph" w:styleId="Heading4">
    <w:name w:val="heading 4"/>
    <w:basedOn w:val="Normal"/>
    <w:next w:val="Normal"/>
    <w:link w:val="Heading4Char"/>
    <w:autoRedefine/>
    <w:uiPriority w:val="9"/>
    <w:unhideWhenUsed/>
    <w:qFormat/>
    <w:rsid w:val="00E0619B"/>
    <w:pPr>
      <w:keepNext/>
      <w:keepLines/>
      <w:ind w:firstLine="425"/>
      <w:contextualSpacing/>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B2A11"/>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AB2A11"/>
    <w:rPr>
      <w:rFonts w:ascii="Times New Roman" w:eastAsiaTheme="majorEastAsia" w:hAnsi="Times New Roman" w:cstheme="majorBidi"/>
      <w:b/>
      <w:i/>
      <w:sz w:val="24"/>
      <w:szCs w:val="24"/>
    </w:rPr>
  </w:style>
  <w:style w:type="character" w:customStyle="1" w:styleId="Heading1Char">
    <w:name w:val="Heading 1 Char"/>
    <w:basedOn w:val="DefaultParagraphFont"/>
    <w:link w:val="Heading1"/>
    <w:uiPriority w:val="9"/>
    <w:rsid w:val="00021E3D"/>
    <w:rPr>
      <w:rFonts w:ascii="Times New Roman" w:eastAsiaTheme="majorEastAsia" w:hAnsi="Times New Roman" w:cstheme="majorBidi"/>
      <w:b/>
      <w:sz w:val="24"/>
      <w:szCs w:val="32"/>
    </w:rPr>
  </w:style>
  <w:style w:type="paragraph" w:styleId="Title">
    <w:name w:val="Title"/>
    <w:aliases w:val="References"/>
    <w:basedOn w:val="Normal"/>
    <w:next w:val="Normal"/>
    <w:link w:val="TitleChar"/>
    <w:autoRedefine/>
    <w:uiPriority w:val="10"/>
    <w:qFormat/>
    <w:rsid w:val="00E0619B"/>
    <w:pPr>
      <w:numPr>
        <w:numId w:val="2"/>
      </w:numPr>
      <w:ind w:left="357" w:hanging="357"/>
      <w:contextualSpacing/>
    </w:pPr>
    <w:rPr>
      <w:rFonts w:eastAsiaTheme="majorEastAsia" w:cstheme="majorBidi"/>
      <w:spacing w:val="-10"/>
      <w:kern w:val="28"/>
      <w:szCs w:val="56"/>
    </w:rPr>
  </w:style>
  <w:style w:type="character" w:customStyle="1" w:styleId="TitleChar">
    <w:name w:val="Title Char"/>
    <w:aliases w:val="References Char"/>
    <w:basedOn w:val="DefaultParagraphFont"/>
    <w:link w:val="Title"/>
    <w:uiPriority w:val="10"/>
    <w:rsid w:val="00E0619B"/>
    <w:rPr>
      <w:rFonts w:ascii="Times New Roman" w:eastAsiaTheme="majorEastAsia" w:hAnsi="Times New Roman" w:cstheme="majorBidi"/>
      <w:spacing w:val="-10"/>
      <w:kern w:val="28"/>
      <w:sz w:val="24"/>
      <w:szCs w:val="56"/>
    </w:rPr>
  </w:style>
  <w:style w:type="character" w:customStyle="1" w:styleId="Heading4Char">
    <w:name w:val="Heading 4 Char"/>
    <w:basedOn w:val="DefaultParagraphFont"/>
    <w:link w:val="Heading4"/>
    <w:uiPriority w:val="9"/>
    <w:rsid w:val="00E0619B"/>
    <w:rPr>
      <w:rFonts w:ascii="Times New Roman" w:eastAsiaTheme="majorEastAsia" w:hAnsi="Times New Roman" w:cstheme="majorBidi"/>
      <w:b/>
      <w:iCs/>
      <w:sz w:val="24"/>
    </w:rPr>
  </w:style>
  <w:style w:type="paragraph" w:styleId="ListParagraph">
    <w:name w:val="List Paragraph"/>
    <w:basedOn w:val="Normal"/>
    <w:uiPriority w:val="34"/>
    <w:qFormat/>
    <w:rsid w:val="00021E3D"/>
    <w:pPr>
      <w:ind w:left="720"/>
      <w:contextualSpacing/>
    </w:pPr>
  </w:style>
  <w:style w:type="character" w:styleId="Hyperlink">
    <w:name w:val="Hyperlink"/>
    <w:basedOn w:val="DefaultParagraphFont"/>
    <w:uiPriority w:val="99"/>
    <w:unhideWhenUsed/>
    <w:rsid w:val="00DF4F83"/>
    <w:rPr>
      <w:color w:val="0563C1" w:themeColor="hyperlink"/>
      <w:u w:val="single"/>
    </w:rPr>
  </w:style>
  <w:style w:type="character" w:styleId="UnresolvedMention">
    <w:name w:val="Unresolved Mention"/>
    <w:basedOn w:val="DefaultParagraphFont"/>
    <w:uiPriority w:val="99"/>
    <w:semiHidden/>
    <w:unhideWhenUsed/>
    <w:rsid w:val="00DF4F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oi.org/10.5116/ijme.4dfb.8dfd"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F3239D-B1E8-4D0C-B47D-8DA190AB2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694</TotalTime>
  <Pages>5</Pages>
  <Words>1307</Words>
  <Characters>7453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The University of Adelaide</Company>
  <LinksUpToDate>false</LinksUpToDate>
  <CharactersWithSpaces>8743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Stevens</dc:creator>
  <cp:keywords/>
  <dc:description/>
  <cp:lastModifiedBy>Matthew Stevens</cp:lastModifiedBy>
  <cp:revision>7</cp:revision>
  <dcterms:created xsi:type="dcterms:W3CDTF">2023-12-23T04:29:00Z</dcterms:created>
  <dcterms:modified xsi:type="dcterms:W3CDTF">2024-07-20T23:29:00Z</dcterms:modified>
</cp:coreProperties>
</file>