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599"/>
        <w:gridCol w:w="11991"/>
        <w:gridCol w:w="2827"/>
      </w:tblGrid>
      <w:tr w:rsidR="0031522F" w:rsidRPr="00037B6E" w14:paraId="78790BF1" w14:textId="77777777" w:rsidTr="00912622">
        <w:tc>
          <w:tcPr>
            <w:tcW w:w="532" w:type="dxa"/>
          </w:tcPr>
          <w:p w14:paraId="2167ABDC" w14:textId="232B57FB" w:rsidR="0031522F" w:rsidRPr="00037B6E" w:rsidRDefault="0031522F" w:rsidP="00FD27E9">
            <w:pPr>
              <w:rPr>
                <w:sz w:val="24"/>
                <w:szCs w:val="24"/>
              </w:rPr>
            </w:pPr>
            <w:r w:rsidRPr="00037B6E">
              <w:rPr>
                <w:sz w:val="24"/>
                <w:szCs w:val="24"/>
              </w:rPr>
              <w:t>N</w:t>
            </w:r>
            <w:r w:rsidRPr="00037B6E">
              <w:rPr>
                <w:rFonts w:hint="eastAsia"/>
                <w:sz w:val="24"/>
                <w:szCs w:val="24"/>
              </w:rPr>
              <w:t>o</w:t>
            </w:r>
            <w:r w:rsidR="00B76710">
              <w:rPr>
                <w:rFonts w:hint="eastAsia"/>
                <w:sz w:val="24"/>
                <w:szCs w:val="24"/>
              </w:rPr>
              <w:t>.</w:t>
            </w:r>
          </w:p>
        </w:tc>
        <w:tc>
          <w:tcPr>
            <w:tcW w:w="12050" w:type="dxa"/>
          </w:tcPr>
          <w:p w14:paraId="2138C9BA" w14:textId="77777777" w:rsidR="0031522F" w:rsidRPr="00037B6E" w:rsidRDefault="0031522F" w:rsidP="00FD27E9">
            <w:pPr>
              <w:jc w:val="center"/>
              <w:rPr>
                <w:sz w:val="24"/>
                <w:szCs w:val="24"/>
              </w:rPr>
            </w:pPr>
            <w:r w:rsidRPr="00037B6E">
              <w:rPr>
                <w:sz w:val="24"/>
                <w:szCs w:val="24"/>
              </w:rPr>
              <w:t>A</w:t>
            </w:r>
            <w:r w:rsidRPr="00037B6E">
              <w:rPr>
                <w:rFonts w:hint="eastAsia"/>
                <w:sz w:val="24"/>
                <w:szCs w:val="24"/>
              </w:rPr>
              <w:t>rticle</w:t>
            </w:r>
          </w:p>
        </w:tc>
        <w:tc>
          <w:tcPr>
            <w:tcW w:w="2835" w:type="dxa"/>
          </w:tcPr>
          <w:p w14:paraId="1A9F9DE5" w14:textId="77777777" w:rsidR="0031522F" w:rsidRPr="00037B6E" w:rsidRDefault="0031522F" w:rsidP="00FD27E9">
            <w:pPr>
              <w:jc w:val="center"/>
              <w:rPr>
                <w:sz w:val="24"/>
                <w:szCs w:val="24"/>
              </w:rPr>
            </w:pPr>
            <w:r w:rsidRPr="00037B6E">
              <w:rPr>
                <w:sz w:val="24"/>
                <w:szCs w:val="24"/>
              </w:rPr>
              <w:t>R</w:t>
            </w:r>
            <w:r w:rsidRPr="00037B6E">
              <w:rPr>
                <w:rFonts w:hint="eastAsia"/>
                <w:sz w:val="24"/>
                <w:szCs w:val="24"/>
              </w:rPr>
              <w:t>easons for exclusion</w:t>
            </w:r>
          </w:p>
        </w:tc>
      </w:tr>
      <w:tr w:rsidR="0031522F" w:rsidRPr="00037B6E" w14:paraId="185B54DC" w14:textId="77777777" w:rsidTr="00912622">
        <w:tc>
          <w:tcPr>
            <w:tcW w:w="532" w:type="dxa"/>
          </w:tcPr>
          <w:p w14:paraId="56CC0DC4" w14:textId="56945DB2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2050" w:type="dxa"/>
          </w:tcPr>
          <w:p w14:paraId="6D3903B9" w14:textId="77777777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sz w:val="24"/>
                <w:szCs w:val="24"/>
              </w:rPr>
              <w:t xml:space="preserve">Casas, M. A., &amp; Conn, B. M. (2024). Narrative </w:t>
            </w:r>
            <w:r w:rsidRPr="00037B6E">
              <w:rPr>
                <w:rFonts w:hint="eastAsia"/>
                <w:sz w:val="24"/>
                <w:szCs w:val="24"/>
              </w:rPr>
              <w:t>e</w:t>
            </w:r>
            <w:r w:rsidRPr="00037B6E">
              <w:rPr>
                <w:sz w:val="24"/>
                <w:szCs w:val="24"/>
              </w:rPr>
              <w:t xml:space="preserve">xposure </w:t>
            </w:r>
            <w:r w:rsidRPr="00037B6E">
              <w:rPr>
                <w:rFonts w:hint="eastAsia"/>
                <w:sz w:val="24"/>
                <w:szCs w:val="24"/>
              </w:rPr>
              <w:t>t</w:t>
            </w:r>
            <w:r w:rsidRPr="00037B6E">
              <w:rPr>
                <w:sz w:val="24"/>
                <w:szCs w:val="24"/>
              </w:rPr>
              <w:t xml:space="preserve">herapy for </w:t>
            </w:r>
            <w:r w:rsidRPr="00037B6E">
              <w:rPr>
                <w:rFonts w:hint="eastAsia"/>
                <w:sz w:val="24"/>
                <w:szCs w:val="24"/>
              </w:rPr>
              <w:t>t</w:t>
            </w:r>
            <w:r w:rsidRPr="00037B6E">
              <w:rPr>
                <w:sz w:val="24"/>
                <w:szCs w:val="24"/>
              </w:rPr>
              <w:t xml:space="preserve">reating </w:t>
            </w:r>
            <w:r w:rsidRPr="00037B6E">
              <w:rPr>
                <w:rFonts w:hint="eastAsia"/>
                <w:sz w:val="24"/>
                <w:szCs w:val="24"/>
              </w:rPr>
              <w:t>p</w:t>
            </w:r>
            <w:r w:rsidRPr="00037B6E">
              <w:rPr>
                <w:sz w:val="24"/>
                <w:szCs w:val="24"/>
              </w:rPr>
              <w:t>ost-</w:t>
            </w:r>
            <w:r w:rsidRPr="00037B6E">
              <w:rPr>
                <w:rFonts w:hint="eastAsia"/>
                <w:sz w:val="24"/>
                <w:szCs w:val="24"/>
              </w:rPr>
              <w:t>t</w:t>
            </w:r>
            <w:r w:rsidRPr="00037B6E">
              <w:rPr>
                <w:sz w:val="24"/>
                <w:szCs w:val="24"/>
              </w:rPr>
              <w:t xml:space="preserve">raumatic </w:t>
            </w:r>
            <w:r w:rsidRPr="00037B6E">
              <w:rPr>
                <w:rFonts w:hint="eastAsia"/>
                <w:sz w:val="24"/>
                <w:szCs w:val="24"/>
              </w:rPr>
              <w:t>s</w:t>
            </w:r>
            <w:r w:rsidRPr="00037B6E">
              <w:rPr>
                <w:sz w:val="24"/>
                <w:szCs w:val="24"/>
              </w:rPr>
              <w:t xml:space="preserve">tress </w:t>
            </w:r>
            <w:r w:rsidRPr="00037B6E">
              <w:rPr>
                <w:rFonts w:hint="eastAsia"/>
                <w:sz w:val="24"/>
                <w:szCs w:val="24"/>
              </w:rPr>
              <w:t>a</w:t>
            </w:r>
            <w:r w:rsidRPr="00037B6E">
              <w:rPr>
                <w:sz w:val="24"/>
                <w:szCs w:val="24"/>
              </w:rPr>
              <w:t xml:space="preserve">mong </w:t>
            </w:r>
            <w:r w:rsidRPr="00037B6E">
              <w:rPr>
                <w:rFonts w:hint="eastAsia"/>
                <w:sz w:val="24"/>
                <w:szCs w:val="24"/>
              </w:rPr>
              <w:t>t</w:t>
            </w:r>
            <w:r w:rsidRPr="00037B6E">
              <w:rPr>
                <w:sz w:val="24"/>
                <w:szCs w:val="24"/>
              </w:rPr>
              <w:t xml:space="preserve">ransgender </w:t>
            </w:r>
            <w:r w:rsidRPr="00037B6E">
              <w:rPr>
                <w:rFonts w:hint="eastAsia"/>
                <w:sz w:val="24"/>
                <w:szCs w:val="24"/>
              </w:rPr>
              <w:t>y</w:t>
            </w:r>
            <w:r w:rsidRPr="00037B6E">
              <w:rPr>
                <w:sz w:val="24"/>
                <w:szCs w:val="24"/>
              </w:rPr>
              <w:t xml:space="preserve">outh of </w:t>
            </w:r>
            <w:r w:rsidRPr="00037B6E">
              <w:rPr>
                <w:rFonts w:hint="eastAsia"/>
                <w:sz w:val="24"/>
                <w:szCs w:val="24"/>
              </w:rPr>
              <w:t>c</w:t>
            </w:r>
            <w:r w:rsidRPr="00037B6E">
              <w:rPr>
                <w:sz w:val="24"/>
                <w:szCs w:val="24"/>
              </w:rPr>
              <w:t xml:space="preserve">olor </w:t>
            </w:r>
            <w:r w:rsidRPr="00037B6E">
              <w:rPr>
                <w:rFonts w:hint="eastAsia"/>
                <w:sz w:val="24"/>
                <w:szCs w:val="24"/>
              </w:rPr>
              <w:t>w</w:t>
            </w:r>
            <w:r w:rsidRPr="00037B6E">
              <w:rPr>
                <w:sz w:val="24"/>
                <w:szCs w:val="24"/>
              </w:rPr>
              <w:t xml:space="preserve">ith </w:t>
            </w:r>
            <w:r w:rsidRPr="00037B6E">
              <w:rPr>
                <w:rFonts w:hint="eastAsia"/>
                <w:sz w:val="24"/>
                <w:szCs w:val="24"/>
              </w:rPr>
              <w:t>s</w:t>
            </w:r>
            <w:r w:rsidRPr="00037B6E">
              <w:rPr>
                <w:sz w:val="24"/>
                <w:szCs w:val="24"/>
              </w:rPr>
              <w:t xml:space="preserve">elective </w:t>
            </w:r>
            <w:r w:rsidRPr="00037B6E">
              <w:rPr>
                <w:rFonts w:hint="eastAsia"/>
                <w:sz w:val="24"/>
                <w:szCs w:val="24"/>
              </w:rPr>
              <w:t>m</w:t>
            </w:r>
            <w:r w:rsidRPr="00037B6E">
              <w:rPr>
                <w:sz w:val="24"/>
                <w:szCs w:val="24"/>
              </w:rPr>
              <w:t>utism. Clinical Case Studies, 23(1), 63-81.</w:t>
            </w:r>
          </w:p>
        </w:tc>
        <w:tc>
          <w:tcPr>
            <w:tcW w:w="2835" w:type="dxa"/>
          </w:tcPr>
          <w:p w14:paraId="3F50C326" w14:textId="77777777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sz w:val="24"/>
                <w:szCs w:val="24"/>
              </w:rPr>
              <w:t>e</w:t>
            </w:r>
            <w:r w:rsidRPr="00037B6E">
              <w:rPr>
                <w:rFonts w:hint="eastAsia"/>
                <w:sz w:val="24"/>
                <w:szCs w:val="24"/>
              </w:rPr>
              <w:t>)</w:t>
            </w:r>
            <w:r w:rsidRPr="00037B6E">
              <w:rPr>
                <w:sz w:val="24"/>
                <w:szCs w:val="24"/>
              </w:rPr>
              <w:t xml:space="preserve"> </w:t>
            </w:r>
            <w:r w:rsidRPr="00037B6E">
              <w:rPr>
                <w:rFonts w:hint="eastAsia"/>
                <w:sz w:val="24"/>
                <w:szCs w:val="24"/>
              </w:rPr>
              <w:t xml:space="preserve">no </w:t>
            </w:r>
            <w:r w:rsidRPr="00037B6E">
              <w:rPr>
                <w:sz w:val="24"/>
                <w:szCs w:val="24"/>
              </w:rPr>
              <w:t xml:space="preserve">SMQ </w:t>
            </w:r>
            <w:r w:rsidRPr="00037B6E">
              <w:rPr>
                <w:rFonts w:hint="eastAsia"/>
                <w:sz w:val="24"/>
                <w:szCs w:val="24"/>
              </w:rPr>
              <w:t>data</w:t>
            </w:r>
          </w:p>
        </w:tc>
      </w:tr>
      <w:tr w:rsidR="0031522F" w:rsidRPr="00037B6E" w14:paraId="23258597" w14:textId="77777777" w:rsidTr="00912622">
        <w:tc>
          <w:tcPr>
            <w:tcW w:w="532" w:type="dxa"/>
          </w:tcPr>
          <w:p w14:paraId="02D33D6A" w14:textId="77777777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2050" w:type="dxa"/>
          </w:tcPr>
          <w:p w14:paraId="7CE7B58A" w14:textId="77777777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sz w:val="24"/>
                <w:szCs w:val="24"/>
              </w:rPr>
              <w:t>Cengher, M., Clayborne, J. C., Crouch, A. E., &amp; O’Connor, J. T. (2021). Assessment and treatment of selective mutism in a child with autism spectrum disorder. Clinical Case Studies, 20(3), 248</w:t>
            </w:r>
            <w:r w:rsidRPr="00037B6E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037B6E">
              <w:rPr>
                <w:sz w:val="24"/>
                <w:szCs w:val="24"/>
              </w:rPr>
              <w:t>264.</w:t>
            </w:r>
          </w:p>
        </w:tc>
        <w:tc>
          <w:tcPr>
            <w:tcW w:w="2835" w:type="dxa"/>
          </w:tcPr>
          <w:p w14:paraId="602C6B84" w14:textId="77777777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sz w:val="24"/>
                <w:szCs w:val="24"/>
              </w:rPr>
              <w:t>e</w:t>
            </w:r>
            <w:r w:rsidRPr="00037B6E">
              <w:rPr>
                <w:rFonts w:hint="eastAsia"/>
                <w:sz w:val="24"/>
                <w:szCs w:val="24"/>
              </w:rPr>
              <w:t>)</w:t>
            </w:r>
            <w:r w:rsidRPr="00037B6E">
              <w:rPr>
                <w:sz w:val="24"/>
                <w:szCs w:val="24"/>
              </w:rPr>
              <w:t xml:space="preserve"> </w:t>
            </w:r>
            <w:r w:rsidRPr="00037B6E">
              <w:rPr>
                <w:rFonts w:hint="eastAsia"/>
                <w:sz w:val="24"/>
                <w:szCs w:val="24"/>
              </w:rPr>
              <w:t xml:space="preserve">no </w:t>
            </w:r>
            <w:r w:rsidRPr="00037B6E">
              <w:rPr>
                <w:sz w:val="24"/>
                <w:szCs w:val="24"/>
              </w:rPr>
              <w:t xml:space="preserve">SMQ </w:t>
            </w:r>
            <w:r w:rsidRPr="00037B6E">
              <w:rPr>
                <w:rFonts w:hint="eastAsia"/>
                <w:sz w:val="24"/>
                <w:szCs w:val="24"/>
              </w:rPr>
              <w:t>data</w:t>
            </w:r>
          </w:p>
        </w:tc>
      </w:tr>
      <w:tr w:rsidR="0031522F" w:rsidRPr="00037B6E" w14:paraId="17DCD8EB" w14:textId="77777777" w:rsidTr="00912622">
        <w:tc>
          <w:tcPr>
            <w:tcW w:w="532" w:type="dxa"/>
          </w:tcPr>
          <w:p w14:paraId="7182B523" w14:textId="27561962" w:rsidR="0031522F" w:rsidRPr="00037B6E" w:rsidRDefault="007D457E" w:rsidP="007D457E">
            <w:pPr>
              <w:jc w:val="left"/>
              <w:rPr>
                <w:rFonts w:hint="eastAsia"/>
                <w:sz w:val="24"/>
                <w:szCs w:val="24"/>
              </w:rPr>
            </w:pPr>
            <w:r w:rsidRPr="00037B6E"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12050" w:type="dxa"/>
          </w:tcPr>
          <w:p w14:paraId="3E6C0443" w14:textId="77777777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sz w:val="24"/>
                <w:szCs w:val="24"/>
              </w:rPr>
              <w:t>Cornacchio, D. (2019). Evaluating Intensive Group Behavioral Treatment for Children with Selective Mutism</w:t>
            </w:r>
            <w:r w:rsidRPr="00037B6E">
              <w:rPr>
                <w:rFonts w:hint="eastAsia"/>
                <w:sz w:val="24"/>
                <w:szCs w:val="24"/>
              </w:rPr>
              <w:t>.</w:t>
            </w:r>
            <w:r w:rsidRPr="00037B6E">
              <w:rPr>
                <w:sz w:val="24"/>
                <w:szCs w:val="24"/>
              </w:rPr>
              <w:t xml:space="preserve"> Florida International University.</w:t>
            </w:r>
          </w:p>
        </w:tc>
        <w:tc>
          <w:tcPr>
            <w:tcW w:w="2835" w:type="dxa"/>
          </w:tcPr>
          <w:p w14:paraId="50EC649E" w14:textId="77777777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rFonts w:hint="eastAsia"/>
                <w:sz w:val="24"/>
                <w:szCs w:val="24"/>
              </w:rPr>
              <w:t>b)</w:t>
            </w:r>
            <w:r w:rsidRPr="00037B6E">
              <w:rPr>
                <w:sz w:val="24"/>
                <w:szCs w:val="24"/>
              </w:rPr>
              <w:t xml:space="preserve"> dissertation</w:t>
            </w:r>
          </w:p>
        </w:tc>
      </w:tr>
      <w:tr w:rsidR="0031522F" w:rsidRPr="00037B6E" w14:paraId="687EC20F" w14:textId="77777777" w:rsidTr="00912622">
        <w:tc>
          <w:tcPr>
            <w:tcW w:w="532" w:type="dxa"/>
          </w:tcPr>
          <w:p w14:paraId="0E7A68D8" w14:textId="45B37C3C" w:rsidR="0031522F" w:rsidRPr="00037B6E" w:rsidRDefault="007D457E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12050" w:type="dxa"/>
          </w:tcPr>
          <w:p w14:paraId="0914E629" w14:textId="77777777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sz w:val="24"/>
                <w:szCs w:val="24"/>
              </w:rPr>
              <w:t>Dogru, H., Ucuz, I., Uzun Cicek, A., &amp; Comertoglu Arslan, S. (2023). Clinical characteristics according to sex and symptom severity in children with selective mutism: a four-center study. Nordic Journal of Psychiatry, 77(2), 158-164.</w:t>
            </w:r>
          </w:p>
        </w:tc>
        <w:tc>
          <w:tcPr>
            <w:tcW w:w="2835" w:type="dxa"/>
          </w:tcPr>
          <w:p w14:paraId="01CE7583" w14:textId="77777777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sz w:val="24"/>
                <w:szCs w:val="24"/>
              </w:rPr>
              <w:t>e</w:t>
            </w:r>
            <w:r w:rsidRPr="00037B6E">
              <w:rPr>
                <w:rFonts w:hint="eastAsia"/>
                <w:sz w:val="24"/>
                <w:szCs w:val="24"/>
              </w:rPr>
              <w:t>)</w:t>
            </w:r>
            <w:r w:rsidRPr="00037B6E">
              <w:rPr>
                <w:sz w:val="24"/>
                <w:szCs w:val="24"/>
              </w:rPr>
              <w:t xml:space="preserve"> </w:t>
            </w:r>
            <w:r w:rsidRPr="00037B6E">
              <w:rPr>
                <w:rFonts w:hint="eastAsia"/>
                <w:sz w:val="24"/>
                <w:szCs w:val="24"/>
              </w:rPr>
              <w:t xml:space="preserve">no </w:t>
            </w:r>
            <w:r w:rsidRPr="00037B6E">
              <w:rPr>
                <w:sz w:val="24"/>
                <w:szCs w:val="24"/>
              </w:rPr>
              <w:t xml:space="preserve">SMQ </w:t>
            </w:r>
            <w:r w:rsidRPr="00037B6E">
              <w:rPr>
                <w:rFonts w:hint="eastAsia"/>
                <w:sz w:val="24"/>
                <w:szCs w:val="24"/>
              </w:rPr>
              <w:t>data</w:t>
            </w:r>
          </w:p>
        </w:tc>
      </w:tr>
      <w:tr w:rsidR="0031522F" w:rsidRPr="00037B6E" w14:paraId="2F52467D" w14:textId="77777777" w:rsidTr="00912622">
        <w:tc>
          <w:tcPr>
            <w:tcW w:w="532" w:type="dxa"/>
          </w:tcPr>
          <w:p w14:paraId="61E79E61" w14:textId="5A2C133A" w:rsidR="0031522F" w:rsidRPr="00037B6E" w:rsidRDefault="007D457E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12050" w:type="dxa"/>
          </w:tcPr>
          <w:p w14:paraId="0DB3D36C" w14:textId="4F6AE030" w:rsidR="0031522F" w:rsidRPr="00037B6E" w:rsidRDefault="0031522F" w:rsidP="004929AA">
            <w:pPr>
              <w:jc w:val="left"/>
              <w:rPr>
                <w:sz w:val="24"/>
                <w:szCs w:val="24"/>
              </w:rPr>
            </w:pPr>
            <w:r w:rsidRPr="00037B6E">
              <w:rPr>
                <w:sz w:val="24"/>
                <w:szCs w:val="24"/>
              </w:rPr>
              <w:t xml:space="preserve">Godoi, D. H., Azevedo, H., Rodrigues, C. L., Rocca, C. C. D. A., Beraldo Filho, G., Castro, L. L., </w:t>
            </w:r>
            <w:r w:rsidR="004929AA">
              <w:rPr>
                <w:rFonts w:hint="eastAsia"/>
                <w:sz w:val="24"/>
                <w:szCs w:val="24"/>
              </w:rPr>
              <w:t>Asbahr, F.,</w:t>
            </w:r>
            <w:r w:rsidRPr="00037B6E">
              <w:rPr>
                <w:sz w:val="24"/>
                <w:szCs w:val="24"/>
              </w:rPr>
              <w:t xml:space="preserve"> &amp; Romero, R. A. F. (2024). Preliminary impressions: Using a humanoid robot in the neuropsychological assessment of children with selective mutism. International Journal of Advanced Robotic Systems, 21(5).</w:t>
            </w:r>
          </w:p>
        </w:tc>
        <w:tc>
          <w:tcPr>
            <w:tcW w:w="2835" w:type="dxa"/>
          </w:tcPr>
          <w:p w14:paraId="46C28417" w14:textId="77777777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sz w:val="24"/>
                <w:szCs w:val="24"/>
              </w:rPr>
              <w:t>e</w:t>
            </w:r>
            <w:r w:rsidRPr="00037B6E">
              <w:rPr>
                <w:rFonts w:hint="eastAsia"/>
                <w:sz w:val="24"/>
                <w:szCs w:val="24"/>
              </w:rPr>
              <w:t>)</w:t>
            </w:r>
            <w:r w:rsidRPr="00037B6E">
              <w:rPr>
                <w:sz w:val="24"/>
                <w:szCs w:val="24"/>
              </w:rPr>
              <w:t xml:space="preserve"> </w:t>
            </w:r>
            <w:r w:rsidRPr="00037B6E">
              <w:rPr>
                <w:rFonts w:hint="eastAsia"/>
                <w:sz w:val="24"/>
                <w:szCs w:val="24"/>
              </w:rPr>
              <w:t xml:space="preserve">no </w:t>
            </w:r>
            <w:r w:rsidRPr="00037B6E">
              <w:rPr>
                <w:sz w:val="24"/>
                <w:szCs w:val="24"/>
              </w:rPr>
              <w:t xml:space="preserve">SMQ </w:t>
            </w:r>
            <w:r w:rsidRPr="00037B6E">
              <w:rPr>
                <w:rFonts w:hint="eastAsia"/>
                <w:sz w:val="24"/>
                <w:szCs w:val="24"/>
              </w:rPr>
              <w:t>data</w:t>
            </w:r>
          </w:p>
        </w:tc>
      </w:tr>
      <w:tr w:rsidR="0031522F" w:rsidRPr="00037B6E" w14:paraId="67AF013E" w14:textId="77777777" w:rsidTr="00912622">
        <w:tc>
          <w:tcPr>
            <w:tcW w:w="532" w:type="dxa"/>
          </w:tcPr>
          <w:p w14:paraId="2CA287BC" w14:textId="29E6F4E2" w:rsidR="0031522F" w:rsidRPr="00037B6E" w:rsidRDefault="007D457E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12050" w:type="dxa"/>
          </w:tcPr>
          <w:p w14:paraId="723DF689" w14:textId="77777777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sz w:val="24"/>
                <w:szCs w:val="24"/>
              </w:rPr>
              <w:t>Jones, K., &amp; Odell-Miller, H. (2023). A theoretical framework for the use of music therapy in the treatment of selective mutism in young children: Multiple case study research. Nordic Journal of Music Therapy, 32(1), 4</w:t>
            </w:r>
            <w:r w:rsidRPr="00037B6E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037B6E">
              <w:rPr>
                <w:sz w:val="24"/>
                <w:szCs w:val="24"/>
              </w:rPr>
              <w:t>28.</w:t>
            </w:r>
          </w:p>
        </w:tc>
        <w:tc>
          <w:tcPr>
            <w:tcW w:w="2835" w:type="dxa"/>
          </w:tcPr>
          <w:p w14:paraId="4E27CB4C" w14:textId="77777777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sz w:val="24"/>
                <w:szCs w:val="24"/>
              </w:rPr>
              <w:t>e</w:t>
            </w:r>
            <w:r w:rsidRPr="00037B6E">
              <w:rPr>
                <w:rFonts w:hint="eastAsia"/>
                <w:sz w:val="24"/>
                <w:szCs w:val="24"/>
              </w:rPr>
              <w:t>)</w:t>
            </w:r>
            <w:r w:rsidRPr="00037B6E">
              <w:rPr>
                <w:sz w:val="24"/>
                <w:szCs w:val="24"/>
              </w:rPr>
              <w:t xml:space="preserve"> </w:t>
            </w:r>
            <w:r w:rsidRPr="00037B6E">
              <w:rPr>
                <w:rFonts w:hint="eastAsia"/>
                <w:sz w:val="24"/>
                <w:szCs w:val="24"/>
              </w:rPr>
              <w:t xml:space="preserve">no </w:t>
            </w:r>
            <w:r w:rsidRPr="00037B6E">
              <w:rPr>
                <w:sz w:val="24"/>
                <w:szCs w:val="24"/>
              </w:rPr>
              <w:t>SMQ</w:t>
            </w:r>
            <w:r w:rsidRPr="00037B6E">
              <w:rPr>
                <w:rFonts w:hint="eastAsia"/>
                <w:sz w:val="24"/>
                <w:szCs w:val="24"/>
              </w:rPr>
              <w:t xml:space="preserve"> data</w:t>
            </w:r>
          </w:p>
        </w:tc>
      </w:tr>
      <w:tr w:rsidR="0031522F" w:rsidRPr="00037B6E" w14:paraId="65D88533" w14:textId="77777777" w:rsidTr="00912622">
        <w:tc>
          <w:tcPr>
            <w:tcW w:w="532" w:type="dxa"/>
          </w:tcPr>
          <w:p w14:paraId="3FCF912C" w14:textId="5EE3FD30" w:rsidR="0031522F" w:rsidRPr="00037B6E" w:rsidRDefault="007D457E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12050" w:type="dxa"/>
          </w:tcPr>
          <w:p w14:paraId="1901232C" w14:textId="77777777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sz w:val="24"/>
                <w:szCs w:val="24"/>
              </w:rPr>
              <w:t>Kwok Kar Kin, G. (2022). Mutism and sandplay therapy: A child's silent journey. Journal of Sandplay Therapy, 31(1)</w:t>
            </w:r>
            <w:r w:rsidRPr="00037B6E">
              <w:rPr>
                <w:rFonts w:hint="eastAsia"/>
                <w:sz w:val="24"/>
                <w:szCs w:val="24"/>
              </w:rPr>
              <w:t>.</w:t>
            </w:r>
            <w:r w:rsidRPr="00037B6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5BAF0ED2" w14:textId="77777777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sz w:val="24"/>
                <w:szCs w:val="24"/>
              </w:rPr>
              <w:t>e</w:t>
            </w:r>
            <w:r w:rsidRPr="00037B6E">
              <w:rPr>
                <w:rFonts w:hint="eastAsia"/>
                <w:sz w:val="24"/>
                <w:szCs w:val="24"/>
              </w:rPr>
              <w:t>)</w:t>
            </w:r>
            <w:r w:rsidRPr="00037B6E">
              <w:rPr>
                <w:sz w:val="24"/>
                <w:szCs w:val="24"/>
              </w:rPr>
              <w:t xml:space="preserve"> </w:t>
            </w:r>
            <w:r w:rsidRPr="00037B6E">
              <w:rPr>
                <w:rFonts w:hint="eastAsia"/>
                <w:sz w:val="24"/>
                <w:szCs w:val="24"/>
              </w:rPr>
              <w:t xml:space="preserve">no </w:t>
            </w:r>
            <w:r w:rsidRPr="00037B6E">
              <w:rPr>
                <w:sz w:val="24"/>
                <w:szCs w:val="24"/>
              </w:rPr>
              <w:t>SMQ</w:t>
            </w:r>
            <w:r w:rsidRPr="00037B6E">
              <w:rPr>
                <w:rFonts w:hint="eastAsia"/>
                <w:sz w:val="24"/>
                <w:szCs w:val="24"/>
              </w:rPr>
              <w:t xml:space="preserve"> data</w:t>
            </w:r>
          </w:p>
        </w:tc>
      </w:tr>
      <w:tr w:rsidR="0031522F" w:rsidRPr="00037B6E" w14:paraId="104D03D0" w14:textId="77777777" w:rsidTr="00912622">
        <w:tc>
          <w:tcPr>
            <w:tcW w:w="532" w:type="dxa"/>
          </w:tcPr>
          <w:p w14:paraId="3E7AD97B" w14:textId="527F265F" w:rsidR="0031522F" w:rsidRPr="00037B6E" w:rsidRDefault="007D457E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12050" w:type="dxa"/>
          </w:tcPr>
          <w:p w14:paraId="09F6295D" w14:textId="77777777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sz w:val="24"/>
                <w:szCs w:val="24"/>
              </w:rPr>
              <w:t>Liu, S. (2021). Considerations for Adapting Parent Child Interaction Therapy (PCIT) for Chinese Americans</w:t>
            </w:r>
            <w:r w:rsidRPr="00037B6E">
              <w:rPr>
                <w:rFonts w:hint="eastAsia"/>
                <w:sz w:val="24"/>
                <w:szCs w:val="24"/>
              </w:rPr>
              <w:t>.</w:t>
            </w:r>
            <w:r w:rsidRPr="00037B6E">
              <w:rPr>
                <w:sz w:val="24"/>
                <w:szCs w:val="24"/>
              </w:rPr>
              <w:t xml:space="preserve"> Pepperdine University.</w:t>
            </w:r>
          </w:p>
        </w:tc>
        <w:tc>
          <w:tcPr>
            <w:tcW w:w="2835" w:type="dxa"/>
          </w:tcPr>
          <w:p w14:paraId="439D9AEB" w14:textId="77777777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rFonts w:hint="eastAsia"/>
                <w:sz w:val="24"/>
                <w:szCs w:val="24"/>
              </w:rPr>
              <w:t>b)</w:t>
            </w:r>
            <w:r w:rsidRPr="00037B6E">
              <w:rPr>
                <w:sz w:val="24"/>
                <w:szCs w:val="24"/>
              </w:rPr>
              <w:t xml:space="preserve"> dissertation</w:t>
            </w:r>
          </w:p>
        </w:tc>
      </w:tr>
      <w:tr w:rsidR="0031522F" w:rsidRPr="00037B6E" w14:paraId="3248429C" w14:textId="77777777" w:rsidTr="00912622">
        <w:tc>
          <w:tcPr>
            <w:tcW w:w="532" w:type="dxa"/>
          </w:tcPr>
          <w:p w14:paraId="7597FF40" w14:textId="775EBABE" w:rsidR="0031522F" w:rsidRPr="00037B6E" w:rsidRDefault="007D457E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12050" w:type="dxa"/>
          </w:tcPr>
          <w:p w14:paraId="63283F65" w14:textId="77777777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sz w:val="24"/>
                <w:szCs w:val="24"/>
              </w:rPr>
              <w:t>Lorenzo, N. E., Cornacchio, D., Chou, T., Kurtz, S. M., Furr, J. M., &amp; Comer, J. S. (2021). Expanding treatment options for children with selective mutism: rationale, principles, and procedures for an intensive group behavioral treatment. Cognitive and Behavioral Practice, 28(3), 379</w:t>
            </w:r>
            <w:r w:rsidRPr="00037B6E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037B6E">
              <w:rPr>
                <w:sz w:val="24"/>
                <w:szCs w:val="24"/>
              </w:rPr>
              <w:t>392.</w:t>
            </w:r>
          </w:p>
        </w:tc>
        <w:tc>
          <w:tcPr>
            <w:tcW w:w="2835" w:type="dxa"/>
          </w:tcPr>
          <w:p w14:paraId="1A14FD5B" w14:textId="5789F136" w:rsidR="0031522F" w:rsidRPr="00037B6E" w:rsidRDefault="0075411C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rFonts w:hint="eastAsia"/>
                <w:sz w:val="24"/>
                <w:szCs w:val="24"/>
              </w:rPr>
              <w:t xml:space="preserve">a) </w:t>
            </w:r>
            <w:r w:rsidR="0031522F" w:rsidRPr="00037B6E">
              <w:rPr>
                <w:rFonts w:hint="eastAsia"/>
                <w:sz w:val="24"/>
                <w:szCs w:val="24"/>
              </w:rPr>
              <w:t>review</w:t>
            </w:r>
          </w:p>
        </w:tc>
      </w:tr>
      <w:tr w:rsidR="0031522F" w:rsidRPr="00037B6E" w14:paraId="5C42CAAC" w14:textId="77777777" w:rsidTr="00912622">
        <w:tc>
          <w:tcPr>
            <w:tcW w:w="532" w:type="dxa"/>
          </w:tcPr>
          <w:p w14:paraId="19301724" w14:textId="0FDA014E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rFonts w:hint="eastAsia"/>
                <w:sz w:val="24"/>
                <w:szCs w:val="24"/>
              </w:rPr>
              <w:t>1</w:t>
            </w:r>
            <w:r w:rsidR="007D457E" w:rsidRPr="00037B6E"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12050" w:type="dxa"/>
          </w:tcPr>
          <w:p w14:paraId="64F489F5" w14:textId="77777777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sz w:val="24"/>
                <w:szCs w:val="24"/>
              </w:rPr>
              <w:t>Ludlow, A. K., Osborne, C., &amp; Keville, S. (2023). Selective mutism in children with and without an autism spectrum disorder: The role of sensory avoidance in mediating symptoms of social anxiety. Journal of Autism and Developmental Disorders, 53(10), 3891-3900.</w:t>
            </w:r>
          </w:p>
        </w:tc>
        <w:tc>
          <w:tcPr>
            <w:tcW w:w="2835" w:type="dxa"/>
          </w:tcPr>
          <w:p w14:paraId="145D5998" w14:textId="77777777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rFonts w:hint="eastAsia"/>
                <w:sz w:val="24"/>
                <w:szCs w:val="24"/>
              </w:rPr>
              <w:t>g) no SM intervention</w:t>
            </w:r>
          </w:p>
        </w:tc>
      </w:tr>
      <w:tr w:rsidR="0031522F" w:rsidRPr="00037B6E" w14:paraId="17981F4C" w14:textId="77777777" w:rsidTr="00912622">
        <w:tc>
          <w:tcPr>
            <w:tcW w:w="532" w:type="dxa"/>
          </w:tcPr>
          <w:p w14:paraId="09661A01" w14:textId="34236E70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rFonts w:hint="eastAsia"/>
                <w:sz w:val="24"/>
                <w:szCs w:val="24"/>
              </w:rPr>
              <w:t>1</w:t>
            </w:r>
            <w:r w:rsidR="007D457E" w:rsidRPr="00037B6E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2050" w:type="dxa"/>
          </w:tcPr>
          <w:p w14:paraId="2D0052F5" w14:textId="463E8A8A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sz w:val="24"/>
                <w:szCs w:val="24"/>
              </w:rPr>
              <w:t>Ng, V. Y. (2023). Parent-</w:t>
            </w:r>
            <w:r w:rsidR="00B76710">
              <w:rPr>
                <w:rFonts w:hint="eastAsia"/>
                <w:sz w:val="24"/>
                <w:szCs w:val="24"/>
              </w:rPr>
              <w:t>b</w:t>
            </w:r>
            <w:r w:rsidRPr="00037B6E">
              <w:rPr>
                <w:sz w:val="24"/>
                <w:szCs w:val="24"/>
              </w:rPr>
              <w:t xml:space="preserve">ased </w:t>
            </w:r>
            <w:r w:rsidR="00B76710">
              <w:rPr>
                <w:rFonts w:hint="eastAsia"/>
                <w:sz w:val="24"/>
                <w:szCs w:val="24"/>
              </w:rPr>
              <w:t>g</w:t>
            </w:r>
            <w:r w:rsidRPr="00037B6E">
              <w:rPr>
                <w:sz w:val="24"/>
                <w:szCs w:val="24"/>
              </w:rPr>
              <w:t xml:space="preserve">roup </w:t>
            </w:r>
            <w:r w:rsidR="00B76710">
              <w:rPr>
                <w:rFonts w:hint="eastAsia"/>
                <w:sz w:val="24"/>
                <w:szCs w:val="24"/>
              </w:rPr>
              <w:t>t</w:t>
            </w:r>
            <w:r w:rsidRPr="00037B6E">
              <w:rPr>
                <w:sz w:val="24"/>
                <w:szCs w:val="24"/>
              </w:rPr>
              <w:t xml:space="preserve">reatment for </w:t>
            </w:r>
            <w:r w:rsidR="00B76710">
              <w:rPr>
                <w:rFonts w:hint="eastAsia"/>
                <w:sz w:val="24"/>
                <w:szCs w:val="24"/>
              </w:rPr>
              <w:t>c</w:t>
            </w:r>
            <w:r w:rsidRPr="00037B6E">
              <w:rPr>
                <w:sz w:val="24"/>
                <w:szCs w:val="24"/>
              </w:rPr>
              <w:t xml:space="preserve">hildhood </w:t>
            </w:r>
            <w:r w:rsidR="00B76710">
              <w:rPr>
                <w:rFonts w:hint="eastAsia"/>
                <w:sz w:val="24"/>
                <w:szCs w:val="24"/>
              </w:rPr>
              <w:t>s</w:t>
            </w:r>
            <w:r w:rsidRPr="00037B6E">
              <w:rPr>
                <w:sz w:val="24"/>
                <w:szCs w:val="24"/>
              </w:rPr>
              <w:t xml:space="preserve">elective </w:t>
            </w:r>
            <w:r w:rsidR="00B76710">
              <w:rPr>
                <w:rFonts w:hint="eastAsia"/>
                <w:sz w:val="24"/>
                <w:szCs w:val="24"/>
              </w:rPr>
              <w:t>m</w:t>
            </w:r>
            <w:r w:rsidRPr="00037B6E">
              <w:rPr>
                <w:sz w:val="24"/>
                <w:szCs w:val="24"/>
              </w:rPr>
              <w:t xml:space="preserve">utism: A </w:t>
            </w:r>
            <w:r w:rsidR="00B76710">
              <w:rPr>
                <w:rFonts w:hint="eastAsia"/>
                <w:sz w:val="24"/>
                <w:szCs w:val="24"/>
              </w:rPr>
              <w:t>p</w:t>
            </w:r>
            <w:r w:rsidRPr="00037B6E">
              <w:rPr>
                <w:sz w:val="24"/>
                <w:szCs w:val="24"/>
              </w:rPr>
              <w:t xml:space="preserve">ilot </w:t>
            </w:r>
            <w:r w:rsidR="00B76710">
              <w:rPr>
                <w:rFonts w:hint="eastAsia"/>
                <w:sz w:val="24"/>
                <w:szCs w:val="24"/>
              </w:rPr>
              <w:t>n</w:t>
            </w:r>
            <w:r w:rsidRPr="00037B6E">
              <w:rPr>
                <w:sz w:val="24"/>
                <w:szCs w:val="24"/>
              </w:rPr>
              <w:t>on-</w:t>
            </w:r>
            <w:r w:rsidR="00B76710">
              <w:rPr>
                <w:rFonts w:hint="eastAsia"/>
                <w:sz w:val="24"/>
                <w:szCs w:val="24"/>
              </w:rPr>
              <w:t>i</w:t>
            </w:r>
            <w:r w:rsidRPr="00037B6E">
              <w:rPr>
                <w:sz w:val="24"/>
                <w:szCs w:val="24"/>
              </w:rPr>
              <w:t xml:space="preserve">nferiority </w:t>
            </w:r>
            <w:r w:rsidR="00B76710">
              <w:rPr>
                <w:rFonts w:hint="eastAsia"/>
                <w:sz w:val="24"/>
                <w:szCs w:val="24"/>
              </w:rPr>
              <w:t>t</w:t>
            </w:r>
            <w:r w:rsidRPr="00037B6E">
              <w:rPr>
                <w:sz w:val="24"/>
                <w:szCs w:val="24"/>
              </w:rPr>
              <w:t xml:space="preserve">rial of </w:t>
            </w:r>
            <w:r w:rsidR="00B76710">
              <w:rPr>
                <w:rFonts w:hint="eastAsia"/>
                <w:sz w:val="24"/>
                <w:szCs w:val="24"/>
              </w:rPr>
              <w:t>s</w:t>
            </w:r>
            <w:r w:rsidRPr="00037B6E">
              <w:rPr>
                <w:sz w:val="24"/>
                <w:szCs w:val="24"/>
              </w:rPr>
              <w:t xml:space="preserve">upportive </w:t>
            </w:r>
            <w:r w:rsidR="00B76710">
              <w:rPr>
                <w:rFonts w:hint="eastAsia"/>
                <w:sz w:val="24"/>
                <w:szCs w:val="24"/>
              </w:rPr>
              <w:t>p</w:t>
            </w:r>
            <w:r w:rsidRPr="00037B6E">
              <w:rPr>
                <w:sz w:val="24"/>
                <w:szCs w:val="24"/>
              </w:rPr>
              <w:t xml:space="preserve">arenting for </w:t>
            </w:r>
            <w:r w:rsidR="00B76710">
              <w:rPr>
                <w:rFonts w:hint="eastAsia"/>
                <w:sz w:val="24"/>
                <w:szCs w:val="24"/>
              </w:rPr>
              <w:t>a</w:t>
            </w:r>
            <w:r w:rsidRPr="00037B6E">
              <w:rPr>
                <w:sz w:val="24"/>
                <w:szCs w:val="24"/>
              </w:rPr>
              <w:t xml:space="preserve">nxious </w:t>
            </w:r>
            <w:r w:rsidR="00B76710">
              <w:rPr>
                <w:rFonts w:hint="eastAsia"/>
                <w:sz w:val="24"/>
                <w:szCs w:val="24"/>
              </w:rPr>
              <w:t>c</w:t>
            </w:r>
            <w:r w:rsidRPr="00037B6E">
              <w:rPr>
                <w:sz w:val="24"/>
                <w:szCs w:val="24"/>
              </w:rPr>
              <w:t xml:space="preserve">hildhood </w:t>
            </w:r>
            <w:r w:rsidR="00B76710">
              <w:rPr>
                <w:rFonts w:hint="eastAsia"/>
                <w:sz w:val="24"/>
                <w:szCs w:val="24"/>
              </w:rPr>
              <w:t>e</w:t>
            </w:r>
            <w:r w:rsidRPr="00037B6E">
              <w:rPr>
                <w:sz w:val="24"/>
                <w:szCs w:val="24"/>
              </w:rPr>
              <w:t>motions. Hofstra University.</w:t>
            </w:r>
          </w:p>
        </w:tc>
        <w:tc>
          <w:tcPr>
            <w:tcW w:w="2835" w:type="dxa"/>
          </w:tcPr>
          <w:p w14:paraId="007B5C7F" w14:textId="77777777" w:rsidR="0031522F" w:rsidRPr="00037B6E" w:rsidRDefault="0031522F" w:rsidP="007D457E">
            <w:pPr>
              <w:pStyle w:val="a7"/>
              <w:numPr>
                <w:ilvl w:val="0"/>
                <w:numId w:val="25"/>
              </w:numPr>
              <w:contextualSpacing/>
              <w:jc w:val="left"/>
              <w:rPr>
                <w:sz w:val="24"/>
                <w:szCs w:val="24"/>
              </w:rPr>
            </w:pPr>
            <w:r w:rsidRPr="00037B6E">
              <w:rPr>
                <w:rFonts w:hint="eastAsia"/>
                <w:sz w:val="24"/>
                <w:szCs w:val="24"/>
              </w:rPr>
              <w:t>b)</w:t>
            </w:r>
            <w:r w:rsidRPr="00037B6E">
              <w:rPr>
                <w:sz w:val="24"/>
                <w:szCs w:val="24"/>
              </w:rPr>
              <w:t xml:space="preserve"> dissertation</w:t>
            </w:r>
          </w:p>
        </w:tc>
      </w:tr>
      <w:tr w:rsidR="0031522F" w:rsidRPr="00037B6E" w14:paraId="55167D32" w14:textId="77777777" w:rsidTr="00912622">
        <w:tc>
          <w:tcPr>
            <w:tcW w:w="532" w:type="dxa"/>
          </w:tcPr>
          <w:p w14:paraId="41F57210" w14:textId="00CDD4B3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rFonts w:hint="eastAsia"/>
                <w:sz w:val="24"/>
                <w:szCs w:val="24"/>
              </w:rPr>
              <w:t>1</w:t>
            </w:r>
            <w:r w:rsidR="007D457E" w:rsidRPr="00037B6E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2050" w:type="dxa"/>
          </w:tcPr>
          <w:p w14:paraId="0025B1C9" w14:textId="3A884F98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sz w:val="24"/>
                <w:szCs w:val="24"/>
              </w:rPr>
              <w:t xml:space="preserve">Pabis, J. M. (2023). Parent </w:t>
            </w:r>
            <w:r w:rsidR="00B76710">
              <w:rPr>
                <w:rFonts w:hint="eastAsia"/>
                <w:sz w:val="24"/>
                <w:szCs w:val="24"/>
              </w:rPr>
              <w:t>t</w:t>
            </w:r>
            <w:r w:rsidRPr="00037B6E">
              <w:rPr>
                <w:sz w:val="24"/>
                <w:szCs w:val="24"/>
              </w:rPr>
              <w:t xml:space="preserve">raining </w:t>
            </w:r>
            <w:r w:rsidR="00B76710">
              <w:rPr>
                <w:rFonts w:hint="eastAsia"/>
                <w:sz w:val="24"/>
                <w:szCs w:val="24"/>
              </w:rPr>
              <w:t>w</w:t>
            </w:r>
            <w:r w:rsidRPr="00037B6E">
              <w:rPr>
                <w:sz w:val="24"/>
                <w:szCs w:val="24"/>
              </w:rPr>
              <w:t xml:space="preserve">orkshop for </w:t>
            </w:r>
            <w:r w:rsidR="00B76710">
              <w:rPr>
                <w:rFonts w:hint="eastAsia"/>
                <w:sz w:val="24"/>
                <w:szCs w:val="24"/>
              </w:rPr>
              <w:t>c</w:t>
            </w:r>
            <w:r w:rsidRPr="00037B6E">
              <w:rPr>
                <w:sz w:val="24"/>
                <w:szCs w:val="24"/>
              </w:rPr>
              <w:t xml:space="preserve">hildren with </w:t>
            </w:r>
            <w:r w:rsidR="00B76710">
              <w:rPr>
                <w:rFonts w:hint="eastAsia"/>
                <w:sz w:val="24"/>
                <w:szCs w:val="24"/>
              </w:rPr>
              <w:t>s</w:t>
            </w:r>
            <w:r w:rsidRPr="00037B6E">
              <w:rPr>
                <w:sz w:val="24"/>
                <w:szCs w:val="24"/>
              </w:rPr>
              <w:t xml:space="preserve">elective </w:t>
            </w:r>
            <w:r w:rsidR="00B76710">
              <w:rPr>
                <w:rFonts w:hint="eastAsia"/>
                <w:sz w:val="24"/>
                <w:szCs w:val="24"/>
              </w:rPr>
              <w:t>m</w:t>
            </w:r>
            <w:r w:rsidRPr="00037B6E">
              <w:rPr>
                <w:sz w:val="24"/>
                <w:szCs w:val="24"/>
              </w:rPr>
              <w:t xml:space="preserve">utism: </w:t>
            </w:r>
            <w:r w:rsidR="00B76710">
              <w:rPr>
                <w:rFonts w:hint="eastAsia"/>
                <w:sz w:val="24"/>
                <w:szCs w:val="24"/>
              </w:rPr>
              <w:t>A</w:t>
            </w:r>
            <w:r w:rsidRPr="00037B6E">
              <w:rPr>
                <w:sz w:val="24"/>
                <w:szCs w:val="24"/>
              </w:rPr>
              <w:t xml:space="preserve"> </w:t>
            </w:r>
            <w:r w:rsidR="00B76710">
              <w:rPr>
                <w:rFonts w:hint="eastAsia"/>
                <w:sz w:val="24"/>
                <w:szCs w:val="24"/>
              </w:rPr>
              <w:t>r</w:t>
            </w:r>
            <w:r w:rsidRPr="00037B6E">
              <w:rPr>
                <w:sz w:val="24"/>
                <w:szCs w:val="24"/>
              </w:rPr>
              <w:t>andomized-</w:t>
            </w:r>
            <w:r w:rsidR="00B76710">
              <w:rPr>
                <w:rFonts w:hint="eastAsia"/>
                <w:sz w:val="24"/>
                <w:szCs w:val="24"/>
              </w:rPr>
              <w:t>c</w:t>
            </w:r>
            <w:r w:rsidRPr="00037B6E">
              <w:rPr>
                <w:sz w:val="24"/>
                <w:szCs w:val="24"/>
              </w:rPr>
              <w:t xml:space="preserve">ontrolled </w:t>
            </w:r>
            <w:r w:rsidR="00B76710">
              <w:rPr>
                <w:rFonts w:hint="eastAsia"/>
                <w:sz w:val="24"/>
                <w:szCs w:val="24"/>
              </w:rPr>
              <w:t>t</w:t>
            </w:r>
            <w:r w:rsidRPr="00037B6E">
              <w:rPr>
                <w:sz w:val="24"/>
                <w:szCs w:val="24"/>
              </w:rPr>
              <w:t>rial</w:t>
            </w:r>
            <w:r w:rsidRPr="00037B6E">
              <w:rPr>
                <w:rFonts w:hint="eastAsia"/>
                <w:sz w:val="24"/>
                <w:szCs w:val="24"/>
              </w:rPr>
              <w:t>.</w:t>
            </w:r>
            <w:r w:rsidRPr="00037B6E">
              <w:rPr>
                <w:sz w:val="24"/>
                <w:szCs w:val="24"/>
              </w:rPr>
              <w:t xml:space="preserve"> Northern Illinois University.</w:t>
            </w:r>
          </w:p>
        </w:tc>
        <w:tc>
          <w:tcPr>
            <w:tcW w:w="2835" w:type="dxa"/>
          </w:tcPr>
          <w:p w14:paraId="41221F45" w14:textId="77777777" w:rsidR="0031522F" w:rsidRPr="00037B6E" w:rsidRDefault="0031522F" w:rsidP="007D457E">
            <w:pPr>
              <w:pStyle w:val="a7"/>
              <w:numPr>
                <w:ilvl w:val="0"/>
                <w:numId w:val="25"/>
              </w:numPr>
              <w:contextualSpacing/>
              <w:jc w:val="left"/>
              <w:rPr>
                <w:sz w:val="24"/>
                <w:szCs w:val="24"/>
              </w:rPr>
            </w:pPr>
            <w:r w:rsidRPr="00037B6E">
              <w:rPr>
                <w:rFonts w:hint="eastAsia"/>
                <w:sz w:val="24"/>
                <w:szCs w:val="24"/>
              </w:rPr>
              <w:t>b)</w:t>
            </w:r>
            <w:r w:rsidRPr="00037B6E">
              <w:rPr>
                <w:sz w:val="24"/>
                <w:szCs w:val="24"/>
              </w:rPr>
              <w:t xml:space="preserve"> dissertation</w:t>
            </w:r>
          </w:p>
        </w:tc>
      </w:tr>
      <w:tr w:rsidR="0031522F" w:rsidRPr="00037B6E" w14:paraId="006FBFCB" w14:textId="77777777" w:rsidTr="00912622">
        <w:tc>
          <w:tcPr>
            <w:tcW w:w="532" w:type="dxa"/>
          </w:tcPr>
          <w:p w14:paraId="5ACDDB4D" w14:textId="5EC713A1" w:rsidR="0031522F" w:rsidRPr="00037B6E" w:rsidRDefault="007D457E" w:rsidP="007D457E">
            <w:pPr>
              <w:jc w:val="left"/>
              <w:rPr>
                <w:rFonts w:hint="eastAsia"/>
                <w:sz w:val="24"/>
                <w:szCs w:val="24"/>
              </w:rPr>
            </w:pPr>
            <w:r w:rsidRPr="00037B6E">
              <w:rPr>
                <w:rFonts w:hint="eastAsia"/>
                <w:sz w:val="24"/>
                <w:szCs w:val="24"/>
              </w:rPr>
              <w:t>13</w:t>
            </w:r>
          </w:p>
        </w:tc>
        <w:tc>
          <w:tcPr>
            <w:tcW w:w="12050" w:type="dxa"/>
          </w:tcPr>
          <w:p w14:paraId="266307A5" w14:textId="77777777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sz w:val="24"/>
                <w:szCs w:val="24"/>
              </w:rPr>
              <w:t xml:space="preserve">Rosheim, K. (2022). Learning from Tina: a case study with a selective speaker. Language </w:t>
            </w:r>
            <w:r w:rsidRPr="00037B6E">
              <w:rPr>
                <w:sz w:val="24"/>
                <w:szCs w:val="24"/>
              </w:rPr>
              <w:lastRenderedPageBreak/>
              <w:t>Awareness, 31(2), 175</w:t>
            </w:r>
            <w:r w:rsidRPr="00037B6E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037B6E">
              <w:rPr>
                <w:sz w:val="24"/>
                <w:szCs w:val="24"/>
              </w:rPr>
              <w:t xml:space="preserve">193. </w:t>
            </w:r>
          </w:p>
        </w:tc>
        <w:tc>
          <w:tcPr>
            <w:tcW w:w="2835" w:type="dxa"/>
          </w:tcPr>
          <w:p w14:paraId="40290348" w14:textId="77777777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sz w:val="24"/>
                <w:szCs w:val="24"/>
              </w:rPr>
              <w:lastRenderedPageBreak/>
              <w:t>e</w:t>
            </w:r>
            <w:r w:rsidRPr="00037B6E">
              <w:rPr>
                <w:rFonts w:hint="eastAsia"/>
                <w:sz w:val="24"/>
                <w:szCs w:val="24"/>
              </w:rPr>
              <w:t>)</w:t>
            </w:r>
            <w:r w:rsidRPr="00037B6E">
              <w:rPr>
                <w:sz w:val="24"/>
                <w:szCs w:val="24"/>
              </w:rPr>
              <w:t xml:space="preserve"> </w:t>
            </w:r>
            <w:r w:rsidRPr="00037B6E">
              <w:rPr>
                <w:rFonts w:hint="eastAsia"/>
                <w:sz w:val="24"/>
                <w:szCs w:val="24"/>
              </w:rPr>
              <w:t xml:space="preserve">no </w:t>
            </w:r>
            <w:r w:rsidRPr="00037B6E">
              <w:rPr>
                <w:sz w:val="24"/>
                <w:szCs w:val="24"/>
              </w:rPr>
              <w:t xml:space="preserve">SMQ </w:t>
            </w:r>
            <w:r w:rsidRPr="00037B6E">
              <w:rPr>
                <w:rFonts w:hint="eastAsia"/>
                <w:sz w:val="24"/>
                <w:szCs w:val="24"/>
              </w:rPr>
              <w:t>data</w:t>
            </w:r>
          </w:p>
        </w:tc>
      </w:tr>
      <w:tr w:rsidR="0031522F" w:rsidRPr="00037B6E" w14:paraId="611635B5" w14:textId="77777777" w:rsidTr="00912622">
        <w:tc>
          <w:tcPr>
            <w:tcW w:w="532" w:type="dxa"/>
          </w:tcPr>
          <w:p w14:paraId="5A1D9208" w14:textId="441CF887" w:rsidR="0031522F" w:rsidRPr="00037B6E" w:rsidRDefault="007D457E" w:rsidP="007D457E">
            <w:pPr>
              <w:jc w:val="left"/>
              <w:rPr>
                <w:rFonts w:hint="eastAsia"/>
                <w:sz w:val="24"/>
                <w:szCs w:val="24"/>
              </w:rPr>
            </w:pPr>
            <w:r w:rsidRPr="00037B6E">
              <w:rPr>
                <w:rFonts w:hint="eastAsia"/>
                <w:sz w:val="24"/>
                <w:szCs w:val="24"/>
              </w:rPr>
              <w:t>14</w:t>
            </w:r>
          </w:p>
        </w:tc>
        <w:tc>
          <w:tcPr>
            <w:tcW w:w="12050" w:type="dxa"/>
          </w:tcPr>
          <w:p w14:paraId="3B781B18" w14:textId="77777777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sz w:val="24"/>
                <w:szCs w:val="24"/>
              </w:rPr>
              <w:t>Shorer, M., Ben-Haim, Z., Klauzner, N., Ben-Ami, N., &amp; Fennig, S. (2023). The Integrated Behavior Therapy for Children with Selective Mutism: Findings from an open pilot study in a naturalistic setting. Clinical Child Psychology and Psychiatry, 28(2), 465</w:t>
            </w:r>
            <w:r w:rsidRPr="00037B6E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037B6E">
              <w:rPr>
                <w:sz w:val="24"/>
                <w:szCs w:val="24"/>
              </w:rPr>
              <w:t>482.</w:t>
            </w:r>
          </w:p>
        </w:tc>
        <w:tc>
          <w:tcPr>
            <w:tcW w:w="2835" w:type="dxa"/>
          </w:tcPr>
          <w:p w14:paraId="09B43306" w14:textId="24E70355" w:rsidR="0031522F" w:rsidRPr="00037B6E" w:rsidRDefault="0075411C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rFonts w:hint="eastAsia"/>
                <w:sz w:val="24"/>
                <w:szCs w:val="24"/>
              </w:rPr>
              <w:t>h</w:t>
            </w:r>
            <w:r w:rsidR="0031522F" w:rsidRPr="00037B6E">
              <w:rPr>
                <w:rFonts w:hint="eastAsia"/>
                <w:sz w:val="24"/>
                <w:szCs w:val="24"/>
              </w:rPr>
              <w:t>）</w:t>
            </w:r>
            <w:r w:rsidR="0031522F" w:rsidRPr="00037B6E">
              <w:rPr>
                <w:sz w:val="24"/>
                <w:szCs w:val="24"/>
              </w:rPr>
              <w:t>no statistical values</w:t>
            </w:r>
          </w:p>
        </w:tc>
      </w:tr>
      <w:tr w:rsidR="0031522F" w:rsidRPr="00037B6E" w14:paraId="3A14F68B" w14:textId="77777777" w:rsidTr="00912622">
        <w:tc>
          <w:tcPr>
            <w:tcW w:w="532" w:type="dxa"/>
          </w:tcPr>
          <w:p w14:paraId="2C175A5D" w14:textId="782C8E3C" w:rsidR="0031522F" w:rsidRPr="00037B6E" w:rsidRDefault="007D457E" w:rsidP="007D457E">
            <w:pPr>
              <w:jc w:val="left"/>
              <w:rPr>
                <w:rFonts w:hint="eastAsia"/>
                <w:sz w:val="24"/>
                <w:szCs w:val="24"/>
              </w:rPr>
            </w:pPr>
            <w:r w:rsidRPr="00037B6E">
              <w:rPr>
                <w:rFonts w:hint="eastAsia"/>
                <w:sz w:val="24"/>
                <w:szCs w:val="24"/>
              </w:rPr>
              <w:t>15</w:t>
            </w:r>
          </w:p>
        </w:tc>
        <w:tc>
          <w:tcPr>
            <w:tcW w:w="12050" w:type="dxa"/>
          </w:tcPr>
          <w:p w14:paraId="16F2740F" w14:textId="77777777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sz w:val="24"/>
                <w:szCs w:val="24"/>
              </w:rPr>
              <w:t xml:space="preserve">van Deurs, J. R., McLay, L. K., France, K. G., &amp; Blampied, N. M. (2021). Sequential implementation of functional behavior assessment-informed treatment components for sleep disturbance in autism: A case study. Behavioral </w:t>
            </w:r>
            <w:r w:rsidRPr="00037B6E">
              <w:rPr>
                <w:rFonts w:hint="eastAsia"/>
                <w:sz w:val="24"/>
                <w:szCs w:val="24"/>
              </w:rPr>
              <w:t>S</w:t>
            </w:r>
            <w:r w:rsidRPr="00037B6E">
              <w:rPr>
                <w:sz w:val="24"/>
                <w:szCs w:val="24"/>
              </w:rPr>
              <w:t xml:space="preserve">leep </w:t>
            </w:r>
            <w:r w:rsidRPr="00037B6E">
              <w:rPr>
                <w:rFonts w:hint="eastAsia"/>
                <w:sz w:val="24"/>
                <w:szCs w:val="24"/>
              </w:rPr>
              <w:t>M</w:t>
            </w:r>
            <w:r w:rsidRPr="00037B6E">
              <w:rPr>
                <w:sz w:val="24"/>
                <w:szCs w:val="24"/>
              </w:rPr>
              <w:t>edicine, 19(3), 333</w:t>
            </w:r>
            <w:r w:rsidRPr="00037B6E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037B6E">
              <w:rPr>
                <w:sz w:val="24"/>
                <w:szCs w:val="24"/>
              </w:rPr>
              <w:t>351.</w:t>
            </w:r>
          </w:p>
        </w:tc>
        <w:tc>
          <w:tcPr>
            <w:tcW w:w="2835" w:type="dxa"/>
          </w:tcPr>
          <w:p w14:paraId="6E5B27DB" w14:textId="77777777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sz w:val="24"/>
                <w:szCs w:val="24"/>
              </w:rPr>
              <w:t>e</w:t>
            </w:r>
            <w:r w:rsidRPr="00037B6E">
              <w:rPr>
                <w:rFonts w:hint="eastAsia"/>
                <w:sz w:val="24"/>
                <w:szCs w:val="24"/>
              </w:rPr>
              <w:t>)</w:t>
            </w:r>
            <w:r w:rsidRPr="00037B6E">
              <w:rPr>
                <w:sz w:val="24"/>
                <w:szCs w:val="24"/>
              </w:rPr>
              <w:t xml:space="preserve"> </w:t>
            </w:r>
            <w:r w:rsidRPr="00037B6E">
              <w:rPr>
                <w:rFonts w:hint="eastAsia"/>
                <w:sz w:val="24"/>
                <w:szCs w:val="24"/>
              </w:rPr>
              <w:t xml:space="preserve">no </w:t>
            </w:r>
            <w:r w:rsidRPr="00037B6E">
              <w:rPr>
                <w:sz w:val="24"/>
                <w:szCs w:val="24"/>
              </w:rPr>
              <w:t xml:space="preserve">SMQ </w:t>
            </w:r>
            <w:r w:rsidRPr="00037B6E">
              <w:rPr>
                <w:rFonts w:hint="eastAsia"/>
                <w:sz w:val="24"/>
                <w:szCs w:val="24"/>
              </w:rPr>
              <w:t>data</w:t>
            </w:r>
          </w:p>
        </w:tc>
      </w:tr>
      <w:tr w:rsidR="0031522F" w:rsidRPr="00037B6E" w14:paraId="18E34B46" w14:textId="77777777" w:rsidTr="00912622">
        <w:tc>
          <w:tcPr>
            <w:tcW w:w="532" w:type="dxa"/>
          </w:tcPr>
          <w:p w14:paraId="5143013F" w14:textId="0EBADD4E" w:rsidR="0031522F" w:rsidRPr="00037B6E" w:rsidRDefault="007D457E" w:rsidP="007D457E">
            <w:pPr>
              <w:jc w:val="left"/>
              <w:rPr>
                <w:rFonts w:hint="eastAsia"/>
                <w:sz w:val="24"/>
                <w:szCs w:val="24"/>
              </w:rPr>
            </w:pPr>
            <w:r w:rsidRPr="00037B6E">
              <w:rPr>
                <w:rFonts w:hint="eastAsia"/>
                <w:sz w:val="24"/>
                <w:szCs w:val="24"/>
              </w:rPr>
              <w:t>16</w:t>
            </w:r>
          </w:p>
        </w:tc>
        <w:tc>
          <w:tcPr>
            <w:tcW w:w="12050" w:type="dxa"/>
          </w:tcPr>
          <w:p w14:paraId="1293A40F" w14:textId="77777777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sz w:val="24"/>
                <w:szCs w:val="24"/>
              </w:rPr>
              <w:t>Y</w:t>
            </w:r>
            <w:r w:rsidRPr="00037B6E">
              <w:rPr>
                <w:rFonts w:hint="eastAsia"/>
                <w:sz w:val="24"/>
                <w:szCs w:val="24"/>
              </w:rPr>
              <w:t>amanaka, T</w:t>
            </w:r>
            <w:r w:rsidRPr="00037B6E">
              <w:rPr>
                <w:sz w:val="24"/>
                <w:szCs w:val="24"/>
              </w:rPr>
              <w:t>., I</w:t>
            </w:r>
            <w:r w:rsidRPr="00037B6E">
              <w:rPr>
                <w:rFonts w:hint="eastAsia"/>
                <w:sz w:val="24"/>
                <w:szCs w:val="24"/>
              </w:rPr>
              <w:t>shida, Y,</w:t>
            </w:r>
            <w:r w:rsidRPr="00037B6E">
              <w:rPr>
                <w:sz w:val="24"/>
                <w:szCs w:val="24"/>
              </w:rPr>
              <w:t xml:space="preserve"> &amp; Inoue, M. (2023). Long-term outcome of selective mutism: factors influencing the feeling of being cured. European Child &amp; Adolescent Psychiatry, 32(11), 2209</w:t>
            </w:r>
            <w:r w:rsidRPr="00037B6E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037B6E">
              <w:rPr>
                <w:sz w:val="24"/>
                <w:szCs w:val="24"/>
              </w:rPr>
              <w:t>2221.</w:t>
            </w:r>
          </w:p>
        </w:tc>
        <w:tc>
          <w:tcPr>
            <w:tcW w:w="2835" w:type="dxa"/>
          </w:tcPr>
          <w:p w14:paraId="45098294" w14:textId="77777777" w:rsidR="0031522F" w:rsidRPr="00037B6E" w:rsidRDefault="0031522F" w:rsidP="007D457E">
            <w:pPr>
              <w:jc w:val="left"/>
              <w:rPr>
                <w:sz w:val="24"/>
                <w:szCs w:val="24"/>
              </w:rPr>
            </w:pPr>
            <w:r w:rsidRPr="00037B6E">
              <w:rPr>
                <w:rFonts w:hint="eastAsia"/>
                <w:sz w:val="24"/>
                <w:szCs w:val="24"/>
              </w:rPr>
              <w:t>g) no SM intervention</w:t>
            </w:r>
          </w:p>
        </w:tc>
      </w:tr>
    </w:tbl>
    <w:p w14:paraId="6CDF6386" w14:textId="5854F673" w:rsidR="002866AF" w:rsidRPr="00037B6E" w:rsidRDefault="002866AF" w:rsidP="0031522F">
      <w:pPr>
        <w:rPr>
          <w:sz w:val="24"/>
          <w:szCs w:val="24"/>
        </w:rPr>
      </w:pPr>
    </w:p>
    <w:sectPr w:rsidR="002866AF" w:rsidRPr="00037B6E" w:rsidSect="007D457E">
      <w:headerReference w:type="default" r:id="rId8"/>
      <w:footerReference w:type="default" r:id="rId9"/>
      <w:type w:val="continuous"/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54A5C" w14:textId="77777777" w:rsidR="00BC61BD" w:rsidRDefault="00BC61BD">
      <w:r>
        <w:separator/>
      </w:r>
    </w:p>
  </w:endnote>
  <w:endnote w:type="continuationSeparator" w:id="0">
    <w:p w14:paraId="10411A47" w14:textId="77777777" w:rsidR="00BC61BD" w:rsidRDefault="00BC6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N W3">
    <w:altName w:val="游ゴシック"/>
    <w:charset w:val="80"/>
    <w:family w:val="swiss"/>
    <w:pitch w:val="variable"/>
    <w:sig w:usb0="E00002FF" w:usb1="7AC7FFFF" w:usb2="00000012" w:usb3="00000000" w:csb0="0002000D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76406" w14:textId="77777777" w:rsidR="002866AF" w:rsidRDefault="00000000">
    <w:pPr>
      <w:pStyle w:val="ab"/>
      <w:jc w:val="center"/>
      <w:rPr>
        <w:rFonts w:ascii="Century" w:eastAsia="Century" w:hAnsi="Century" w:cs="Century"/>
      </w:rPr>
    </w:pPr>
    <w:r>
      <w:fldChar w:fldCharType="begin"/>
    </w:r>
    <w:r>
      <w:instrText>PAGE   \* MERGEFORMAT</w:instrText>
    </w:r>
    <w:r>
      <w:fldChar w:fldCharType="separate"/>
    </w:r>
    <w:r>
      <w:rPr>
        <w:rFonts w:ascii="Century" w:eastAsia="Century" w:hAnsi="Century" w:cs="Century"/>
      </w:rPr>
      <w:t>1</w:t>
    </w:r>
    <w:r>
      <w:rPr>
        <w:rFonts w:ascii="Century" w:eastAsia="Century" w:hAnsi="Century" w:cs="Century"/>
      </w:rPr>
      <w:fldChar w:fldCharType="end"/>
    </w:r>
  </w:p>
  <w:p w14:paraId="2D2527A7" w14:textId="77777777" w:rsidR="002866AF" w:rsidRDefault="002866A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812AE" w14:textId="77777777" w:rsidR="00BC61BD" w:rsidRDefault="00BC61BD">
      <w:r>
        <w:separator/>
      </w:r>
    </w:p>
  </w:footnote>
  <w:footnote w:type="continuationSeparator" w:id="0">
    <w:p w14:paraId="5DEB1E8B" w14:textId="77777777" w:rsidR="00BC61BD" w:rsidRDefault="00BC61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4268F" w14:textId="77777777" w:rsidR="002866AF" w:rsidRDefault="002866AF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14B0B"/>
    <w:multiLevelType w:val="multilevel"/>
    <w:tmpl w:val="473C363A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" w15:restartNumberingAfterBreak="0">
    <w:nsid w:val="06407C6D"/>
    <w:multiLevelType w:val="multilevel"/>
    <w:tmpl w:val="6AD60E4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9221FC"/>
    <w:multiLevelType w:val="multilevel"/>
    <w:tmpl w:val="0C1CD58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0911035A"/>
    <w:multiLevelType w:val="multilevel"/>
    <w:tmpl w:val="9E26B89E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0A5B69CC"/>
    <w:multiLevelType w:val="multilevel"/>
    <w:tmpl w:val="FBBACF00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0F4B6015"/>
    <w:multiLevelType w:val="multilevel"/>
    <w:tmpl w:val="9B06DA7E"/>
    <w:lvl w:ilvl="0">
      <w:start w:val="1"/>
      <w:numFmt w:val="decimal"/>
      <w:lvlText w:val="%1)"/>
      <w:lvlJc w:val="left"/>
      <w:pPr>
        <w:ind w:left="3681" w:hanging="4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(%2)"/>
      <w:lvlJc w:val="left"/>
      <w:pPr>
        <w:ind w:left="4101" w:hanging="420"/>
      </w:p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6" w15:restartNumberingAfterBreak="0">
    <w:nsid w:val="0FC82811"/>
    <w:multiLevelType w:val="multilevel"/>
    <w:tmpl w:val="8D322B82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7" w15:restartNumberingAfterBreak="0">
    <w:nsid w:val="1AF73931"/>
    <w:multiLevelType w:val="multilevel"/>
    <w:tmpl w:val="ACFCB64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8" w15:restartNumberingAfterBreak="0">
    <w:nsid w:val="30A14306"/>
    <w:multiLevelType w:val="multilevel"/>
    <w:tmpl w:val="07CC9D30"/>
    <w:lvl w:ilvl="0">
      <w:start w:val="1"/>
      <w:numFmt w:val="decimal"/>
      <w:lvlText w:val=""/>
      <w:lvlJc w:val="left"/>
      <w:pPr>
        <w:ind w:left="440" w:hanging="440"/>
      </w:pPr>
      <w:rPr>
        <w:rFonts w:ascii="Wingdings" w:eastAsia="Wingdings" w:hAnsi="Wingdings" w:cs="Wingding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B4A52B7"/>
    <w:multiLevelType w:val="multilevel"/>
    <w:tmpl w:val="0F465DB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0" w15:restartNumberingAfterBreak="0">
    <w:nsid w:val="454F1970"/>
    <w:multiLevelType w:val="multilevel"/>
    <w:tmpl w:val="3B42DF2A"/>
    <w:lvl w:ilvl="0">
      <w:start w:val="1"/>
      <w:numFmt w:val="lowerLetter"/>
      <w:lvlText w:val="(%1)"/>
      <w:lvlJc w:val="left"/>
      <w:pPr>
        <w:ind w:left="1200" w:hanging="36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1" w15:restartNumberingAfterBreak="0">
    <w:nsid w:val="478D350B"/>
    <w:multiLevelType w:val="multilevel"/>
    <w:tmpl w:val="4D20462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4D5740BF"/>
    <w:multiLevelType w:val="multilevel"/>
    <w:tmpl w:val="609CD00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3" w15:restartNumberingAfterBreak="0">
    <w:nsid w:val="50EF26B9"/>
    <w:multiLevelType w:val="multilevel"/>
    <w:tmpl w:val="7A6ABD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4" w15:restartNumberingAfterBreak="0">
    <w:nsid w:val="543F44AD"/>
    <w:multiLevelType w:val="multilevel"/>
    <w:tmpl w:val="AB9ADEC6"/>
    <w:lvl w:ilvl="0">
      <w:start w:val="1"/>
      <w:numFmt w:val="decimal"/>
      <w:lvlText w:val="%1."/>
      <w:lvlJc w:val="left"/>
      <w:pPr>
        <w:ind w:left="465" w:hanging="36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5" w15:restartNumberingAfterBreak="0">
    <w:nsid w:val="59FE337A"/>
    <w:multiLevelType w:val="multilevel"/>
    <w:tmpl w:val="1FCA02D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6" w15:restartNumberingAfterBreak="0">
    <w:nsid w:val="5A857160"/>
    <w:multiLevelType w:val="multilevel"/>
    <w:tmpl w:val="8EE459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7" w15:restartNumberingAfterBreak="0">
    <w:nsid w:val="63C65CE4"/>
    <w:multiLevelType w:val="multilevel"/>
    <w:tmpl w:val="D5ACDA30"/>
    <w:lvl w:ilvl="0">
      <w:start w:val="1"/>
      <w:numFmt w:val="decimal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8" w15:restartNumberingAfterBreak="0">
    <w:nsid w:val="65650D9C"/>
    <w:multiLevelType w:val="multilevel"/>
    <w:tmpl w:val="822E97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9" w15:restartNumberingAfterBreak="0">
    <w:nsid w:val="68240AF4"/>
    <w:multiLevelType w:val="multilevel"/>
    <w:tmpl w:val="D71496C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0" w15:restartNumberingAfterBreak="0">
    <w:nsid w:val="685673C5"/>
    <w:multiLevelType w:val="hybridMultilevel"/>
    <w:tmpl w:val="481813CE"/>
    <w:lvl w:ilvl="0" w:tplc="83FE294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6FF1532D"/>
    <w:multiLevelType w:val="multilevel"/>
    <w:tmpl w:val="5C00DD8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2" w15:restartNumberingAfterBreak="0">
    <w:nsid w:val="757B39D9"/>
    <w:multiLevelType w:val="multilevel"/>
    <w:tmpl w:val="F6A4B9C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3" w15:restartNumberingAfterBreak="0">
    <w:nsid w:val="771070DA"/>
    <w:multiLevelType w:val="multilevel"/>
    <w:tmpl w:val="744E4848"/>
    <w:lvl w:ilvl="0">
      <w:start w:val="1"/>
      <w:numFmt w:val="decimal"/>
      <w:lvlText w:val="・"/>
      <w:lvlJc w:val="left"/>
      <w:pPr>
        <w:ind w:left="360" w:hanging="360"/>
      </w:pPr>
      <w:rPr>
        <w:rFonts w:ascii="ＭＳ 明朝" w:eastAsia="ＭＳ 明朝" w:hAnsi="ＭＳ 明朝" w:cs="ＭＳ 明朝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CC61344"/>
    <w:multiLevelType w:val="multilevel"/>
    <w:tmpl w:val="B7B058B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num w:numId="1" w16cid:durableId="595600357">
    <w:abstractNumId w:val="6"/>
  </w:num>
  <w:num w:numId="2" w16cid:durableId="2029721855">
    <w:abstractNumId w:val="12"/>
  </w:num>
  <w:num w:numId="3" w16cid:durableId="1146237302">
    <w:abstractNumId w:val="15"/>
  </w:num>
  <w:num w:numId="4" w16cid:durableId="1726836046">
    <w:abstractNumId w:val="18"/>
  </w:num>
  <w:num w:numId="5" w16cid:durableId="2123988375">
    <w:abstractNumId w:val="4"/>
  </w:num>
  <w:num w:numId="6" w16cid:durableId="1731030221">
    <w:abstractNumId w:val="5"/>
  </w:num>
  <w:num w:numId="7" w16cid:durableId="511191969">
    <w:abstractNumId w:val="16"/>
  </w:num>
  <w:num w:numId="8" w16cid:durableId="1837332146">
    <w:abstractNumId w:val="8"/>
  </w:num>
  <w:num w:numId="9" w16cid:durableId="1858305842">
    <w:abstractNumId w:val="19"/>
  </w:num>
  <w:num w:numId="10" w16cid:durableId="1379009785">
    <w:abstractNumId w:val="24"/>
  </w:num>
  <w:num w:numId="11" w16cid:durableId="978219865">
    <w:abstractNumId w:val="13"/>
  </w:num>
  <w:num w:numId="12" w16cid:durableId="360477457">
    <w:abstractNumId w:val="17"/>
  </w:num>
  <w:num w:numId="13" w16cid:durableId="1134760851">
    <w:abstractNumId w:val="22"/>
  </w:num>
  <w:num w:numId="14" w16cid:durableId="1892187267">
    <w:abstractNumId w:val="9"/>
  </w:num>
  <w:num w:numId="15" w16cid:durableId="401412820">
    <w:abstractNumId w:val="0"/>
  </w:num>
  <w:num w:numId="16" w16cid:durableId="1637644085">
    <w:abstractNumId w:val="10"/>
  </w:num>
  <w:num w:numId="17" w16cid:durableId="1501235512">
    <w:abstractNumId w:val="7"/>
  </w:num>
  <w:num w:numId="18" w16cid:durableId="1262176437">
    <w:abstractNumId w:val="1"/>
  </w:num>
  <w:num w:numId="19" w16cid:durableId="1091780295">
    <w:abstractNumId w:val="2"/>
  </w:num>
  <w:num w:numId="20" w16cid:durableId="1443527861">
    <w:abstractNumId w:val="21"/>
  </w:num>
  <w:num w:numId="21" w16cid:durableId="189994501">
    <w:abstractNumId w:val="11"/>
  </w:num>
  <w:num w:numId="22" w16cid:durableId="148252759">
    <w:abstractNumId w:val="14"/>
  </w:num>
  <w:num w:numId="23" w16cid:durableId="459081497">
    <w:abstractNumId w:val="3"/>
  </w:num>
  <w:num w:numId="24" w16cid:durableId="1620254790">
    <w:abstractNumId w:val="23"/>
  </w:num>
  <w:num w:numId="25" w16cid:durableId="90198416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6AF"/>
    <w:rsid w:val="0000179D"/>
    <w:rsid w:val="000216EF"/>
    <w:rsid w:val="00037B6E"/>
    <w:rsid w:val="00083AC7"/>
    <w:rsid w:val="000A1D87"/>
    <w:rsid w:val="000B6B9D"/>
    <w:rsid w:val="001526CE"/>
    <w:rsid w:val="00190FA6"/>
    <w:rsid w:val="001B3C69"/>
    <w:rsid w:val="00211D8A"/>
    <w:rsid w:val="002268FF"/>
    <w:rsid w:val="00230858"/>
    <w:rsid w:val="002866AF"/>
    <w:rsid w:val="0031522F"/>
    <w:rsid w:val="003C5409"/>
    <w:rsid w:val="003D190E"/>
    <w:rsid w:val="00405DF2"/>
    <w:rsid w:val="00411F98"/>
    <w:rsid w:val="004209B2"/>
    <w:rsid w:val="004929AA"/>
    <w:rsid w:val="004B7859"/>
    <w:rsid w:val="004D17A4"/>
    <w:rsid w:val="00536D81"/>
    <w:rsid w:val="00585EC2"/>
    <w:rsid w:val="005E3DFD"/>
    <w:rsid w:val="006E399D"/>
    <w:rsid w:val="00744B29"/>
    <w:rsid w:val="0075411C"/>
    <w:rsid w:val="007C2FEA"/>
    <w:rsid w:val="007D457E"/>
    <w:rsid w:val="008B6B8D"/>
    <w:rsid w:val="00912622"/>
    <w:rsid w:val="00945DA8"/>
    <w:rsid w:val="00953A02"/>
    <w:rsid w:val="00955903"/>
    <w:rsid w:val="009A1955"/>
    <w:rsid w:val="00A10884"/>
    <w:rsid w:val="00A755DF"/>
    <w:rsid w:val="00AD054A"/>
    <w:rsid w:val="00AF00B9"/>
    <w:rsid w:val="00B00A87"/>
    <w:rsid w:val="00B127E0"/>
    <w:rsid w:val="00B66235"/>
    <w:rsid w:val="00B6660E"/>
    <w:rsid w:val="00B76710"/>
    <w:rsid w:val="00BB271A"/>
    <w:rsid w:val="00BB610F"/>
    <w:rsid w:val="00BC61BD"/>
    <w:rsid w:val="00C37FB4"/>
    <w:rsid w:val="00C8466A"/>
    <w:rsid w:val="00CA20C8"/>
    <w:rsid w:val="00CE1733"/>
    <w:rsid w:val="00D05E30"/>
    <w:rsid w:val="00D11E8C"/>
    <w:rsid w:val="00DA49CA"/>
    <w:rsid w:val="00E64F30"/>
    <w:rsid w:val="00EA15DE"/>
    <w:rsid w:val="00EC0A35"/>
    <w:rsid w:val="00F406D7"/>
    <w:rsid w:val="00FA21D9"/>
    <w:rsid w:val="00FD6F1A"/>
    <w:rsid w:val="00FE6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1607B9"/>
  <w15:docId w15:val="{3EC6072F-140E-4F3F-8268-FF55D9DE7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a">
    <w:name w:val="Normal"/>
    <w:qFormat/>
    <w:pPr>
      <w:widowControl w:val="0"/>
      <w:jc w:val="both"/>
    </w:pPr>
  </w:style>
  <w:style w:type="paragraph" w:styleId="4">
    <w:name w:val="heading 4"/>
    <w:basedOn w:val="a"/>
    <w:pPr>
      <w:widowControl/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styleId="2">
    <w:name w:val="toc 2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styleId="3">
    <w:name w:val="toc 3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styleId="40">
    <w:name w:val="toc 4"/>
    <w:basedOn w:val="a"/>
    <w:pPr>
      <w:spacing w:line="330" w:lineRule="exact"/>
    </w:pPr>
    <w:rPr>
      <w:rFonts w:ascii="Calibri" w:eastAsia="Calibri" w:hAnsi="Calibri" w:cs="Calibri"/>
    </w:rPr>
  </w:style>
  <w:style w:type="paragraph" w:styleId="5">
    <w:name w:val="toc 5"/>
    <w:basedOn w:val="a"/>
    <w:pPr>
      <w:spacing w:line="330" w:lineRule="exact"/>
    </w:pPr>
    <w:rPr>
      <w:rFonts w:ascii="Calibri" w:eastAsia="Calibri" w:hAnsi="Calibri" w:cs="Calibri"/>
    </w:rPr>
  </w:style>
  <w:style w:type="paragraph" w:styleId="6">
    <w:name w:val="toc 6"/>
    <w:basedOn w:val="a"/>
    <w:pPr>
      <w:spacing w:line="330" w:lineRule="exact"/>
    </w:pPr>
    <w:rPr>
      <w:rFonts w:ascii="Calibri" w:eastAsia="Calibri" w:hAnsi="Calibri" w:cs="Calibri"/>
    </w:rPr>
  </w:style>
  <w:style w:type="paragraph" w:styleId="7">
    <w:name w:val="toc 7"/>
    <w:basedOn w:val="a"/>
    <w:pPr>
      <w:spacing w:line="330" w:lineRule="exact"/>
    </w:pPr>
    <w:rPr>
      <w:rFonts w:ascii="Calibri" w:eastAsia="Calibri" w:hAnsi="Calibri" w:cs="Calibri"/>
    </w:rPr>
  </w:style>
  <w:style w:type="paragraph" w:styleId="8">
    <w:name w:val="toc 8"/>
    <w:basedOn w:val="a"/>
    <w:pPr>
      <w:spacing w:line="330" w:lineRule="exact"/>
    </w:pPr>
    <w:rPr>
      <w:rFonts w:ascii="Calibri" w:eastAsia="Calibri" w:hAnsi="Calibri" w:cs="Calibri"/>
    </w:rPr>
  </w:style>
  <w:style w:type="paragraph" w:styleId="9">
    <w:name w:val="toc 9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annotation reference"/>
    <w:basedOn w:val="a0"/>
    <w:rPr>
      <w:sz w:val="18"/>
    </w:rPr>
  </w:style>
  <w:style w:type="character" w:styleId="a5">
    <w:name w:val="endnote reference"/>
    <w:basedOn w:val="a0"/>
    <w:rPr>
      <w:vertAlign w:val="superscript"/>
    </w:rPr>
  </w:style>
  <w:style w:type="character" w:styleId="a6">
    <w:name w:val="footnote reference"/>
    <w:basedOn w:val="a0"/>
    <w:rPr>
      <w:vertAlign w:val="superscript"/>
    </w:rPr>
  </w:style>
  <w:style w:type="paragraph" w:customStyle="1" w:styleId="TOC11">
    <w:name w:val="TOC 1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21">
    <w:name w:val="TOC 21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customStyle="1" w:styleId="TOC31">
    <w:name w:val="TOC 31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customStyle="1" w:styleId="TOC41">
    <w:name w:val="TOC 4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51">
    <w:name w:val="TOC 5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61">
    <w:name w:val="TOC 6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71">
    <w:name w:val="TOC 7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81">
    <w:name w:val="TOC 8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91">
    <w:name w:val="TOC 91"/>
    <w:basedOn w:val="a"/>
    <w:pPr>
      <w:spacing w:line="330" w:lineRule="exact"/>
    </w:pPr>
    <w:rPr>
      <w:rFonts w:ascii="Calibri" w:eastAsia="Calibri" w:hAnsi="Calibri" w:cs="Calibri"/>
    </w:rPr>
  </w:style>
  <w:style w:type="character" w:customStyle="1" w:styleId="CommentReference1">
    <w:name w:val="Comment Reference1"/>
    <w:basedOn w:val="a0"/>
    <w:rPr>
      <w:sz w:val="16"/>
    </w:rPr>
  </w:style>
  <w:style w:type="character" w:customStyle="1" w:styleId="EndnoteReference1">
    <w:name w:val="Endnote Reference1"/>
    <w:basedOn w:val="a0"/>
    <w:rPr>
      <w:vertAlign w:val="superscript"/>
    </w:rPr>
  </w:style>
  <w:style w:type="character" w:customStyle="1" w:styleId="FootnoteReference1">
    <w:name w:val="Footnote Reference1"/>
    <w:basedOn w:val="a0"/>
    <w:rPr>
      <w:vertAlign w:val="superscript"/>
    </w:rPr>
  </w:style>
  <w:style w:type="paragraph" w:styleId="a7">
    <w:name w:val="List Paragraph"/>
    <w:basedOn w:val="a"/>
    <w:uiPriority w:val="34"/>
    <w:qFormat/>
    <w:pPr>
      <w:ind w:left="840"/>
    </w:pPr>
  </w:style>
  <w:style w:type="character" w:styleId="a8">
    <w:name w:val="Hyperlink"/>
    <w:basedOn w:val="a0"/>
    <w:rPr>
      <w:color w:val="0563C1"/>
      <w:u w:val="single"/>
    </w:r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</w:style>
  <w:style w:type="paragraph" w:styleId="ab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c">
    <w:name w:val="Balloon Text"/>
    <w:basedOn w:val="a"/>
    <w:rPr>
      <w:rFonts w:ascii="ヒラギノ角ゴ ProN W3" w:eastAsia="ヒラギノ角ゴ ProN W3" w:hAnsi="ヒラギノ角ゴ ProN W3" w:cs="ヒラギノ角ゴ ProN W3"/>
      <w:sz w:val="18"/>
    </w:rPr>
  </w:style>
  <w:style w:type="paragraph" w:styleId="ad">
    <w:name w:val="annotation text"/>
    <w:basedOn w:val="a"/>
    <w:pPr>
      <w:jc w:val="left"/>
    </w:pPr>
    <w:rPr>
      <w:rFonts w:ascii="Calibri" w:eastAsia="Calibri" w:hAnsi="Calibri" w:cs="Calibri"/>
      <w:sz w:val="20"/>
    </w:rPr>
  </w:style>
  <w:style w:type="paragraph" w:styleId="ae">
    <w:name w:val="annotation subject"/>
    <w:basedOn w:val="ad"/>
    <w:rPr>
      <w:b/>
    </w:rPr>
  </w:style>
  <w:style w:type="paragraph" w:styleId="af">
    <w:name w:val="Revision"/>
  </w:style>
  <w:style w:type="character" w:styleId="af0">
    <w:name w:val="line number"/>
    <w:basedOn w:val="a0"/>
  </w:style>
  <w:style w:type="character" w:customStyle="1" w:styleId="10">
    <w:name w:val="未解決のメンション1"/>
    <w:basedOn w:val="a0"/>
    <w:rPr>
      <w:color w:val="605E5C"/>
    </w:rPr>
  </w:style>
  <w:style w:type="paragraph" w:styleId="Web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Times" w:eastAsia="Times" w:hAnsi="Times" w:cs="Times"/>
      <w:sz w:val="20"/>
    </w:rPr>
  </w:style>
  <w:style w:type="character" w:customStyle="1" w:styleId="apple-converted-space">
    <w:name w:val="apple-converted-space"/>
    <w:basedOn w:val="a0"/>
  </w:style>
  <w:style w:type="character" w:customStyle="1" w:styleId="UnresolvedMention1">
    <w:name w:val="Unresolved Mention1"/>
    <w:basedOn w:val="a0"/>
    <w:rPr>
      <w:color w:val="605E5C"/>
    </w:rPr>
  </w:style>
  <w:style w:type="character" w:customStyle="1" w:styleId="UnresolvedMention2">
    <w:name w:val="Unresolved Mention2"/>
    <w:basedOn w:val="a0"/>
    <w:rPr>
      <w:color w:val="605E5C"/>
    </w:rPr>
  </w:style>
  <w:style w:type="paragraph" w:customStyle="1" w:styleId="EndNoteBibliography">
    <w:name w:val="EndNote Bibliography"/>
    <w:basedOn w:val="a"/>
    <w:pPr>
      <w:jc w:val="left"/>
    </w:pPr>
    <w:rPr>
      <w:rFonts w:ascii="游明朝" w:eastAsia="游明朝" w:hAnsi="游明朝" w:cs="游明朝"/>
      <w:sz w:val="20"/>
    </w:rPr>
  </w:style>
  <w:style w:type="paragraph" w:customStyle="1" w:styleId="TableList">
    <w:name w:val="Table List"/>
    <w:basedOn w:val="a"/>
    <w:pPr>
      <w:ind w:left="300" w:hanging="300"/>
      <w:jc w:val="left"/>
    </w:pPr>
    <w:rPr>
      <w:rFonts w:ascii="Calibri" w:eastAsia="Calibri" w:hAnsi="Calibri" w:cs="Calibri"/>
      <w:sz w:val="20"/>
    </w:rPr>
  </w:style>
  <w:style w:type="character" w:customStyle="1" w:styleId="GivenName">
    <w:name w:val="Given Name"/>
    <w:basedOn w:val="a0"/>
  </w:style>
  <w:style w:type="character" w:customStyle="1" w:styleId="FamilyName">
    <w:name w:val="Family Name"/>
    <w:basedOn w:val="a0"/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Cross-reference">
    <w:name w:val="Cross-reference"/>
    <w:basedOn w:val="a0"/>
  </w:style>
  <w:style w:type="character" w:customStyle="1" w:styleId="Postcode">
    <w:name w:val="Postcode"/>
    <w:basedOn w:val="a0"/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character" w:customStyle="1" w:styleId="GrantID">
    <w:name w:val="Grant ID"/>
    <w:basedOn w:val="a0"/>
  </w:style>
  <w:style w:type="paragraph" w:customStyle="1" w:styleId="Annotation">
    <w:name w:val="Annotation"/>
    <w:basedOn w:val="a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z w:val="20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</w:rPr>
  </w:style>
  <w:style w:type="paragraph" w:customStyle="1" w:styleId="FootnoteText1">
    <w:name w:val="Footnote Text1"/>
    <w:basedOn w:val="a"/>
    <w:rPr>
      <w:rFonts w:ascii="Calibri" w:eastAsia="Calibri" w:hAnsi="Calibri" w:cs="Calibri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</w:rPr>
  </w:style>
  <w:style w:type="paragraph" w:customStyle="1" w:styleId="Abstract">
    <w:name w:val="Abstract"/>
    <w:basedOn w:val="a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Label">
    <w:name w:val="Label"/>
    <w:basedOn w:val="a0"/>
    <w:rPr>
      <w:vertAlign w:val="baseline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character" w:customStyle="1" w:styleId="Organization">
    <w:name w:val="Organization"/>
    <w:basedOn w:val="a0"/>
  </w:style>
  <w:style w:type="paragraph" w:styleId="20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a0"/>
  </w:style>
  <w:style w:type="paragraph" w:customStyle="1" w:styleId="EndnoteText1">
    <w:name w:val="Endnote Text1"/>
    <w:basedOn w:val="a"/>
    <w:rPr>
      <w:rFonts w:ascii="Calibri" w:eastAsia="Calibri" w:hAnsi="Calibri" w:cs="Calibri"/>
    </w:rPr>
  </w:style>
  <w:style w:type="paragraph" w:styleId="af1">
    <w:name w:val="Block Text"/>
    <w:basedOn w:val="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ArticleTitle">
    <w:name w:val="Article Title"/>
    <w:basedOn w:val="a0"/>
    <w:qFormat/>
  </w:style>
  <w:style w:type="character" w:customStyle="1" w:styleId="City">
    <w:name w:val="City"/>
    <w:basedOn w:val="a0"/>
  </w:style>
  <w:style w:type="character" w:customStyle="1" w:styleId="Region">
    <w:name w:val="Region"/>
    <w:basedOn w:val="a0"/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</w:rPr>
  </w:style>
  <w:style w:type="character" w:customStyle="1" w:styleId="DatabaseLink">
    <w:name w:val="Database Link"/>
    <w:basedOn w:val="a0"/>
  </w:style>
  <w:style w:type="paragraph" w:styleId="41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a"/>
    <w:pPr>
      <w:ind w:left="1440"/>
      <w:outlineLvl w:val="8"/>
    </w:pPr>
    <w:rPr>
      <w:sz w:val="22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Country">
    <w:name w:val="Country"/>
    <w:basedOn w:val="a0"/>
  </w:style>
  <w:style w:type="paragraph" w:customStyle="1" w:styleId="Acknowledgements">
    <w:name w:val="Acknowledgements"/>
    <w:basedOn w:val="a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</w:rPr>
  </w:style>
  <w:style w:type="character" w:customStyle="1" w:styleId="PageNumbers">
    <w:name w:val="Page Numbers"/>
    <w:basedOn w:val="a0"/>
  </w:style>
  <w:style w:type="paragraph" w:styleId="af2">
    <w:name w:val="Normal Indent"/>
    <w:basedOn w:val="a"/>
    <w:qFormat/>
    <w:pPr>
      <w:ind w:firstLine="480"/>
    </w:pPr>
    <w:rPr>
      <w:sz w:val="22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</w:rPr>
  </w:style>
  <w:style w:type="character" w:customStyle="1" w:styleId="VolumeNumber">
    <w:name w:val="Volume Number"/>
    <w:basedOn w:val="a0"/>
  </w:style>
  <w:style w:type="character" w:customStyle="1" w:styleId="GeneSequence">
    <w:name w:val="Gene Sequence"/>
    <w:basedOn w:val="a0"/>
  </w:style>
  <w:style w:type="character" w:customStyle="1" w:styleId="IssueNumber">
    <w:name w:val="Issue Number"/>
    <w:basedOn w:val="a0"/>
  </w:style>
  <w:style w:type="paragraph" w:styleId="af3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</w:style>
  <w:style w:type="paragraph" w:customStyle="1" w:styleId="Biography">
    <w:name w:val="Biography"/>
    <w:basedOn w:val="a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</w:rPr>
  </w:style>
  <w:style w:type="paragraph" w:styleId="30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character" w:customStyle="1" w:styleId="Conference">
    <w:name w:val="Conference"/>
    <w:basedOn w:val="a0"/>
  </w:style>
  <w:style w:type="paragraph" w:customStyle="1" w:styleId="Surtitle">
    <w:name w:val="Sur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HeadSpan">
    <w:name w:val="Table Head Span"/>
    <w:basedOn w:val="a"/>
    <w:pPr>
      <w:shd w:val="clear" w:color="auto" w:fill="FFEDFA"/>
      <w:jc w:val="left"/>
    </w:pPr>
    <w:rPr>
      <w:rFonts w:ascii="Calibri" w:eastAsia="Calibri" w:hAnsi="Calibri" w:cs="Calibri"/>
    </w:rPr>
  </w:style>
  <w:style w:type="character" w:customStyle="1" w:styleId="Miscellaneous">
    <w:name w:val="Miscellaneous"/>
    <w:basedOn w:val="a0"/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Heading">
    <w:name w:val="Heading:"/>
    <w:basedOn w:val="a0"/>
    <w:rPr>
      <w:color w:val="5B89C1"/>
    </w:rPr>
  </w:style>
  <w:style w:type="character" w:customStyle="1" w:styleId="Source">
    <w:name w:val="Source"/>
    <w:basedOn w:val="a0"/>
  </w:style>
  <w:style w:type="paragraph" w:styleId="af4">
    <w:name w:val="Sub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character" w:customStyle="1" w:styleId="NameScientific">
    <w:name w:val="Name Scientific"/>
    <w:basedOn w:val="a0"/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z w:val="20"/>
    </w:rPr>
  </w:style>
  <w:style w:type="paragraph" w:customStyle="1" w:styleId="Quotation">
    <w:name w:val="Quotation"/>
    <w:basedOn w:val="a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character" w:customStyle="1" w:styleId="Year">
    <w:name w:val="Year"/>
    <w:basedOn w:val="a0"/>
  </w:style>
  <w:style w:type="paragraph" w:customStyle="1" w:styleId="TableBody">
    <w:name w:val="Table Body"/>
    <w:basedOn w:val="a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character" w:customStyle="1" w:styleId="Location">
    <w:name w:val="Location"/>
    <w:basedOn w:val="a0"/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paragraph" w:styleId="50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CommentText0">
    <w:name w:val="Comment Text_0"/>
    <w:basedOn w:val="a"/>
    <w:pPr>
      <w:jc w:val="left"/>
    </w:pPr>
    <w:rPr>
      <w:rFonts w:ascii="Calibri" w:eastAsia="Calibri" w:hAnsi="Calibri" w:cs="Calibri"/>
      <w:sz w:val="20"/>
    </w:rPr>
  </w:style>
  <w:style w:type="character" w:customStyle="1" w:styleId="Publisher">
    <w:name w:val="Publisher"/>
    <w:basedOn w:val="a0"/>
  </w:style>
  <w:style w:type="paragraph" w:customStyle="1" w:styleId="Caption1">
    <w:name w:val="Caption1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character" w:styleId="af5">
    <w:name w:val="Placeholder Text"/>
    <w:basedOn w:val="a0"/>
    <w:rPr>
      <w:color w:val="808080"/>
    </w:rPr>
  </w:style>
  <w:style w:type="character" w:customStyle="1" w:styleId="UnresolvedMention3">
    <w:name w:val="Unresolved Mention3"/>
    <w:basedOn w:val="a0"/>
    <w:rPr>
      <w:color w:val="605E5C"/>
    </w:rPr>
  </w:style>
  <w:style w:type="paragraph" w:styleId="af6">
    <w:name w:val="footnote text"/>
    <w:basedOn w:val="a"/>
    <w:rPr>
      <w:rFonts w:ascii="Calibri" w:eastAsia="Calibri" w:hAnsi="Calibri" w:cs="Calibri"/>
    </w:rPr>
  </w:style>
  <w:style w:type="paragraph" w:styleId="af7">
    <w:name w:val="endnote text"/>
    <w:basedOn w:val="a"/>
    <w:rPr>
      <w:rFonts w:ascii="Calibri" w:eastAsia="Calibri" w:hAnsi="Calibri" w:cs="Calibri"/>
    </w:rPr>
  </w:style>
  <w:style w:type="paragraph" w:styleId="af8">
    <w:name w:val="caption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</w:rPr>
  </w:style>
  <w:style w:type="character" w:styleId="af9">
    <w:name w:val="Emphasis"/>
    <w:basedOn w:val="a0"/>
    <w:qFormat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AAFE7-BA93-4253-B561-397590D9E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Evers</dc:creator>
  <cp:lastModifiedBy>飯村　大智</cp:lastModifiedBy>
  <cp:revision>33</cp:revision>
  <dcterms:created xsi:type="dcterms:W3CDTF">2024-06-16T18:37:00Z</dcterms:created>
  <dcterms:modified xsi:type="dcterms:W3CDTF">2025-02-20T13:57:00Z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GrammarlyDocumentId">
    <vt:lpwstr>ba4f980fcc286ae7cd54b2cd283e91f3d65a432454158dfd4ef6ae5532921d84</vt:lpwstr>
  </property>
  <property fmtid="{D5CDD505-2E9C-101B-9397-08002B2CF9AE}" pid="6" name="JournalID">
    <vt:lpwstr/>
  </property>
  <property fmtid="{D5CDD505-2E9C-101B-9397-08002B2CF9AE}" pid="7" name="Merops -Original extension">
    <vt:lpwstr>docx</vt:lpwstr>
  </property>
  <property fmtid="{D5CDD505-2E9C-101B-9397-08002B2CF9AE}" pid="8" name="Merops change count">
    <vt:lpwstr>796</vt:lpwstr>
  </property>
  <property fmtid="{D5CDD505-2E9C-101B-9397-08002B2CF9AE}" pid="9" name="Merops client version">
    <vt:lpwstr/>
  </property>
  <property fmtid="{D5CDD505-2E9C-101B-9397-08002B2CF9AE}" pid="10" name="Merops comment count">
    <vt:lpwstr>0</vt:lpwstr>
  </property>
  <property fmtid="{D5CDD505-2E9C-101B-9397-08002B2CF9AE}" pid="11" name="Merops DOI links count">
    <vt:lpwstr>22</vt:lpwstr>
  </property>
  <property fmtid="{D5CDD505-2E9C-101B-9397-08002B2CF9AE}" pid="12" name="Merops email addresses count">
    <vt:lpwstr>1</vt:lpwstr>
  </property>
  <property fmtid="{D5CDD505-2E9C-101B-9397-08002B2CF9AE}" pid="13" name="Merops figures count">
    <vt:lpwstr>6</vt:lpwstr>
  </property>
  <property fmtid="{D5CDD505-2E9C-101B-9397-08002B2CF9AE}" pid="14" name="Merops footnotes/endnotes count">
    <vt:lpwstr>0</vt:lpwstr>
  </property>
  <property fmtid="{D5CDD505-2E9C-101B-9397-08002B2CF9AE}" pid="15" name="Merops graphics count">
    <vt:lpwstr>0</vt:lpwstr>
  </property>
  <property fmtid="{D5CDD505-2E9C-101B-9397-08002B2CF9AE}" pid="16" name="Merops input file path">
    <vt:lpwstr>bb7cb076-ff63-4e96-a1be-126846021db5.docx</vt:lpwstr>
  </property>
  <property fmtid="{D5CDD505-2E9C-101B-9397-08002B2CF9AE}" pid="17" name="Merops intra-document links count">
    <vt:lpwstr>0</vt:lpwstr>
  </property>
  <property fmtid="{D5CDD505-2E9C-101B-9397-08002B2CF9AE}" pid="18" name="Merops item path">
    <vt:lpwstr>MG-Session/On-20240614/I:798bf702-9567-4d9d-92f7-6358b23f879c</vt:lpwstr>
  </property>
  <property fmtid="{D5CDD505-2E9C-101B-9397-08002B2CF9AE}" pid="19" name="Merops processed date">
    <vt:lpwstr>2024/06/14 08:48:07 AM</vt:lpwstr>
  </property>
  <property fmtid="{D5CDD505-2E9C-101B-9397-08002B2CF9AE}" pid="20" name="Merops PubMed links count">
    <vt:lpwstr>0</vt:lpwstr>
  </property>
  <property fmtid="{D5CDD505-2E9C-101B-9397-08002B2CF9AE}" pid="21" name="Merops references count">
    <vt:lpwstr>30</vt:lpwstr>
  </property>
  <property fmtid="{D5CDD505-2E9C-101B-9397-08002B2CF9AE}" pid="22" name="Merops Scopus links count">
    <vt:lpwstr>0</vt:lpwstr>
  </property>
  <property fmtid="{D5CDD505-2E9C-101B-9397-08002B2CF9AE}" pid="23" name="Merops server path">
    <vt:lpwstr/>
  </property>
  <property fmtid="{D5CDD505-2E9C-101B-9397-08002B2CF9AE}" pid="24" name="Merops Standard Set">
    <vt:lpwstr>merops/preset-v1/springer-vancouver-brackets</vt:lpwstr>
  </property>
  <property fmtid="{D5CDD505-2E9C-101B-9397-08002B2CF9AE}" pid="25" name="Merops Standard Set modified">
    <vt:lpwstr/>
  </property>
  <property fmtid="{D5CDD505-2E9C-101B-9397-08002B2CF9AE}" pid="26" name="Merops tables count">
    <vt:lpwstr>2</vt:lpwstr>
  </property>
  <property fmtid="{D5CDD505-2E9C-101B-9397-08002B2CF9AE}" pid="27" name="Merops word count">
    <vt:lpwstr>5899</vt:lpwstr>
  </property>
  <property fmtid="{D5CDD505-2E9C-101B-9397-08002B2CF9AE}" pid="28" name="Merops WorldCat links count">
    <vt:lpwstr>0</vt:lpwstr>
  </property>
  <property fmtid="{D5CDD505-2E9C-101B-9397-08002B2CF9AE}" pid="29" name="ppub">
    <vt:lpwstr/>
  </property>
  <property fmtid="{D5CDD505-2E9C-101B-9397-08002B2CF9AE}" pid="30" name="Publisher">
    <vt:lpwstr/>
  </property>
  <property fmtid="{D5CDD505-2E9C-101B-9397-08002B2CF9AE}" pid="31" name="Publisher-location">
    <vt:lpwstr/>
  </property>
  <property fmtid="{D5CDD505-2E9C-101B-9397-08002B2CF9AE}" pid="32" name="ReceivedDate">
    <vt:lpwstr/>
  </property>
  <property fmtid="{D5CDD505-2E9C-101B-9397-08002B2CF9AE}" pid="33" name="Reference citation style">
    <vt:lpwstr>numerical</vt:lpwstr>
  </property>
  <property fmtid="{D5CDD505-2E9C-101B-9397-08002B2CF9AE}" pid="34" name="Source">
    <vt:lpwstr/>
  </property>
  <property fmtid="{D5CDD505-2E9C-101B-9397-08002B2CF9AE}" pid="35" name="Source-abbreviated">
    <vt:lpwstr/>
  </property>
  <property fmtid="{D5CDD505-2E9C-101B-9397-08002B2CF9AE}" pid="36" name="Source-short">
    <vt:lpwstr/>
  </property>
  <property fmtid="{D5CDD505-2E9C-101B-9397-08002B2CF9AE}" pid="37" name="Subject">
    <vt:lpwstr/>
  </property>
</Properties>
</file>