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020" w:rsidRPr="00890BAF" w:rsidRDefault="00104020" w:rsidP="00104020">
      <w:pPr>
        <w:pStyle w:val="berschrift1"/>
        <w:spacing w:line="360" w:lineRule="auto"/>
        <w:jc w:val="both"/>
        <w:rPr>
          <w:rFonts w:ascii="Times New Roman" w:hAnsi="Times New Roman" w:cs="Times New Roman"/>
        </w:rPr>
      </w:pPr>
      <w:bookmarkStart w:id="0" w:name="_Hlk190770920"/>
      <w:r w:rsidRPr="00890BAF">
        <w:rPr>
          <w:rFonts w:ascii="Times New Roman" w:hAnsi="Times New Roman" w:cs="Times New Roman"/>
        </w:rPr>
        <w:t>Two-</w:t>
      </w:r>
      <w:bookmarkEnd w:id="0"/>
      <w:r>
        <w:rPr>
          <w:rFonts w:ascii="Times New Roman" w:eastAsia="Times New Roman" w:hAnsi="Times New Roman" w:cs="Times New Roman"/>
        </w:rPr>
        <w:t>color</w:t>
      </w:r>
      <w:bookmarkStart w:id="1" w:name="_Hlk190710917"/>
      <w:r w:rsidRPr="00890BAF">
        <w:rPr>
          <w:rFonts w:ascii="Times New Roman" w:hAnsi="Times New Roman" w:cs="Times New Roman"/>
        </w:rPr>
        <w:t xml:space="preserve"> spheroid model for </w:t>
      </w:r>
      <w:r>
        <w:rPr>
          <w:rFonts w:ascii="Times New Roman" w:eastAsia="Times New Roman" w:hAnsi="Times New Roman" w:cs="Times New Roman"/>
        </w:rPr>
        <w:t xml:space="preserve">determining </w:t>
      </w:r>
      <w:r w:rsidRPr="00890BAF">
        <w:rPr>
          <w:rFonts w:ascii="Times New Roman" w:hAnsi="Times New Roman" w:cs="Times New Roman"/>
        </w:rPr>
        <w:t>the O</w:t>
      </w:r>
      <w:r w:rsidRPr="00890BAF">
        <w:rPr>
          <w:rFonts w:ascii="Times New Roman" w:hAnsi="Times New Roman" w:cs="Times New Roman"/>
          <w:vertAlign w:val="subscript"/>
        </w:rPr>
        <w:t>2</w:t>
      </w:r>
      <w:r w:rsidRPr="00890BAF">
        <w:rPr>
          <w:rFonts w:ascii="Times New Roman" w:hAnsi="Times New Roman" w:cs="Times New Roman"/>
        </w:rPr>
        <w:t>-induced radiosensitivity of HNSCC</w:t>
      </w:r>
      <w:bookmarkEnd w:id="1"/>
    </w:p>
    <w:p w:rsidR="00104020" w:rsidRPr="00F35AF5" w:rsidRDefault="00104020" w:rsidP="00104020">
      <w:pPr>
        <w:spacing w:line="360" w:lineRule="auto"/>
        <w:jc w:val="both"/>
        <w:rPr>
          <w:rFonts w:ascii="Times New Roman" w:hAnsi="Times New Roman" w:cs="Times New Roman"/>
        </w:rPr>
      </w:pPr>
      <w:r w:rsidRPr="00F35AF5">
        <w:rPr>
          <w:rFonts w:ascii="Times New Roman" w:hAnsi="Times New Roman" w:cs="Times New Roman"/>
        </w:rPr>
        <w:t>Danny Knobloch-Sperlich</w:t>
      </w:r>
      <w:r>
        <w:rPr>
          <w:rFonts w:ascii="Times New Roman" w:hAnsi="Times New Roman" w:cs="Times New Roman"/>
          <w:vertAlign w:val="superscript"/>
        </w:rPr>
        <w:t>1</w:t>
      </w:r>
      <w:r w:rsidRPr="00F35AF5">
        <w:rPr>
          <w:rFonts w:ascii="Times New Roman" w:hAnsi="Times New Roman" w:cs="Times New Roman"/>
          <w:vertAlign w:val="superscript"/>
        </w:rPr>
        <w:t>*#</w:t>
      </w:r>
      <w:r w:rsidRPr="00F35AF5">
        <w:rPr>
          <w:rFonts w:ascii="Times New Roman" w:hAnsi="Times New Roman" w:cs="Times New Roman"/>
        </w:rPr>
        <w:t>, Matthias Kappler</w:t>
      </w:r>
      <w:r w:rsidRPr="00F35AF5">
        <w:rPr>
          <w:rFonts w:ascii="Times New Roman" w:hAnsi="Times New Roman" w:cs="Times New Roman"/>
          <w:vertAlign w:val="superscript"/>
        </w:rPr>
        <w:t>2*</w:t>
      </w:r>
      <w:r w:rsidRPr="00F35AF5">
        <w:rPr>
          <w:rFonts w:ascii="Times New Roman" w:hAnsi="Times New Roman" w:cs="Times New Roman"/>
        </w:rPr>
        <w:t>, Markus Glaß</w:t>
      </w:r>
      <w:r w:rsidRPr="00F35AF5">
        <w:rPr>
          <w:rFonts w:ascii="Times New Roman" w:hAnsi="Times New Roman" w:cs="Times New Roman"/>
          <w:vertAlign w:val="superscript"/>
        </w:rPr>
        <w:t>3</w:t>
      </w:r>
      <w:r w:rsidRPr="00F35AF5">
        <w:rPr>
          <w:rFonts w:ascii="Times New Roman" w:hAnsi="Times New Roman" w:cs="Times New Roman"/>
        </w:rPr>
        <w:t>,</w:t>
      </w:r>
      <w:r w:rsidRPr="00F35AF5">
        <w:rPr>
          <w:rFonts w:ascii="Times New Roman" w:hAnsi="Times New Roman" w:cs="Times New Roman"/>
          <w:vertAlign w:val="superscript"/>
        </w:rPr>
        <w:t xml:space="preserve"> </w:t>
      </w:r>
      <w:r w:rsidRPr="00F35AF5">
        <w:rPr>
          <w:rFonts w:ascii="Times New Roman" w:hAnsi="Times New Roman" w:cs="Times New Roman"/>
        </w:rPr>
        <w:t>Antje Güttler</w:t>
      </w:r>
      <w:r w:rsidRPr="00F35AF5">
        <w:rPr>
          <w:rFonts w:ascii="Times New Roman" w:hAnsi="Times New Roman" w:cs="Times New Roman"/>
          <w:vertAlign w:val="superscript"/>
        </w:rPr>
        <w:t>1</w:t>
      </w:r>
      <w:r w:rsidRPr="00F35AF5">
        <w:rPr>
          <w:rFonts w:ascii="Times New Roman" w:hAnsi="Times New Roman" w:cs="Times New Roman"/>
        </w:rPr>
        <w:t>, Marina Petrenko</w:t>
      </w:r>
      <w:r w:rsidRPr="00F35AF5">
        <w:rPr>
          <w:rFonts w:ascii="Times New Roman" w:hAnsi="Times New Roman" w:cs="Times New Roman"/>
          <w:vertAlign w:val="superscript"/>
        </w:rPr>
        <w:t>1</w:t>
      </w:r>
      <w:r w:rsidRPr="00F35AF5">
        <w:rPr>
          <w:rFonts w:ascii="Times New Roman" w:hAnsi="Times New Roman" w:cs="Times New Roman"/>
        </w:rPr>
        <w:t>, Jonas Pyko</w:t>
      </w:r>
      <w:r w:rsidRPr="00F35AF5">
        <w:rPr>
          <w:rFonts w:ascii="Times New Roman" w:hAnsi="Times New Roman" w:cs="Times New Roman"/>
          <w:vertAlign w:val="superscript"/>
        </w:rPr>
        <w:t>4</w:t>
      </w:r>
      <w:r w:rsidRPr="00F35AF5">
        <w:rPr>
          <w:rFonts w:ascii="Times New Roman" w:hAnsi="Times New Roman" w:cs="Times New Roman"/>
        </w:rPr>
        <w:t>, Tony Gutschner</w:t>
      </w:r>
      <w:r w:rsidRPr="00F35AF5">
        <w:rPr>
          <w:rFonts w:ascii="Times New Roman" w:hAnsi="Times New Roman" w:cs="Times New Roman"/>
          <w:vertAlign w:val="superscript"/>
        </w:rPr>
        <w:t>4</w:t>
      </w:r>
      <w:r w:rsidRPr="00F35AF5">
        <w:rPr>
          <w:rFonts w:ascii="Times New Roman" w:hAnsi="Times New Roman" w:cs="Times New Roman"/>
        </w:rPr>
        <w:t>, Frank Tavasol</w:t>
      </w:r>
      <w:r w:rsidRPr="00F35AF5">
        <w:rPr>
          <w:rFonts w:ascii="Times New Roman" w:hAnsi="Times New Roman" w:cs="Times New Roman"/>
          <w:vertAlign w:val="superscript"/>
        </w:rPr>
        <w:t>2</w:t>
      </w:r>
      <w:r w:rsidRPr="00F35AF5">
        <w:rPr>
          <w:rFonts w:ascii="Times New Roman" w:hAnsi="Times New Roman" w:cs="Times New Roman"/>
        </w:rPr>
        <w:t>, Dirk Vordermark</w:t>
      </w:r>
      <w:r w:rsidRPr="00F35AF5">
        <w:rPr>
          <w:rFonts w:ascii="Times New Roman" w:hAnsi="Times New Roman" w:cs="Times New Roman"/>
          <w:vertAlign w:val="superscript"/>
        </w:rPr>
        <w:t>1</w:t>
      </w:r>
      <w:r w:rsidRPr="00F35AF5">
        <w:rPr>
          <w:rFonts w:ascii="Times New Roman" w:hAnsi="Times New Roman" w:cs="Times New Roman"/>
        </w:rPr>
        <w:t xml:space="preserve"> and Matthias Bache</w:t>
      </w:r>
      <w:r w:rsidRPr="00F35AF5">
        <w:rPr>
          <w:rFonts w:ascii="Times New Roman" w:hAnsi="Times New Roman" w:cs="Times New Roman"/>
          <w:vertAlign w:val="superscript"/>
        </w:rPr>
        <w:t>1</w:t>
      </w:r>
    </w:p>
    <w:p w:rsidR="00104020" w:rsidRPr="00E83244" w:rsidRDefault="00104020" w:rsidP="00104020">
      <w:pPr>
        <w:spacing w:line="360" w:lineRule="auto"/>
        <w:jc w:val="both"/>
        <w:rPr>
          <w:rFonts w:ascii="Times New Roman" w:hAnsi="Times New Roman" w:cs="Times New Roman"/>
          <w:sz w:val="20"/>
          <w:szCs w:val="19"/>
        </w:rPr>
      </w:pPr>
      <w:r w:rsidRPr="00E83244">
        <w:rPr>
          <w:rFonts w:ascii="Times New Roman" w:hAnsi="Times New Roman" w:cs="Times New Roman"/>
          <w:sz w:val="20"/>
          <w:szCs w:val="19"/>
          <w:vertAlign w:val="superscript"/>
        </w:rPr>
        <w:t xml:space="preserve">1 </w:t>
      </w:r>
      <w:r w:rsidRPr="00E83244">
        <w:rPr>
          <w:rFonts w:ascii="Times New Roman" w:hAnsi="Times New Roman" w:cs="Times New Roman"/>
          <w:sz w:val="20"/>
          <w:szCs w:val="19"/>
        </w:rPr>
        <w:t>Department of Radiotherapy, Martin Luther University Halle-Wittenberg,</w:t>
      </w:r>
      <w:r w:rsidRPr="00E83244">
        <w:rPr>
          <w:rFonts w:ascii="Times New Roman" w:hAnsi="Times New Roman" w:cs="Times New Roman"/>
        </w:rPr>
        <w:t xml:space="preserve"> </w:t>
      </w:r>
      <w:r w:rsidRPr="00E83244">
        <w:rPr>
          <w:rFonts w:ascii="Times New Roman" w:hAnsi="Times New Roman" w:cs="Times New Roman"/>
          <w:sz w:val="20"/>
          <w:szCs w:val="19"/>
        </w:rPr>
        <w:t>Ernst-Grube-Straße 40, Halle (Saale), Germany</w:t>
      </w:r>
    </w:p>
    <w:p w:rsidR="00104020" w:rsidRPr="00E83244" w:rsidRDefault="00104020" w:rsidP="00104020">
      <w:pPr>
        <w:spacing w:line="360" w:lineRule="auto"/>
        <w:jc w:val="both"/>
        <w:rPr>
          <w:rFonts w:ascii="Times New Roman" w:hAnsi="Times New Roman" w:cs="Times New Roman"/>
          <w:sz w:val="20"/>
          <w:szCs w:val="19"/>
        </w:rPr>
      </w:pPr>
      <w:r w:rsidRPr="00E83244">
        <w:rPr>
          <w:rFonts w:ascii="Times New Roman" w:hAnsi="Times New Roman" w:cs="Times New Roman"/>
          <w:sz w:val="20"/>
          <w:szCs w:val="19"/>
          <w:vertAlign w:val="superscript"/>
        </w:rPr>
        <w:t xml:space="preserve">2 </w:t>
      </w:r>
      <w:r w:rsidRPr="00E83244">
        <w:rPr>
          <w:rFonts w:ascii="Times New Roman" w:hAnsi="Times New Roman" w:cs="Times New Roman"/>
          <w:sz w:val="20"/>
          <w:szCs w:val="19"/>
        </w:rPr>
        <w:t>Department of Oral and Maxillofacial Plastic Surgery, Martin Luther University Halle-Wittenberg, Ernst-Grube-Straße 40, Halle (Saale), Germany</w:t>
      </w:r>
    </w:p>
    <w:p w:rsidR="00104020" w:rsidRPr="00E83244" w:rsidRDefault="00104020" w:rsidP="00104020">
      <w:pPr>
        <w:spacing w:line="360" w:lineRule="auto"/>
        <w:jc w:val="both"/>
        <w:rPr>
          <w:rFonts w:ascii="Times New Roman" w:hAnsi="Times New Roman" w:cs="Times New Roman"/>
          <w:sz w:val="20"/>
          <w:szCs w:val="19"/>
        </w:rPr>
      </w:pPr>
      <w:r w:rsidRPr="00E83244">
        <w:rPr>
          <w:rFonts w:ascii="Times New Roman" w:hAnsi="Times New Roman" w:cs="Times New Roman"/>
          <w:sz w:val="20"/>
          <w:szCs w:val="19"/>
          <w:vertAlign w:val="superscript"/>
        </w:rPr>
        <w:t xml:space="preserve">3 </w:t>
      </w:r>
      <w:r w:rsidRPr="00E83244">
        <w:rPr>
          <w:rFonts w:ascii="Times New Roman" w:hAnsi="Times New Roman" w:cs="Times New Roman"/>
          <w:sz w:val="20"/>
          <w:szCs w:val="19"/>
        </w:rPr>
        <w:t>Institute of Molecular Medicine, Section for Molecular Cell Biology, Faculty of Medicine, Martin Luther University Halle-Wittenberg, Halle (Saale), Germany</w:t>
      </w:r>
    </w:p>
    <w:p w:rsidR="00104020" w:rsidRPr="00E83244" w:rsidRDefault="00104020" w:rsidP="00104020">
      <w:pPr>
        <w:spacing w:line="360" w:lineRule="auto"/>
        <w:jc w:val="both"/>
        <w:rPr>
          <w:rFonts w:ascii="Times New Roman" w:hAnsi="Times New Roman" w:cs="Times New Roman"/>
          <w:sz w:val="20"/>
          <w:szCs w:val="19"/>
        </w:rPr>
      </w:pPr>
      <w:r w:rsidRPr="00E83244">
        <w:rPr>
          <w:rFonts w:ascii="Times New Roman" w:hAnsi="Times New Roman" w:cs="Times New Roman"/>
          <w:sz w:val="20"/>
          <w:szCs w:val="19"/>
          <w:vertAlign w:val="superscript"/>
        </w:rPr>
        <w:t xml:space="preserve">4 </w:t>
      </w:r>
      <w:r w:rsidRPr="00E83244">
        <w:rPr>
          <w:rFonts w:ascii="Times New Roman" w:hAnsi="Times New Roman" w:cs="Times New Roman"/>
          <w:sz w:val="20"/>
          <w:szCs w:val="19"/>
        </w:rPr>
        <w:t xml:space="preserve">Institute of Molecular Medicine, Section for RNA </w:t>
      </w:r>
      <w:r>
        <w:rPr>
          <w:rFonts w:ascii="Times New Roman" w:eastAsia="Calibri" w:hAnsi="Times New Roman" w:cs="Times New Roman"/>
          <w:sz w:val="20"/>
          <w:szCs w:val="19"/>
        </w:rPr>
        <w:t>Biology</w:t>
      </w:r>
      <w:r w:rsidRPr="00E83244">
        <w:rPr>
          <w:rFonts w:ascii="Times New Roman" w:hAnsi="Times New Roman" w:cs="Times New Roman"/>
          <w:sz w:val="20"/>
          <w:szCs w:val="19"/>
        </w:rPr>
        <w:t xml:space="preserve"> and </w:t>
      </w:r>
      <w:r>
        <w:rPr>
          <w:rFonts w:ascii="Times New Roman" w:eastAsia="Calibri" w:hAnsi="Times New Roman" w:cs="Times New Roman"/>
          <w:sz w:val="20"/>
          <w:szCs w:val="19"/>
        </w:rPr>
        <w:t>Pathogenesis</w:t>
      </w:r>
      <w:r w:rsidRPr="00E83244">
        <w:rPr>
          <w:rFonts w:ascii="Times New Roman" w:hAnsi="Times New Roman" w:cs="Times New Roman"/>
          <w:sz w:val="20"/>
          <w:szCs w:val="19"/>
        </w:rPr>
        <w:t>, Faculty of Medicine, Martin Luther University Halle-Wittenberg, Halle (Saale), Germany</w:t>
      </w:r>
    </w:p>
    <w:p w:rsidR="00104020" w:rsidRPr="00E83244" w:rsidRDefault="00104020" w:rsidP="00104020">
      <w:pPr>
        <w:spacing w:line="360" w:lineRule="auto"/>
        <w:jc w:val="both"/>
        <w:rPr>
          <w:rFonts w:ascii="Times New Roman" w:hAnsi="Times New Roman" w:cs="Times New Roman"/>
          <w:szCs w:val="19"/>
        </w:rPr>
      </w:pPr>
    </w:p>
    <w:p w:rsidR="00104020" w:rsidRPr="00E83244" w:rsidRDefault="00104020" w:rsidP="00104020">
      <w:pPr>
        <w:spacing w:line="360" w:lineRule="auto"/>
        <w:jc w:val="both"/>
        <w:rPr>
          <w:rFonts w:ascii="Times New Roman" w:hAnsi="Times New Roman" w:cs="Times New Roman"/>
          <w:szCs w:val="19"/>
        </w:rPr>
      </w:pPr>
      <w:r w:rsidRPr="00E83244">
        <w:rPr>
          <w:rFonts w:ascii="Times New Roman" w:hAnsi="Times New Roman" w:cs="Times New Roman"/>
          <w:szCs w:val="19"/>
        </w:rPr>
        <w:t>* Both authors contributed equally to the manuscript.</w:t>
      </w:r>
    </w:p>
    <w:p w:rsidR="00104020" w:rsidRPr="00E83244" w:rsidRDefault="00104020" w:rsidP="00104020">
      <w:pPr>
        <w:spacing w:line="360" w:lineRule="auto"/>
        <w:jc w:val="both"/>
        <w:rPr>
          <w:rFonts w:ascii="Times New Roman" w:hAnsi="Times New Roman" w:cs="Times New Roman"/>
          <w:szCs w:val="19"/>
        </w:rPr>
      </w:pPr>
      <w:r w:rsidRPr="00E83244">
        <w:rPr>
          <w:rFonts w:ascii="Times New Roman" w:hAnsi="Times New Roman" w:cs="Times New Roman"/>
          <w:szCs w:val="19"/>
        </w:rPr>
        <w:t># Correspondence: danny.knobloch-sperlich@uk-halle.de</w:t>
      </w:r>
    </w:p>
    <w:p w:rsidR="00104020" w:rsidRDefault="00104020" w:rsidP="00104020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:rsidR="00104020" w:rsidRPr="00104020" w:rsidRDefault="00104020" w:rsidP="00104020">
      <w:pPr>
        <w:jc w:val="both"/>
        <w:rPr>
          <w:rFonts w:ascii="Times New Roman" w:hAnsi="Times New Roman" w:cs="Times New Roman"/>
          <w:b/>
          <w:sz w:val="28"/>
        </w:rPr>
      </w:pPr>
      <w:r w:rsidRPr="00104020">
        <w:rPr>
          <w:rFonts w:ascii="Times New Roman" w:hAnsi="Times New Roman" w:cs="Times New Roman"/>
          <w:b/>
          <w:sz w:val="28"/>
        </w:rPr>
        <w:lastRenderedPageBreak/>
        <w:t>Supplementary Figures</w:t>
      </w:r>
    </w:p>
    <w:p w:rsidR="00104020" w:rsidRPr="00890BAF" w:rsidRDefault="00104020" w:rsidP="00104020">
      <w:pPr>
        <w:keepNext/>
        <w:spacing w:line="240" w:lineRule="auto"/>
        <w:jc w:val="center"/>
        <w:rPr>
          <w:rFonts w:ascii="Times New Roman" w:hAnsi="Times New Roman" w:cs="Times New Roman"/>
        </w:rPr>
      </w:pPr>
      <w:r w:rsidRPr="00890BAF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49F09316" wp14:editId="2D479C1E">
            <wp:extent cx="2616074" cy="1876508"/>
            <wp:effectExtent l="0" t="0" r="0" b="0"/>
            <wp:docPr id="5" name="Grafik 5" descr="C:\Users\knoblda\Desktop\Venn Normoxie Hypox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C:\Users\knoblda\Desktop\Venn Normoxie Hypoxi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29" t="18546" r="10563" b="25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758" cy="1882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04020" w:rsidRDefault="00104020" w:rsidP="00104020">
      <w:pPr>
        <w:pStyle w:val="Beschriftung"/>
        <w:jc w:val="both"/>
        <w:rPr>
          <w:rStyle w:val="captions"/>
          <w:rFonts w:ascii="Times New Roman" w:hAnsi="Times New Roman" w:cs="Times New Roman"/>
        </w:rPr>
      </w:pPr>
      <w:r w:rsidRPr="00890BAF">
        <w:rPr>
          <w:rFonts w:ascii="Times New Roman" w:hAnsi="Times New Roman" w:cs="Times New Roman"/>
        </w:rPr>
        <w:t>Supplement</w:t>
      </w:r>
      <w:r>
        <w:rPr>
          <w:rFonts w:ascii="Times New Roman" w:hAnsi="Times New Roman" w:cs="Times New Roman"/>
        </w:rPr>
        <w:t>al Figure 1:</w:t>
      </w:r>
      <w:r w:rsidRPr="00890BAF">
        <w:rPr>
          <w:rFonts w:ascii="Times New Roman" w:hAnsi="Times New Roman" w:cs="Times New Roman"/>
        </w:rPr>
        <w:t xml:space="preserve"> </w:t>
      </w:r>
      <w:proofErr w:type="gramStart"/>
      <w:r w:rsidRPr="00890BAF">
        <w:rPr>
          <w:rFonts w:ascii="Times New Roman" w:hAnsi="Times New Roman" w:cs="Times New Roman"/>
        </w:rPr>
        <w:t>VENN</w:t>
      </w:r>
      <w:proofErr w:type="gramEnd"/>
      <w:r w:rsidRPr="00890BAF">
        <w:rPr>
          <w:rFonts w:ascii="Times New Roman" w:hAnsi="Times New Roman" w:cs="Times New Roman"/>
        </w:rPr>
        <w:t xml:space="preserve"> diagram of GSEA </w:t>
      </w:r>
      <w:r w:rsidRPr="00890BAF">
        <w:rPr>
          <w:rStyle w:val="captions"/>
          <w:rFonts w:ascii="Times New Roman" w:hAnsi="Times New Roman" w:cs="Times New Roman"/>
        </w:rPr>
        <w:t xml:space="preserve">of mRNA-sequencing data considering all protein-coding genes. All HALLMARK Sets from SAS and FaDu cells were compared to each other </w:t>
      </w:r>
      <w:sdt>
        <w:sdtPr>
          <w:rPr>
            <w:rStyle w:val="captions"/>
            <w:rFonts w:ascii="Times New Roman" w:hAnsi="Times New Roman" w:cs="Times New Roman"/>
          </w:rPr>
          <w:alias w:val="To edit, see citavi.com/edit"/>
          <w:tag w:val="CitaviPlaceholder#b3f563ba-9ed7-4ff8-b801-be4e01ec09bc"/>
          <w:id w:val="-532112382"/>
          <w:placeholder>
            <w:docPart w:val="BF77990130684ED38E31956E9BA4E9C6"/>
          </w:placeholder>
        </w:sdtPr>
        <w:sdtContent>
          <w:r>
            <w:rPr>
              <w:rStyle w:val="captions"/>
              <w:rFonts w:ascii="Times New Roman" w:hAnsi="Times New Roman" w:cs="Times New Roman"/>
            </w:rPr>
            <w:fldChar w:fldCharType="begin"/>
          </w:r>
          <w:r>
            <w:rPr>
              <w:rStyle w:val="captions"/>
              <w:rFonts w:ascii="Times New Roman" w:hAnsi="Times New Roman" w:cs="Times New Roman"/>
            </w:rPr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U5YTJlOWY3LWE0MjYtNGJjNS05ODNlLWYwYTBkOTdlYWYyMyIsIlJhbmdlTGVuZ3RoIjo0LCJSZWZlcmVuY2VJZCI6IjAyNmYxYmZjLTk4YjQtNGIxMi1hNzVkLWIwMWM4ZmNiNjU0Z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i4iLCJMYXN0TmFtZSI6Ik9saXZlcm9zIiwiTWlkZGxlTmFtZSI6IkMuIiwiUHJvdGVjdGVkIjpmYWxzZSwiU2V4IjowLCJDcmVhdGVkQnkiOiJqZ21vZm1ud2RqeTBib244OG1jbzBjdmJ6ZXZzaG83MTRleTJqcyIsIkNyZWF0ZWRPbiI6IjIwMjUtMDUtMjhUMTE6MjM6MTRaIiwiTW9kaWZpZWRCeSI6ImpnbW9mbW53ZGp5MGJvbjg4bWNvMGN2YnpldnNobzcxNGV5MmpzIiwiSWQiOiJlMWE2NDcyNi01ZmM5LTQ5ODItOGE4Mi05MzJkYzRjMGZhMTQiLCJNb2RpZmllZE9uIjoiMjAyNS0wNS0yOFQxMToyMzoxNFo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7IiRpZCI6IjkiLCIkdHlwZSI6IlN3aXNzQWNhZGVtaWMuQ2l0YXZpLkxvY2F0aW9uLCBTd2lzc0FjYWRlbWljLkNpdGF2aSIsIkFkZHJlc3MiOnsiJGlkIjoiMTAiLCIkdHlwZSI6IlN3aXNzQWNhZGVtaWMuQ2l0YXZpLkxpbmtlZFJlc291cmNlLCBTd2lzc0FjYWRlbWljLkNpdGF2aSIsIkxpbmtlZFJlc291cmNlVHlwZSI6NSwiT3JpZ2luYWxTdHJpbmciOiJodHRwczovL2Jpb2luZm9ncC5jbmIuY3NpYy5lcy90b29scy92ZW5ueS9pbmRleC5odG1sIiwiVXJpU3RyaW5nIjoiaHR0cHM6Ly9iaW9pbmZvZ3AuY25iLmNzaWMuZXMvdG9vbHMvdmVubnkvaW5kZXguaHRtbC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}</w:instrText>
          </w:r>
          <w:r>
            <w:rPr>
              <w:rStyle w:val="captions"/>
              <w:rFonts w:ascii="Times New Roman" w:hAnsi="Times New Roman" w:cs="Times New Roman"/>
            </w:rPr>
            <w:fldChar w:fldCharType="separate"/>
          </w:r>
          <w:r>
            <w:rPr>
              <w:rStyle w:val="captions"/>
              <w:rFonts w:ascii="Times New Roman" w:hAnsi="Times New Roman" w:cs="Times New Roman"/>
            </w:rPr>
            <w:t>[42]</w:t>
          </w:r>
          <w:r>
            <w:rPr>
              <w:rStyle w:val="captions"/>
              <w:rFonts w:ascii="Times New Roman" w:hAnsi="Times New Roman" w:cs="Times New Roman"/>
            </w:rPr>
            <w:fldChar w:fldCharType="end"/>
          </w:r>
        </w:sdtContent>
      </w:sdt>
      <w:r>
        <w:rPr>
          <w:rStyle w:val="captions"/>
          <w:rFonts w:ascii="Times New Roman" w:hAnsi="Times New Roman" w:cs="Times New Roman"/>
        </w:rPr>
        <w:t>.</w:t>
      </w:r>
    </w:p>
    <w:p w:rsidR="00104020" w:rsidRPr="00104020" w:rsidRDefault="00104020" w:rsidP="00104020"/>
    <w:tbl>
      <w:tblPr>
        <w:tblStyle w:val="Tabellenraster"/>
        <w:tblW w:w="94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6"/>
        <w:gridCol w:w="4721"/>
      </w:tblGrid>
      <w:tr w:rsidR="00104020" w:rsidTr="00BA3E2A">
        <w:tc>
          <w:tcPr>
            <w:tcW w:w="4716" w:type="dxa"/>
          </w:tcPr>
          <w:p w:rsidR="00104020" w:rsidRPr="00890BAF" w:rsidRDefault="00104020" w:rsidP="00BA3E2A">
            <w:pPr>
              <w:rPr>
                <w:color w:val="000000" w:themeColor="text1"/>
              </w:rPr>
            </w:pPr>
            <w:r w:rsidRPr="00890BAF">
              <w:rPr>
                <w:b/>
                <w:color w:val="000000" w:themeColor="text1"/>
              </w:rPr>
              <w:t>A</w:t>
            </w:r>
          </w:p>
        </w:tc>
        <w:tc>
          <w:tcPr>
            <w:tcW w:w="4721" w:type="dxa"/>
          </w:tcPr>
          <w:p w:rsidR="00104020" w:rsidRPr="00890BAF" w:rsidRDefault="00104020" w:rsidP="00BA3E2A">
            <w:pPr>
              <w:rPr>
                <w:color w:val="000000" w:themeColor="text1"/>
              </w:rPr>
            </w:pPr>
            <w:r w:rsidRPr="00890BAF">
              <w:rPr>
                <w:b/>
                <w:color w:val="000000" w:themeColor="text1"/>
              </w:rPr>
              <w:t>B</w:t>
            </w:r>
          </w:p>
        </w:tc>
      </w:tr>
      <w:tr w:rsidR="00104020" w:rsidTr="00BA3E2A">
        <w:tc>
          <w:tcPr>
            <w:tcW w:w="4716" w:type="dxa"/>
          </w:tcPr>
          <w:p w:rsidR="00104020" w:rsidRPr="00890BAF" w:rsidRDefault="00104020" w:rsidP="00BA3E2A">
            <w:pPr>
              <w:rPr>
                <w:color w:val="000000" w:themeColor="text1"/>
              </w:rPr>
            </w:pPr>
            <w:r w:rsidRPr="00396589">
              <w:rPr>
                <w:noProof/>
                <w:color w:val="000000" w:themeColor="text1"/>
                <w:lang w:val="en-GB" w:eastAsia="en-GB"/>
              </w:rPr>
              <w:drawing>
                <wp:inline distT="0" distB="0" distL="0" distR="0" wp14:anchorId="2F3CFEAB" wp14:editId="5202C2CE">
                  <wp:extent cx="2855040" cy="2340000"/>
                  <wp:effectExtent l="0" t="0" r="2540" b="3175"/>
                  <wp:docPr id="15" name="Grafik 15" descr="C:\Users\knoblda\Desktop\SAS 2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4" descr="C:\Users\knoblda\Desktop\SAS 2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71" t="8090" r="12331" b="61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5040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1" w:type="dxa"/>
          </w:tcPr>
          <w:p w:rsidR="00104020" w:rsidRPr="00890BAF" w:rsidRDefault="00104020" w:rsidP="00BA3E2A">
            <w:pPr>
              <w:rPr>
                <w:color w:val="000000" w:themeColor="text1"/>
              </w:rPr>
            </w:pPr>
            <w:r w:rsidRPr="00396589">
              <w:rPr>
                <w:noProof/>
                <w:color w:val="000000" w:themeColor="text1"/>
                <w:lang w:val="en-GB" w:eastAsia="en-GB"/>
              </w:rPr>
              <w:drawing>
                <wp:inline distT="0" distB="0" distL="0" distR="0" wp14:anchorId="4EF84D20" wp14:editId="26B39ADF">
                  <wp:extent cx="2861283" cy="2340000"/>
                  <wp:effectExtent l="0" t="0" r="0" b="3175"/>
                  <wp:docPr id="11" name="Grafik 11" descr="C:\Users\knoblda\Desktop\FaDu 2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3" descr="C:\Users\knoblda\Desktop\FaDu 2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42" t="7490" r="12107" b="64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1283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4020" w:rsidRDefault="00104020" w:rsidP="00104020">
      <w:pPr>
        <w:pStyle w:val="Beschriftung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>Supplemental</w:t>
      </w:r>
      <w:r w:rsidRPr="00890BAF">
        <w:rPr>
          <w:rFonts w:ascii="Times New Roman" w:hAnsi="Times New Roman" w:cs="Times New Roman"/>
        </w:rPr>
        <w:t xml:space="preserve"> Figure </w:t>
      </w:r>
      <w:r>
        <w:rPr>
          <w:rFonts w:ascii="Times New Roman" w:hAnsi="Times New Roman" w:cs="Times New Roman"/>
        </w:rPr>
        <w:t>2</w:t>
      </w:r>
      <w:r w:rsidRPr="00890BAF">
        <w:rPr>
          <w:rFonts w:ascii="Times New Roman" w:hAnsi="Times New Roman" w:cs="Times New Roman"/>
        </w:rPr>
        <w:t xml:space="preserve">: 2D and 3D CellTiter-Glo Luminescent Viability Assay. </w:t>
      </w:r>
      <w:r>
        <w:rPr>
          <w:rFonts w:ascii="Times New Roman" w:eastAsia="Calibri" w:hAnsi="Times New Roman" w:cs="Times New Roman"/>
        </w:rPr>
        <w:t>Dose‒response</w:t>
      </w:r>
      <w:r w:rsidRPr="00890BAF">
        <w:rPr>
          <w:rFonts w:ascii="Times New Roman" w:hAnsi="Times New Roman" w:cs="Times New Roman"/>
        </w:rPr>
        <w:t xml:space="preserve"> curves of ascorbic acid treatment. The different HNSCC </w:t>
      </w:r>
      <w:r>
        <w:rPr>
          <w:rFonts w:ascii="Times New Roman" w:eastAsia="Calibri" w:hAnsi="Times New Roman" w:cs="Times New Roman"/>
        </w:rPr>
        <w:t xml:space="preserve">strains, </w:t>
      </w:r>
      <w:r w:rsidRPr="00890BAF">
        <w:rPr>
          <w:rFonts w:ascii="Times New Roman" w:hAnsi="Times New Roman" w:cs="Times New Roman"/>
        </w:rPr>
        <w:t>SAS (A) and FaDu (B)</w:t>
      </w:r>
      <w:r>
        <w:rPr>
          <w:rFonts w:ascii="Times New Roman" w:eastAsia="Calibri" w:hAnsi="Times New Roman" w:cs="Times New Roman"/>
        </w:rPr>
        <w:t>,</w:t>
      </w:r>
      <w:r w:rsidRPr="00890BAF">
        <w:rPr>
          <w:rFonts w:ascii="Times New Roman" w:hAnsi="Times New Roman" w:cs="Times New Roman"/>
        </w:rPr>
        <w:t xml:space="preserve"> were tested. The IC</w:t>
      </w:r>
      <w:r w:rsidRPr="00890BAF">
        <w:rPr>
          <w:rFonts w:ascii="Times New Roman" w:hAnsi="Times New Roman" w:cs="Times New Roman"/>
          <w:vertAlign w:val="subscript"/>
        </w:rPr>
        <w:t>50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 xml:space="preserve">values </w:t>
      </w:r>
      <w:r>
        <w:rPr>
          <w:rFonts w:ascii="Times New Roman" w:hAnsi="Times New Roman" w:cs="Times New Roman"/>
        </w:rPr>
        <w:t xml:space="preserve">of three independent experiments were determined from the fitted </w:t>
      </w:r>
      <w:r>
        <w:rPr>
          <w:rFonts w:ascii="Times New Roman" w:eastAsia="Calibri" w:hAnsi="Times New Roman" w:cs="Times New Roman"/>
        </w:rPr>
        <w:t>dose‒response</w:t>
      </w:r>
      <w:r>
        <w:rPr>
          <w:rFonts w:ascii="Times New Roman" w:hAnsi="Times New Roman" w:cs="Times New Roman"/>
        </w:rPr>
        <w:t xml:space="preserve"> curves. The dotted lines indicate a relative cell survival rate of 50%.</w:t>
      </w:r>
    </w:p>
    <w:p w:rsidR="00104020" w:rsidRDefault="00104020">
      <w:r>
        <w:br w:type="page"/>
      </w:r>
    </w:p>
    <w:p w:rsidR="00104020" w:rsidRPr="00104020" w:rsidRDefault="00104020" w:rsidP="00104020">
      <w:bookmarkStart w:id="2" w:name="_GoBack"/>
      <w:bookmarkEnd w:id="2"/>
    </w:p>
    <w:p w:rsidR="00104020" w:rsidRPr="00890BAF" w:rsidRDefault="00104020" w:rsidP="00104020">
      <w:pPr>
        <w:jc w:val="both"/>
        <w:rPr>
          <w:rFonts w:ascii="Times New Roman" w:hAnsi="Times New Roman" w:cs="Times New Roman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3464"/>
        <w:gridCol w:w="363"/>
        <w:gridCol w:w="4900"/>
      </w:tblGrid>
      <w:tr w:rsidR="00104020" w:rsidTr="00BA3E2A">
        <w:tc>
          <w:tcPr>
            <w:tcW w:w="279" w:type="dxa"/>
          </w:tcPr>
          <w:p w:rsidR="00104020" w:rsidRPr="00890BAF" w:rsidRDefault="00104020" w:rsidP="00BA3E2A">
            <w:r w:rsidRPr="00890BAF">
              <w:rPr>
                <w:b/>
              </w:rPr>
              <w:t>A</w:t>
            </w:r>
          </w:p>
        </w:tc>
        <w:tc>
          <w:tcPr>
            <w:tcW w:w="3464" w:type="dxa"/>
          </w:tcPr>
          <w:p w:rsidR="00104020" w:rsidRPr="00890BAF" w:rsidRDefault="00104020" w:rsidP="00BA3E2A">
            <w:r w:rsidRPr="000B1FA3">
              <w:rPr>
                <w:noProof/>
                <w:lang w:val="en-GB" w:eastAsia="en-GB"/>
              </w:rPr>
              <w:drawing>
                <wp:inline distT="0" distB="0" distL="0" distR="0" wp14:anchorId="5349131C" wp14:editId="356EF88E">
                  <wp:extent cx="2153667" cy="2340000"/>
                  <wp:effectExtent l="0" t="0" r="0" b="3175"/>
                  <wp:docPr id="17" name="Grafik 17" descr="C:\Users\knoblda\Desktop\SAS Klonogenität 2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5" descr="C:\Users\knoblda\Desktop\SAS Klonogenität 2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667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</w:tcPr>
          <w:p w:rsidR="00104020" w:rsidRPr="00890BAF" w:rsidRDefault="00104020" w:rsidP="00BA3E2A">
            <w:r w:rsidRPr="00890BAF">
              <w:rPr>
                <w:b/>
              </w:rPr>
              <w:t>B</w:t>
            </w:r>
          </w:p>
        </w:tc>
        <w:tc>
          <w:tcPr>
            <w:tcW w:w="4900" w:type="dxa"/>
          </w:tcPr>
          <w:p w:rsidR="00104020" w:rsidRPr="00890BAF" w:rsidRDefault="00104020" w:rsidP="00BA3E2A">
            <w:r w:rsidRPr="00890BAF">
              <w:rPr>
                <w:noProof/>
                <w:lang w:val="en-GB" w:eastAsia="en-GB"/>
              </w:rPr>
              <w:drawing>
                <wp:inline distT="0" distB="0" distL="0" distR="0" wp14:anchorId="7D424230" wp14:editId="71F22D23">
                  <wp:extent cx="2856493" cy="2340000"/>
                  <wp:effectExtent l="0" t="0" r="1270" b="3175"/>
                  <wp:docPr id="1484588283" name="Grafik 1484588283" descr="C:\Users\knoblda\Desktop\VitC\Finaler\SAS DMF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588283" name="Picture 24" descr="C:\Users\knoblda\Desktop\VitC\Finaler\SAS DMF1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6493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4020" w:rsidTr="00BA3E2A">
        <w:trPr>
          <w:trHeight w:val="3691"/>
        </w:trPr>
        <w:tc>
          <w:tcPr>
            <w:tcW w:w="279" w:type="dxa"/>
          </w:tcPr>
          <w:p w:rsidR="00104020" w:rsidRPr="00890BAF" w:rsidRDefault="00104020" w:rsidP="00BA3E2A">
            <w:r w:rsidRPr="00890BAF">
              <w:rPr>
                <w:b/>
              </w:rPr>
              <w:t>C</w:t>
            </w:r>
          </w:p>
        </w:tc>
        <w:tc>
          <w:tcPr>
            <w:tcW w:w="3464" w:type="dxa"/>
          </w:tcPr>
          <w:p w:rsidR="00104020" w:rsidRPr="00890BAF" w:rsidRDefault="00104020" w:rsidP="00BA3E2A">
            <w:r w:rsidRPr="000B1FA3">
              <w:rPr>
                <w:noProof/>
                <w:lang w:val="en-GB" w:eastAsia="en-GB"/>
              </w:rPr>
              <w:drawing>
                <wp:inline distT="0" distB="0" distL="0" distR="0" wp14:anchorId="72BA81BC" wp14:editId="78100A65">
                  <wp:extent cx="2153667" cy="2340000"/>
                  <wp:effectExtent l="0" t="0" r="0" b="3175"/>
                  <wp:docPr id="18" name="Grafik 18" descr="C:\Users\knoblda\Desktop\FaDu Klonogenität 2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6" descr="C:\Users\knoblda\Desktop\FaDu Klonogenität 2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667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" w:type="dxa"/>
          </w:tcPr>
          <w:p w:rsidR="00104020" w:rsidRPr="00890BAF" w:rsidRDefault="00104020" w:rsidP="00BA3E2A">
            <w:r w:rsidRPr="00890BAF">
              <w:rPr>
                <w:b/>
              </w:rPr>
              <w:t>D</w:t>
            </w:r>
          </w:p>
        </w:tc>
        <w:tc>
          <w:tcPr>
            <w:tcW w:w="4900" w:type="dxa"/>
          </w:tcPr>
          <w:p w:rsidR="00104020" w:rsidRPr="00890BAF" w:rsidRDefault="00104020" w:rsidP="00BA3E2A">
            <w:r w:rsidRPr="00890BAF">
              <w:rPr>
                <w:noProof/>
                <w:lang w:val="en-GB" w:eastAsia="en-GB"/>
              </w:rPr>
              <w:drawing>
                <wp:inline distT="0" distB="0" distL="0" distR="0" wp14:anchorId="1A6BC3B3" wp14:editId="333F5902">
                  <wp:extent cx="2860964" cy="2340000"/>
                  <wp:effectExtent l="0" t="0" r="0" b="3175"/>
                  <wp:docPr id="1361205699" name="Grafik 1361205699" descr="C:\Users\knoblda\Desktop\FaDu zytotox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1205699" name="Picture 10" descr="C:\Users\knoblda\Desktop\FaDu zytotox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25" t="11177" r="12378" b="48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964" cy="23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4020" w:rsidRPr="00267776" w:rsidRDefault="00104020" w:rsidP="00104020">
      <w:pPr>
        <w:pStyle w:val="Beschriftung"/>
        <w:jc w:val="both"/>
        <w:rPr>
          <w:rFonts w:ascii="Times New Roman" w:hAnsi="Times New Roman" w:cs="Times New Roman"/>
        </w:rPr>
      </w:pPr>
      <w:bookmarkStart w:id="3" w:name="_Ref176206622"/>
      <w:r>
        <w:rPr>
          <w:rFonts w:ascii="Times New Roman" w:eastAsia="Calibri" w:hAnsi="Times New Roman" w:cs="Times New Roman"/>
        </w:rPr>
        <w:t>Supplemental</w:t>
      </w:r>
      <w:r w:rsidRPr="00890BAF">
        <w:rPr>
          <w:rFonts w:ascii="Times New Roman" w:hAnsi="Times New Roman" w:cs="Times New Roman"/>
        </w:rPr>
        <w:t xml:space="preserve"> Figure</w:t>
      </w:r>
      <w:bookmarkEnd w:id="3"/>
      <w:r>
        <w:rPr>
          <w:rFonts w:ascii="Times New Roman" w:hAnsi="Times New Roman" w:cs="Times New Roman"/>
        </w:rPr>
        <w:t xml:space="preserve"> 3</w:t>
      </w:r>
      <w:r w:rsidRPr="00890BAF">
        <w:rPr>
          <w:rFonts w:ascii="Times New Roman" w:hAnsi="Times New Roman" w:cs="Times New Roman"/>
        </w:rPr>
        <w:t>: Clonogenic survival and radiosensitivity of 2D HNSCC models with or without ascorbic acid under normoxic (21 % O</w:t>
      </w:r>
      <w:r w:rsidRPr="00890BAF">
        <w:rPr>
          <w:rFonts w:ascii="Times New Roman" w:hAnsi="Times New Roman" w:cs="Times New Roman"/>
          <w:vertAlign w:val="subscript"/>
        </w:rPr>
        <w:t>2</w:t>
      </w:r>
      <w:r w:rsidRPr="00890BAF">
        <w:rPr>
          <w:rFonts w:ascii="Times New Roman" w:hAnsi="Times New Roman" w:cs="Times New Roman"/>
        </w:rPr>
        <w:t>) and hypoxic (0.1 % O</w:t>
      </w:r>
      <w:r w:rsidRPr="00890BAF">
        <w:rPr>
          <w:rFonts w:ascii="Times New Roman" w:hAnsi="Times New Roman" w:cs="Times New Roman"/>
          <w:vertAlign w:val="subscript"/>
        </w:rPr>
        <w:t>2</w:t>
      </w:r>
      <w:r w:rsidRPr="00890BAF">
        <w:rPr>
          <w:rFonts w:ascii="Times New Roman" w:hAnsi="Times New Roman" w:cs="Times New Roman"/>
        </w:rPr>
        <w:t xml:space="preserve">) conditions. The diagrams show </w:t>
      </w:r>
      <w:r>
        <w:rPr>
          <w:rFonts w:ascii="Times New Roman" w:eastAsia="Calibri" w:hAnsi="Times New Roman" w:cs="Times New Roman"/>
        </w:rPr>
        <w:t xml:space="preserve">the </w:t>
      </w:r>
      <w:r w:rsidRPr="00890BAF">
        <w:rPr>
          <w:rFonts w:ascii="Times New Roman" w:hAnsi="Times New Roman" w:cs="Times New Roman"/>
        </w:rPr>
        <w:t xml:space="preserve">clonogenic survival rate [%] without (A/C) or with (B/D) irradiation for each HNSCC line, SAS (A/B) and FaDu (C/D). </w:t>
      </w:r>
      <w:r>
        <w:rPr>
          <w:rFonts w:ascii="Times New Roman" w:eastAsia="Calibri" w:hAnsi="Times New Roman" w:cs="Times New Roman"/>
        </w:rPr>
        <w:t>The cells</w:t>
      </w:r>
      <w:r w:rsidRPr="00890BAF">
        <w:rPr>
          <w:rFonts w:ascii="Times New Roman" w:hAnsi="Times New Roman" w:cs="Times New Roman"/>
        </w:rPr>
        <w:t xml:space="preserve"> were irradiated with </w:t>
      </w:r>
      <w:r>
        <w:rPr>
          <w:rFonts w:ascii="Times New Roman" w:eastAsia="Calibri" w:hAnsi="Times New Roman" w:cs="Times New Roman"/>
        </w:rPr>
        <w:t>2–14</w:t>
      </w:r>
      <w:r w:rsidRPr="00890BAF">
        <w:rPr>
          <w:rFonts w:ascii="Times New Roman" w:hAnsi="Times New Roman" w:cs="Times New Roman"/>
        </w:rPr>
        <w:t xml:space="preserve"> Gy. </w:t>
      </w:r>
      <w:r>
        <w:rPr>
          <w:rFonts w:ascii="Times New Roman" w:eastAsia="Calibri" w:hAnsi="Times New Roman" w:cs="Times New Roman"/>
        </w:rPr>
        <w:t>The data represent the</w:t>
      </w:r>
      <w:r w:rsidRPr="00890BAF">
        <w:rPr>
          <w:rFonts w:ascii="Times New Roman" w:hAnsi="Times New Roman" w:cs="Times New Roman"/>
        </w:rPr>
        <w:t xml:space="preserve"> mean values (+/± </w:t>
      </w:r>
      <w:r>
        <w:rPr>
          <w:rFonts w:ascii="Times New Roman" w:eastAsia="Calibri" w:hAnsi="Times New Roman" w:cs="Times New Roman"/>
        </w:rPr>
        <w:t>SDs</w:t>
      </w:r>
      <w:r w:rsidRPr="00890BAF">
        <w:rPr>
          <w:rFonts w:ascii="Times New Roman" w:hAnsi="Times New Roman" w:cs="Times New Roman"/>
        </w:rPr>
        <w:t xml:space="preserve">) of at least three independent experiments. </w:t>
      </w:r>
      <w:r>
        <w:rPr>
          <w:rFonts w:ascii="Times New Roman" w:eastAsia="Calibri" w:hAnsi="Times New Roman" w:cs="Times New Roman"/>
        </w:rPr>
        <w:t>The dotted</w:t>
      </w:r>
      <w:r w:rsidRPr="00890BAF">
        <w:rPr>
          <w:rFonts w:ascii="Times New Roman" w:hAnsi="Times New Roman" w:cs="Times New Roman"/>
        </w:rPr>
        <w:t xml:space="preserve"> lines indicate a relative cell survival rate of 10%. Significant p</w:t>
      </w:r>
      <w:r>
        <w:rPr>
          <w:rFonts w:ascii="Times New Roman" w:eastAsia="Calibri" w:hAnsi="Times New Roman" w:cs="Times New Roman"/>
        </w:rPr>
        <w:t xml:space="preserve"> </w:t>
      </w:r>
      <w:r w:rsidRPr="00890BAF">
        <w:rPr>
          <w:rFonts w:ascii="Times New Roman" w:hAnsi="Times New Roman" w:cs="Times New Roman"/>
        </w:rPr>
        <w:t>values are highlighted with asterisks (*p ≤ 0.05).</w:t>
      </w:r>
    </w:p>
    <w:p w:rsidR="00104020" w:rsidRPr="00267776" w:rsidRDefault="00104020" w:rsidP="00104020">
      <w:pPr>
        <w:pStyle w:val="Beschriftung"/>
        <w:keepNext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Supplemental </w:t>
      </w:r>
      <w:r w:rsidRPr="00267776">
        <w:rPr>
          <w:rFonts w:ascii="Times New Roman" w:hAnsi="Times New Roman" w:cs="Times New Roman"/>
        </w:rPr>
        <w:t xml:space="preserve">Table </w:t>
      </w:r>
      <w:r>
        <w:rPr>
          <w:rFonts w:ascii="Times New Roman" w:hAnsi="Times New Roman" w:cs="Times New Roman"/>
        </w:rPr>
        <w:t xml:space="preserve">1: OER </w:t>
      </w:r>
      <w:r w:rsidRPr="00890BAF">
        <w:rPr>
          <w:rFonts w:ascii="Times New Roman" w:hAnsi="Times New Roman" w:cs="Times New Roman"/>
        </w:rPr>
        <w:t xml:space="preserve">of </w:t>
      </w:r>
      <w:r>
        <w:rPr>
          <w:rFonts w:ascii="Times New Roman" w:hAnsi="Times New Roman" w:cs="Times New Roman"/>
        </w:rPr>
        <w:t xml:space="preserve">monolayer cells and </w:t>
      </w:r>
      <w:r w:rsidRPr="00890BAF">
        <w:rPr>
          <w:rFonts w:ascii="Times New Roman" w:hAnsi="Times New Roman" w:cs="Times New Roman"/>
        </w:rPr>
        <w:t>two-</w:t>
      </w:r>
      <w:r>
        <w:rPr>
          <w:rFonts w:ascii="Times New Roman" w:eastAsia="Calibri" w:hAnsi="Times New Roman" w:cs="Times New Roman"/>
        </w:rPr>
        <w:t>color</w:t>
      </w:r>
      <w:r w:rsidRPr="00890BAF">
        <w:rPr>
          <w:rFonts w:ascii="Times New Roman" w:hAnsi="Times New Roman" w:cs="Times New Roman"/>
        </w:rPr>
        <w:t xml:space="preserve"> spheroids</w:t>
      </w:r>
      <w:r w:rsidRPr="00445576">
        <w:rPr>
          <w:rFonts w:ascii="Times New Roman" w:hAnsi="Times New Roman" w:cs="Times New Roman"/>
        </w:rPr>
        <w:t xml:space="preserve"> </w:t>
      </w:r>
      <w:r w:rsidRPr="00890BAF">
        <w:rPr>
          <w:rFonts w:ascii="Times New Roman" w:hAnsi="Times New Roman" w:cs="Times New Roman"/>
        </w:rPr>
        <w:t xml:space="preserve">relative to </w:t>
      </w:r>
      <w:r>
        <w:rPr>
          <w:rFonts w:ascii="Times New Roman" w:eastAsia="Calibri" w:hAnsi="Times New Roman" w:cs="Times New Roman"/>
        </w:rPr>
        <w:t xml:space="preserve">that of </w:t>
      </w:r>
      <w:r w:rsidRPr="00890BAF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 xml:space="preserve">normoxic or </w:t>
      </w:r>
      <w:r w:rsidRPr="00890BAF">
        <w:rPr>
          <w:rFonts w:ascii="Times New Roman" w:hAnsi="Times New Roman" w:cs="Times New Roman"/>
        </w:rPr>
        <w:t>mCherry-</w:t>
      </w:r>
      <w:r>
        <w:rPr>
          <w:rFonts w:ascii="Times New Roman" w:eastAsia="Calibri" w:hAnsi="Times New Roman" w:cs="Times New Roman"/>
        </w:rPr>
        <w:t>labeled</w:t>
      </w:r>
      <w:r w:rsidRPr="00890BAF">
        <w:rPr>
          <w:rFonts w:ascii="Times New Roman" w:hAnsi="Times New Roman" w:cs="Times New Roman"/>
        </w:rPr>
        <w:t xml:space="preserve"> control. Significant p</w:t>
      </w:r>
      <w:r>
        <w:rPr>
          <w:rFonts w:ascii="Times New Roman" w:eastAsia="Calibri" w:hAnsi="Times New Roman" w:cs="Times New Roman"/>
        </w:rPr>
        <w:t xml:space="preserve"> </w:t>
      </w:r>
      <w:r w:rsidRPr="00890BAF">
        <w:rPr>
          <w:rFonts w:ascii="Times New Roman" w:hAnsi="Times New Roman" w:cs="Times New Roman"/>
        </w:rPr>
        <w:t>values are highlighted with asterisks (* p &lt; 0.05; ** p &lt; 0.01, *** p &lt; 0.001).</w:t>
      </w:r>
    </w:p>
    <w:tbl>
      <w:tblPr>
        <w:tblStyle w:val="EinfacheTabelle2"/>
        <w:tblW w:w="5130" w:type="pct"/>
        <w:tblLook w:val="04A0" w:firstRow="1" w:lastRow="0" w:firstColumn="1" w:lastColumn="0" w:noHBand="0" w:noVBand="1"/>
      </w:tblPr>
      <w:tblGrid>
        <w:gridCol w:w="2289"/>
        <w:gridCol w:w="1755"/>
        <w:gridCol w:w="1755"/>
        <w:gridCol w:w="1755"/>
        <w:gridCol w:w="1754"/>
      </w:tblGrid>
      <w:tr w:rsidR="00104020" w:rsidTr="00BA3E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9" w:type="pct"/>
          </w:tcPr>
          <w:p w:rsidR="00104020" w:rsidRDefault="00104020" w:rsidP="00BA3E2A">
            <w:r>
              <w:t>2D</w:t>
            </w:r>
          </w:p>
        </w:tc>
        <w:tc>
          <w:tcPr>
            <w:tcW w:w="943" w:type="pct"/>
          </w:tcPr>
          <w:p w:rsidR="00104020" w:rsidRDefault="00104020" w:rsidP="00BA3E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SAS</w:t>
            </w:r>
          </w:p>
        </w:tc>
        <w:tc>
          <w:tcPr>
            <w:tcW w:w="943" w:type="pct"/>
          </w:tcPr>
          <w:p w:rsidR="00104020" w:rsidRDefault="00104020" w:rsidP="00BA3E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43" w:type="pct"/>
          </w:tcPr>
          <w:p w:rsidR="00104020" w:rsidRDefault="00104020" w:rsidP="00BA3E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FaDu</w:t>
            </w:r>
          </w:p>
        </w:tc>
        <w:tc>
          <w:tcPr>
            <w:tcW w:w="942" w:type="pct"/>
          </w:tcPr>
          <w:p w:rsidR="00104020" w:rsidRDefault="00104020" w:rsidP="00BA3E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04020" w:rsidTr="00BA3E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9" w:type="pct"/>
          </w:tcPr>
          <w:p w:rsidR="00104020" w:rsidRDefault="00104020" w:rsidP="00BA3E2A"/>
        </w:tc>
        <w:tc>
          <w:tcPr>
            <w:tcW w:w="943" w:type="pct"/>
          </w:tcPr>
          <w:p w:rsidR="00104020" w:rsidRDefault="00104020" w:rsidP="00BA3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normoxic</w:t>
            </w:r>
          </w:p>
        </w:tc>
        <w:tc>
          <w:tcPr>
            <w:tcW w:w="943" w:type="pct"/>
          </w:tcPr>
          <w:p w:rsidR="00104020" w:rsidRDefault="00104020" w:rsidP="00BA3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hypoxic</w:t>
            </w:r>
          </w:p>
        </w:tc>
        <w:tc>
          <w:tcPr>
            <w:tcW w:w="943" w:type="pct"/>
          </w:tcPr>
          <w:p w:rsidR="00104020" w:rsidRDefault="00104020" w:rsidP="00BA3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normoxic</w:t>
            </w:r>
          </w:p>
        </w:tc>
        <w:tc>
          <w:tcPr>
            <w:tcW w:w="942" w:type="pct"/>
          </w:tcPr>
          <w:p w:rsidR="00104020" w:rsidRDefault="00104020" w:rsidP="00BA3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hypoxic</w:t>
            </w:r>
          </w:p>
        </w:tc>
      </w:tr>
      <w:tr w:rsidR="00104020" w:rsidTr="00BA3E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9" w:type="pct"/>
          </w:tcPr>
          <w:p w:rsidR="00104020" w:rsidRDefault="00104020" w:rsidP="00BA3E2A">
            <w:r>
              <w:t>control</w:t>
            </w:r>
          </w:p>
        </w:tc>
        <w:tc>
          <w:tcPr>
            <w:tcW w:w="943" w:type="pct"/>
          </w:tcPr>
          <w:p w:rsidR="00104020" w:rsidRDefault="00104020" w:rsidP="00BA3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1.00</w:t>
            </w:r>
          </w:p>
        </w:tc>
        <w:tc>
          <w:tcPr>
            <w:tcW w:w="943" w:type="pct"/>
          </w:tcPr>
          <w:p w:rsidR="00104020" w:rsidRDefault="00104020" w:rsidP="00BA3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2.08 </w:t>
            </w:r>
            <w:r w:rsidRPr="00890BAF">
              <w:t>± 0.15</w:t>
            </w:r>
            <w:r>
              <w:rPr>
                <w:vertAlign w:val="superscript"/>
              </w:rPr>
              <w:t>**</w:t>
            </w:r>
          </w:p>
        </w:tc>
        <w:tc>
          <w:tcPr>
            <w:tcW w:w="943" w:type="pct"/>
          </w:tcPr>
          <w:p w:rsidR="00104020" w:rsidRDefault="00104020" w:rsidP="00BA3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1.00</w:t>
            </w:r>
          </w:p>
        </w:tc>
        <w:tc>
          <w:tcPr>
            <w:tcW w:w="942" w:type="pct"/>
          </w:tcPr>
          <w:p w:rsidR="00104020" w:rsidRDefault="00104020" w:rsidP="00BA3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2.09 </w:t>
            </w:r>
            <w:r w:rsidRPr="00890BAF">
              <w:t>± 0.15</w:t>
            </w:r>
            <w:r>
              <w:rPr>
                <w:vertAlign w:val="superscript"/>
              </w:rPr>
              <w:t>**</w:t>
            </w:r>
          </w:p>
        </w:tc>
      </w:tr>
      <w:tr w:rsidR="00104020" w:rsidTr="00BA3E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9" w:type="pct"/>
          </w:tcPr>
          <w:p w:rsidR="00104020" w:rsidRDefault="00104020" w:rsidP="00BA3E2A">
            <w:r>
              <w:t>ascorbic acid</w:t>
            </w:r>
          </w:p>
        </w:tc>
        <w:tc>
          <w:tcPr>
            <w:tcW w:w="943" w:type="pct"/>
          </w:tcPr>
          <w:p w:rsidR="00104020" w:rsidRDefault="00104020" w:rsidP="00BA3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1.34 ± 0.04</w:t>
            </w:r>
            <w:r w:rsidRPr="00890BAF">
              <w:rPr>
                <w:vertAlign w:val="superscript"/>
              </w:rPr>
              <w:t>**</w:t>
            </w:r>
          </w:p>
        </w:tc>
        <w:tc>
          <w:tcPr>
            <w:tcW w:w="943" w:type="pct"/>
          </w:tcPr>
          <w:p w:rsidR="00104020" w:rsidRDefault="00104020" w:rsidP="00BA3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2.04 ± 0.04</w:t>
            </w:r>
            <w:r>
              <w:rPr>
                <w:vertAlign w:val="superscript"/>
              </w:rPr>
              <w:t>*</w:t>
            </w:r>
          </w:p>
        </w:tc>
        <w:tc>
          <w:tcPr>
            <w:tcW w:w="943" w:type="pct"/>
          </w:tcPr>
          <w:p w:rsidR="00104020" w:rsidRDefault="00104020" w:rsidP="00BA3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1.12 ± 0.03</w:t>
            </w:r>
            <w:r w:rsidRPr="00890BAF">
              <w:rPr>
                <w:vertAlign w:val="superscript"/>
              </w:rPr>
              <w:t>*</w:t>
            </w:r>
          </w:p>
        </w:tc>
        <w:tc>
          <w:tcPr>
            <w:tcW w:w="942" w:type="pct"/>
          </w:tcPr>
          <w:p w:rsidR="00104020" w:rsidRDefault="00104020" w:rsidP="00BA3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2.05 ± 0.14</w:t>
            </w:r>
            <w:r w:rsidRPr="00890BAF">
              <w:rPr>
                <w:vertAlign w:val="superscript"/>
              </w:rPr>
              <w:t>**</w:t>
            </w:r>
          </w:p>
        </w:tc>
      </w:tr>
      <w:tr w:rsidR="00104020" w:rsidTr="00BA3E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9" w:type="pct"/>
          </w:tcPr>
          <w:p w:rsidR="00104020" w:rsidRDefault="00104020" w:rsidP="00BA3E2A"/>
        </w:tc>
        <w:tc>
          <w:tcPr>
            <w:tcW w:w="943" w:type="pct"/>
          </w:tcPr>
          <w:p w:rsidR="00104020" w:rsidRDefault="00104020" w:rsidP="00BA3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43" w:type="pct"/>
          </w:tcPr>
          <w:p w:rsidR="00104020" w:rsidRDefault="00104020" w:rsidP="00BA3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43" w:type="pct"/>
          </w:tcPr>
          <w:p w:rsidR="00104020" w:rsidRDefault="00104020" w:rsidP="00BA3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42" w:type="pct"/>
          </w:tcPr>
          <w:p w:rsidR="00104020" w:rsidRDefault="00104020" w:rsidP="00BA3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04020" w:rsidTr="00BA3E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9" w:type="pct"/>
          </w:tcPr>
          <w:p w:rsidR="00104020" w:rsidRDefault="00104020" w:rsidP="00BA3E2A">
            <w:r>
              <w:t>3D</w:t>
            </w:r>
          </w:p>
        </w:tc>
        <w:tc>
          <w:tcPr>
            <w:tcW w:w="943" w:type="pct"/>
          </w:tcPr>
          <w:p w:rsidR="00104020" w:rsidRPr="007416DD" w:rsidRDefault="00104020" w:rsidP="00BA3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416DD">
              <w:rPr>
                <w:b/>
              </w:rPr>
              <w:t>SAS</w:t>
            </w:r>
          </w:p>
        </w:tc>
        <w:tc>
          <w:tcPr>
            <w:tcW w:w="943" w:type="pct"/>
          </w:tcPr>
          <w:p w:rsidR="00104020" w:rsidRPr="007416DD" w:rsidRDefault="00104020" w:rsidP="00BA3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943" w:type="pct"/>
          </w:tcPr>
          <w:p w:rsidR="00104020" w:rsidRPr="007416DD" w:rsidRDefault="00104020" w:rsidP="00BA3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416DD">
              <w:rPr>
                <w:b/>
              </w:rPr>
              <w:t>FaDu</w:t>
            </w:r>
          </w:p>
        </w:tc>
        <w:tc>
          <w:tcPr>
            <w:tcW w:w="942" w:type="pct"/>
          </w:tcPr>
          <w:p w:rsidR="00104020" w:rsidRDefault="00104020" w:rsidP="00BA3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04020" w:rsidTr="00BA3E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9" w:type="pct"/>
          </w:tcPr>
          <w:p w:rsidR="00104020" w:rsidRDefault="00104020" w:rsidP="00BA3E2A"/>
        </w:tc>
        <w:tc>
          <w:tcPr>
            <w:tcW w:w="943" w:type="pct"/>
          </w:tcPr>
          <w:p w:rsidR="00104020" w:rsidRDefault="00104020" w:rsidP="00BA3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mCherry</w:t>
            </w:r>
          </w:p>
        </w:tc>
        <w:tc>
          <w:tcPr>
            <w:tcW w:w="943" w:type="pct"/>
          </w:tcPr>
          <w:p w:rsidR="00104020" w:rsidRDefault="00104020" w:rsidP="00BA3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GFP</w:t>
            </w:r>
          </w:p>
        </w:tc>
        <w:tc>
          <w:tcPr>
            <w:tcW w:w="943" w:type="pct"/>
          </w:tcPr>
          <w:p w:rsidR="00104020" w:rsidRDefault="00104020" w:rsidP="00BA3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mCherry</w:t>
            </w:r>
          </w:p>
        </w:tc>
        <w:tc>
          <w:tcPr>
            <w:tcW w:w="942" w:type="pct"/>
          </w:tcPr>
          <w:p w:rsidR="00104020" w:rsidRDefault="00104020" w:rsidP="00BA3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GFP</w:t>
            </w:r>
          </w:p>
        </w:tc>
      </w:tr>
      <w:tr w:rsidR="00104020" w:rsidTr="00BA3E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9" w:type="pct"/>
          </w:tcPr>
          <w:p w:rsidR="00104020" w:rsidRDefault="00104020" w:rsidP="00BA3E2A">
            <w:r>
              <w:t xml:space="preserve">control </w:t>
            </w:r>
          </w:p>
        </w:tc>
        <w:tc>
          <w:tcPr>
            <w:tcW w:w="943" w:type="pct"/>
          </w:tcPr>
          <w:p w:rsidR="00104020" w:rsidRDefault="00104020" w:rsidP="00BA3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1.00</w:t>
            </w:r>
          </w:p>
        </w:tc>
        <w:tc>
          <w:tcPr>
            <w:tcW w:w="943" w:type="pct"/>
          </w:tcPr>
          <w:p w:rsidR="00104020" w:rsidRDefault="00104020" w:rsidP="00BA3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1.42 ± 0.08</w:t>
            </w:r>
            <w:r>
              <w:rPr>
                <w:vertAlign w:val="superscript"/>
              </w:rPr>
              <w:t>***</w:t>
            </w:r>
          </w:p>
        </w:tc>
        <w:tc>
          <w:tcPr>
            <w:tcW w:w="943" w:type="pct"/>
          </w:tcPr>
          <w:p w:rsidR="00104020" w:rsidRDefault="00104020" w:rsidP="00BA3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1.00</w:t>
            </w:r>
          </w:p>
        </w:tc>
        <w:tc>
          <w:tcPr>
            <w:tcW w:w="942" w:type="pct"/>
          </w:tcPr>
          <w:p w:rsidR="00104020" w:rsidRDefault="00104020" w:rsidP="00BA3E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1.54 ± 0.04</w:t>
            </w:r>
            <w:r>
              <w:rPr>
                <w:vertAlign w:val="superscript"/>
              </w:rPr>
              <w:t>***</w:t>
            </w:r>
          </w:p>
        </w:tc>
      </w:tr>
      <w:tr w:rsidR="00104020" w:rsidTr="00BA3E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9" w:type="pct"/>
          </w:tcPr>
          <w:p w:rsidR="00104020" w:rsidRDefault="00104020" w:rsidP="00BA3E2A">
            <w:r>
              <w:t>ascorbic acid</w:t>
            </w:r>
          </w:p>
        </w:tc>
        <w:tc>
          <w:tcPr>
            <w:tcW w:w="943" w:type="pct"/>
          </w:tcPr>
          <w:p w:rsidR="00104020" w:rsidRDefault="00104020" w:rsidP="00BA3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1.21 ± 0.09</w:t>
            </w:r>
            <w:r>
              <w:rPr>
                <w:vertAlign w:val="superscript"/>
              </w:rPr>
              <w:t>**</w:t>
            </w:r>
          </w:p>
        </w:tc>
        <w:tc>
          <w:tcPr>
            <w:tcW w:w="943" w:type="pct"/>
          </w:tcPr>
          <w:p w:rsidR="00104020" w:rsidRDefault="00104020" w:rsidP="00BA3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1.38 ± 0.08</w:t>
            </w:r>
            <w:r>
              <w:rPr>
                <w:vertAlign w:val="superscript"/>
              </w:rPr>
              <w:t>***</w:t>
            </w:r>
          </w:p>
        </w:tc>
        <w:tc>
          <w:tcPr>
            <w:tcW w:w="943" w:type="pct"/>
          </w:tcPr>
          <w:p w:rsidR="00104020" w:rsidRDefault="00104020" w:rsidP="00BA3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1.19± 0.10</w:t>
            </w:r>
            <w:r>
              <w:rPr>
                <w:vertAlign w:val="superscript"/>
              </w:rPr>
              <w:t>*</w:t>
            </w:r>
          </w:p>
        </w:tc>
        <w:tc>
          <w:tcPr>
            <w:tcW w:w="942" w:type="pct"/>
          </w:tcPr>
          <w:p w:rsidR="00104020" w:rsidRDefault="00104020" w:rsidP="00BA3E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1.58 ± 0.11</w:t>
            </w:r>
            <w:r>
              <w:rPr>
                <w:vertAlign w:val="superscript"/>
              </w:rPr>
              <w:t>***</w:t>
            </w:r>
          </w:p>
        </w:tc>
      </w:tr>
    </w:tbl>
    <w:p w:rsidR="00104020" w:rsidRPr="00890BAF" w:rsidRDefault="00104020" w:rsidP="00104020">
      <w:pPr>
        <w:jc w:val="both"/>
        <w:rPr>
          <w:rFonts w:ascii="Times New Roman" w:hAnsi="Times New Roman" w:cs="Times New Roman"/>
        </w:rPr>
      </w:pPr>
    </w:p>
    <w:p w:rsidR="008E60A2" w:rsidRDefault="008E60A2"/>
    <w:sectPr w:rsidR="008E60A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020"/>
    <w:rsid w:val="00104020"/>
    <w:rsid w:val="008E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B8D5F"/>
  <w15:chartTrackingRefBased/>
  <w15:docId w15:val="{C852690B-C40E-4F82-B39A-C6CB81BD9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04020"/>
    <w:rPr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04020"/>
    <w:pPr>
      <w:keepNext/>
      <w:keepLines/>
      <w:spacing w:before="240" w:after="0"/>
      <w:outlineLvl w:val="0"/>
    </w:pPr>
    <w:rPr>
      <w:rFonts w:eastAsiaTheme="majorEastAsia" w:cstheme="majorBidi"/>
      <w:b/>
      <w:sz w:val="40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10402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ellenraster">
    <w:name w:val="Table Grid"/>
    <w:basedOn w:val="NormaleTabelle"/>
    <w:uiPriority w:val="39"/>
    <w:rsid w:val="00104020"/>
    <w:pPr>
      <w:spacing w:after="0" w:line="240" w:lineRule="auto"/>
      <w:jc w:val="both"/>
    </w:pPr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ptions">
    <w:name w:val="captions"/>
    <w:basedOn w:val="Absatz-Standardschriftart"/>
    <w:rsid w:val="00104020"/>
  </w:style>
  <w:style w:type="table" w:styleId="EinfacheTabelle2">
    <w:name w:val="Plain Table 2"/>
    <w:basedOn w:val="NormaleTabelle"/>
    <w:uiPriority w:val="42"/>
    <w:rsid w:val="00104020"/>
    <w:pPr>
      <w:spacing w:after="0" w:line="240" w:lineRule="auto"/>
      <w:jc w:val="both"/>
    </w:pPr>
    <w:rPr>
      <w:rFonts w:ascii="Times New Roman" w:hAnsi="Times New Roman" w:cs="Times New Roma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sid w:val="00104020"/>
    <w:rPr>
      <w:rFonts w:eastAsiaTheme="majorEastAsia" w:cstheme="majorBidi"/>
      <w:b/>
      <w:sz w:val="40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F77990130684ED38E31956E9BA4E9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9AF03D-D633-42EF-A04D-778A35F005B1}"/>
      </w:docPartPr>
      <w:docPartBody>
        <w:p w:rsidR="00000000" w:rsidRDefault="001F0053" w:rsidP="001F0053">
          <w:pPr>
            <w:pStyle w:val="BF77990130684ED38E31956E9BA4E9C6"/>
          </w:pPr>
          <w:r w:rsidRPr="0033435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053"/>
    <w:rsid w:val="001F0053"/>
    <w:rsid w:val="00BE2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F0053"/>
  </w:style>
  <w:style w:type="paragraph" w:customStyle="1" w:styleId="BF77990130684ED38E31956E9BA4E9C6">
    <w:name w:val="BF77990130684ED38E31956E9BA4E9C6"/>
    <w:rsid w:val="001F00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1092</Words>
  <Characters>6228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Halle (Saale)</Company>
  <LinksUpToDate>false</LinksUpToDate>
  <CharactersWithSpaces>7306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Knobloch-Sperlich, Danny</dc:creator>
  <cp:keywords/>
  <dc:description/>
  <cp:lastModifiedBy>Knobloch-Sperlich, Danny</cp:lastModifiedBy>
  <cp:revision>1</cp:revision>
  <dcterms:created xsi:type="dcterms:W3CDTF">2025-05-28T13:18:00Z</dcterms:created>
  <dcterms:modified xsi:type="dcterms:W3CDTF">2025-05-28T13:21:00Z</dcterms:modified>
</cp:coreProperties>
</file>