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EBD03">
      <w:pPr>
        <w:spacing w:line="360" w:lineRule="auto"/>
        <w:rPr>
          <w:rFonts w:ascii="Times New Roman" w:hAnsi="Times New Roman" w:eastAsia="黑体" w:cs="Times New Roman"/>
          <w:b/>
          <w:bCs/>
          <w:sz w:val="32"/>
        </w:rPr>
      </w:pPr>
      <w:r>
        <w:rPr>
          <w:rFonts w:ascii="Times New Roman" w:hAnsi="Times New Roman" w:eastAsia="黑体" w:cs="Times New Roman"/>
          <w:b/>
          <w:bCs/>
          <w:sz w:val="32"/>
          <w:lang w:bidi="ar"/>
        </w:rPr>
        <w:t>Application of CRISPR-Cas12a/Cas13a dual Enzyme cleavage technology in the differential diagnosis of chikungunya virus and dengue virus</w:t>
      </w:r>
    </w:p>
    <w:p w14:paraId="3AE5CF1E">
      <w:pPr>
        <w:ind w:firstLine="210" w:firstLineChars="100"/>
        <w:jc w:val="center"/>
        <w:rPr>
          <w:rFonts w:ascii="Times New Roman" w:hAnsi="Times New Roman" w:eastAsia="等线" w:cs="Times New Roman"/>
          <w:szCs w:val="21"/>
          <w:lang w:bidi="ar"/>
        </w:rPr>
      </w:pPr>
    </w:p>
    <w:p w14:paraId="20CE17E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210" w:firstLineChars="100"/>
        <w:jc w:val="center"/>
        <w:rPr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Tong Jiang, Zijing Guo, Zhuo Wang *</w:t>
      </w:r>
    </w:p>
    <w:p w14:paraId="488D366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210" w:firstLineChars="100"/>
        <w:jc w:val="center"/>
        <w:rPr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Department of Clinical Laboratory, Suzhou TCM Hospital Affiliated to Nanjing University of Chinese Medicine, Suzhou, Jiangsu, China, 215000</w:t>
      </w:r>
    </w:p>
    <w:p w14:paraId="7749200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*Corresponding author: </w:t>
      </w:r>
    </w:p>
    <w:p w14:paraId="76D7F4A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Cs w:val="21"/>
          <w:lang w:val="en-US" w:bidi="ar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Zhuo Wang</w:t>
      </w:r>
    </w:p>
    <w:p w14:paraId="006BF60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Email: </w:t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instrText xml:space="preserve"> HYPERLINK "mailto:zhuo_wang1019@126.com" </w:instrText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fldChar w:fldCharType="separate"/>
      </w:r>
      <w:r>
        <w:rPr>
          <w:rStyle w:val="10"/>
          <w:szCs w:val="21"/>
          <w:u w:val="single"/>
          <w:lang w:val="en-US" w:bidi="ar"/>
        </w:rPr>
        <w:t>zhuo_wang1019@126.com</w:t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fldChar w:fldCharType="end"/>
      </w:r>
    </w:p>
    <w:p w14:paraId="4CE36D75">
      <w:pPr>
        <w:jc w:val="left"/>
      </w:pPr>
    </w:p>
    <w:p w14:paraId="05F043D5"/>
    <w:p w14:paraId="6D66FB9F"/>
    <w:p w14:paraId="22CFFA46"/>
    <w:p w14:paraId="1FC11E7B"/>
    <w:p w14:paraId="4EBB205C"/>
    <w:p w14:paraId="7BD554CA"/>
    <w:p w14:paraId="4222D4C0"/>
    <w:p w14:paraId="4D489DE5"/>
    <w:p w14:paraId="75DE335A"/>
    <w:p w14:paraId="686509BD"/>
    <w:p w14:paraId="07339638"/>
    <w:p w14:paraId="61168DCD"/>
    <w:p w14:paraId="394AD8CD"/>
    <w:p w14:paraId="076BF676"/>
    <w:p w14:paraId="53DAB301"/>
    <w:p w14:paraId="081218AA"/>
    <w:p w14:paraId="3948E96E"/>
    <w:p w14:paraId="3D2FF93A"/>
    <w:p w14:paraId="7478FEDC"/>
    <w:p w14:paraId="60D62120"/>
    <w:p w14:paraId="11C1B559"/>
    <w:p w14:paraId="797307AC"/>
    <w:p w14:paraId="45067FE6"/>
    <w:p w14:paraId="0AAD77F7"/>
    <w:p w14:paraId="4F56E050"/>
    <w:p w14:paraId="52E833C1"/>
    <w:p w14:paraId="697A9D98"/>
    <w:p w14:paraId="1FFCBCC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Table </w:t>
      </w:r>
      <w:r>
        <w:rPr>
          <w:rFonts w:hint="eastAsia"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Sequence of primers/crRNAs/ssDNAs</w:t>
      </w:r>
    </w:p>
    <w:tbl>
      <w:tblPr>
        <w:tblStyle w:val="5"/>
        <w:tblW w:w="9070" w:type="dxa"/>
        <w:tblInd w:w="354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4"/>
        <w:gridCol w:w="6113"/>
        <w:gridCol w:w="673"/>
      </w:tblGrid>
      <w:tr w14:paraId="71DB98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517" w:hRule="atLeast"/>
        </w:trPr>
        <w:tc>
          <w:tcPr>
            <w:tcW w:w="2284" w:type="dxa"/>
            <w:tcBorders>
              <w:bottom w:val="single" w:color="auto" w:sz="4" w:space="0"/>
            </w:tcBorders>
            <w:noWrap/>
          </w:tcPr>
          <w:p w14:paraId="3DE372C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Times New Roman" w:hAnsi="Times New Roman" w:cs="Times New Roman"/>
                <w:b/>
                <w:bCs/>
                <w:i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iCs/>
                <w:sz w:val="24"/>
              </w:rPr>
              <w:t>Oligonucleotide</w:t>
            </w:r>
          </w:p>
        </w:tc>
        <w:tc>
          <w:tcPr>
            <w:tcW w:w="6113" w:type="dxa"/>
            <w:tcBorders>
              <w:bottom w:val="single" w:color="auto" w:sz="4" w:space="0"/>
            </w:tcBorders>
            <w:noWrap/>
            <w:vAlign w:val="center"/>
          </w:tcPr>
          <w:p w14:paraId="59B78E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</w:rPr>
              <w:t>Sequence (5'-3')</w:t>
            </w:r>
          </w:p>
        </w:tc>
      </w:tr>
      <w:tr w14:paraId="15BD5A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1" w:hRule="atLeast"/>
        </w:trPr>
        <w:tc>
          <w:tcPr>
            <w:tcW w:w="2284" w:type="dxa"/>
            <w:tcBorders>
              <w:top w:val="single" w:color="auto" w:sz="4" w:space="0"/>
            </w:tcBorders>
            <w:noWrap/>
            <w:vAlign w:val="center"/>
          </w:tcPr>
          <w:p w14:paraId="107980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CHIKV-F1</w:t>
            </w:r>
          </w:p>
        </w:tc>
        <w:tc>
          <w:tcPr>
            <w:tcW w:w="6113" w:type="dxa"/>
            <w:tcBorders>
              <w:top w:val="single" w:color="auto" w:sz="4" w:space="0"/>
            </w:tcBorders>
            <w:noWrap/>
            <w:vAlign w:val="center"/>
          </w:tcPr>
          <w:p w14:paraId="2037BF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TTTGCATCAGCATACAGGGCTCATACCGCAT</w:t>
            </w:r>
          </w:p>
        </w:tc>
      </w:tr>
      <w:tr w14:paraId="0DA1CC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1C3A0A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CHIKV-R1</w:t>
            </w:r>
          </w:p>
        </w:tc>
        <w:tc>
          <w:tcPr>
            <w:tcW w:w="6113" w:type="dxa"/>
            <w:noWrap/>
            <w:vAlign w:val="center"/>
          </w:tcPr>
          <w:p w14:paraId="79AA19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TGGCCCCACAATGAATTTGGCGTCCTTAACT</w:t>
            </w:r>
          </w:p>
        </w:tc>
      </w:tr>
      <w:tr w14:paraId="3BFD69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132476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CHIKV-F2</w:t>
            </w:r>
          </w:p>
        </w:tc>
        <w:tc>
          <w:tcPr>
            <w:tcW w:w="6113" w:type="dxa"/>
            <w:noWrap/>
            <w:vAlign w:val="center"/>
          </w:tcPr>
          <w:p w14:paraId="78E31D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GAAGTCCGAATCATGCAAAACAGAATTTGCA</w:t>
            </w:r>
          </w:p>
        </w:tc>
      </w:tr>
      <w:tr w14:paraId="58752B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03C323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CHIKV-R2</w:t>
            </w:r>
          </w:p>
        </w:tc>
        <w:tc>
          <w:tcPr>
            <w:tcW w:w="6113" w:type="dxa"/>
            <w:noWrap/>
            <w:vAlign w:val="center"/>
          </w:tcPr>
          <w:p w14:paraId="702BB9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TGGTCGCCGTTTGCATAGGCAGTTACAGTGA</w:t>
            </w:r>
          </w:p>
        </w:tc>
      </w:tr>
      <w:tr w14:paraId="5F2E20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220111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CHIKV-F3</w:t>
            </w:r>
          </w:p>
        </w:tc>
        <w:tc>
          <w:tcPr>
            <w:tcW w:w="6113" w:type="dxa"/>
            <w:noWrap/>
            <w:vAlign w:val="center"/>
          </w:tcPr>
          <w:p w14:paraId="1E0920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GAAGCACATGTGGAGAAGTCCGAATCATGCA</w:t>
            </w:r>
          </w:p>
        </w:tc>
      </w:tr>
      <w:tr w14:paraId="1F6423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079C41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CHIKV-R3</w:t>
            </w:r>
          </w:p>
        </w:tc>
        <w:tc>
          <w:tcPr>
            <w:tcW w:w="6113" w:type="dxa"/>
            <w:noWrap/>
            <w:vAlign w:val="center"/>
          </w:tcPr>
          <w:p w14:paraId="1090D5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CTTAACTGTGACGGCATGGTCGCCGTTTGCA</w:t>
            </w:r>
          </w:p>
        </w:tc>
      </w:tr>
      <w:tr w14:paraId="7491F0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5FBD4F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CHIKV-F4</w:t>
            </w:r>
          </w:p>
        </w:tc>
        <w:tc>
          <w:tcPr>
            <w:tcW w:w="6113" w:type="dxa"/>
            <w:noWrap/>
            <w:vAlign w:val="center"/>
          </w:tcPr>
          <w:p w14:paraId="7CA582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CATCAGCATACAGGGCTCATACCGCATCCGC</w:t>
            </w:r>
          </w:p>
        </w:tc>
      </w:tr>
      <w:tr w14:paraId="7E0709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1DD746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CHIKV-R4</w:t>
            </w:r>
          </w:p>
        </w:tc>
        <w:tc>
          <w:tcPr>
            <w:tcW w:w="6113" w:type="dxa"/>
            <w:noWrap/>
            <w:vAlign w:val="center"/>
          </w:tcPr>
          <w:p w14:paraId="66BD0F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CCCACAATGAATTTGGCGTCCTTAACTGTGA</w:t>
            </w:r>
          </w:p>
        </w:tc>
      </w:tr>
      <w:tr w14:paraId="154D63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6F06E8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CHIKV-F5</w:t>
            </w:r>
          </w:p>
        </w:tc>
        <w:tc>
          <w:tcPr>
            <w:tcW w:w="6113" w:type="dxa"/>
            <w:noWrap/>
            <w:vAlign w:val="center"/>
          </w:tcPr>
          <w:p w14:paraId="771254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TTGCATCAGCATACAGGGCTCATACCGCATC</w:t>
            </w:r>
          </w:p>
        </w:tc>
      </w:tr>
      <w:tr w14:paraId="12401A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54F28D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CHIKV-R5</w:t>
            </w:r>
          </w:p>
        </w:tc>
        <w:tc>
          <w:tcPr>
            <w:tcW w:w="6113" w:type="dxa"/>
            <w:noWrap/>
            <w:vAlign w:val="center"/>
          </w:tcPr>
          <w:p w14:paraId="782DDB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GGCCCCACAATGAATTTGGCGTCCTTAACTG</w:t>
            </w:r>
          </w:p>
        </w:tc>
      </w:tr>
      <w:tr w14:paraId="292991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40570F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CHIKV-F6</w:t>
            </w:r>
          </w:p>
        </w:tc>
        <w:tc>
          <w:tcPr>
            <w:tcW w:w="6113" w:type="dxa"/>
            <w:noWrap/>
            <w:vAlign w:val="center"/>
          </w:tcPr>
          <w:p w14:paraId="66FD9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CAGCATACAGGGCTCATACCGCATCCGCATC</w:t>
            </w:r>
          </w:p>
        </w:tc>
      </w:tr>
      <w:tr w14:paraId="2EB8A5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3ACE4C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CHIKV-R6</w:t>
            </w:r>
          </w:p>
        </w:tc>
        <w:tc>
          <w:tcPr>
            <w:tcW w:w="6113" w:type="dxa"/>
            <w:noWrap/>
            <w:vAlign w:val="center"/>
          </w:tcPr>
          <w:p w14:paraId="17518D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ACAATGAATTTGGCGTCCTTAACTGTGACGG</w:t>
            </w:r>
          </w:p>
        </w:tc>
      </w:tr>
      <w:tr w14:paraId="21F268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7CA169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CHIKV-F7</w:t>
            </w:r>
          </w:p>
        </w:tc>
        <w:tc>
          <w:tcPr>
            <w:tcW w:w="6113" w:type="dxa"/>
            <w:noWrap/>
            <w:vAlign w:val="center"/>
          </w:tcPr>
          <w:p w14:paraId="575CE6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CATACAGGGCTCATACCGCATCCGCATCAGC</w:t>
            </w:r>
          </w:p>
        </w:tc>
      </w:tr>
      <w:tr w14:paraId="0D01E4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6B8E80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CHIKV-R7</w:t>
            </w:r>
          </w:p>
        </w:tc>
        <w:tc>
          <w:tcPr>
            <w:tcW w:w="6113" w:type="dxa"/>
            <w:noWrap/>
            <w:vAlign w:val="center"/>
          </w:tcPr>
          <w:p w14:paraId="54EC6C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ATGAATTTGGCGTCCTTAACTGTGACGGCAT</w:t>
            </w:r>
          </w:p>
        </w:tc>
      </w:tr>
      <w:tr w14:paraId="40C64C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1CBA7C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CHIKV-F8</w:t>
            </w:r>
          </w:p>
        </w:tc>
        <w:tc>
          <w:tcPr>
            <w:tcW w:w="6113" w:type="dxa"/>
            <w:noWrap/>
            <w:vAlign w:val="center"/>
          </w:tcPr>
          <w:p w14:paraId="394901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ACAGGGCTCATACCGCATCCGCATCAGCTAA</w:t>
            </w:r>
          </w:p>
        </w:tc>
      </w:tr>
      <w:tr w14:paraId="390A92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126A78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CHIKV-R8</w:t>
            </w:r>
          </w:p>
        </w:tc>
        <w:tc>
          <w:tcPr>
            <w:tcW w:w="6113" w:type="dxa"/>
            <w:noWrap/>
            <w:vAlign w:val="center"/>
          </w:tcPr>
          <w:p w14:paraId="19A70F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AATTTGGCGTCCTTAACTGTGACGGCATGGT</w:t>
            </w:r>
          </w:p>
        </w:tc>
      </w:tr>
      <w:tr w14:paraId="65745B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65AB61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DENV-F1</w:t>
            </w:r>
          </w:p>
        </w:tc>
        <w:tc>
          <w:tcPr>
            <w:tcW w:w="6113" w:type="dxa"/>
            <w:noWrap/>
            <w:vAlign w:val="center"/>
          </w:tcPr>
          <w:p w14:paraId="7AD8AD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GTAG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N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GACTAG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Y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GGTTAGAGGAGACCCCTCC</w:t>
            </w:r>
          </w:p>
        </w:tc>
      </w:tr>
      <w:tr w14:paraId="2B8CF3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3BE97C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DENV-R1</w:t>
            </w:r>
          </w:p>
        </w:tc>
        <w:tc>
          <w:tcPr>
            <w:tcW w:w="6113" w:type="dxa"/>
            <w:noWrap/>
            <w:vAlign w:val="center"/>
          </w:tcPr>
          <w:p w14:paraId="076793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AGAACCTGTTGATTCAACAGCACCATTCCATT</w:t>
            </w:r>
          </w:p>
        </w:tc>
      </w:tr>
      <w:tr w14:paraId="22566A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5976E4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DENV-F2</w:t>
            </w:r>
          </w:p>
        </w:tc>
        <w:tc>
          <w:tcPr>
            <w:tcW w:w="6113" w:type="dxa"/>
            <w:noWrap/>
            <w:vAlign w:val="center"/>
          </w:tcPr>
          <w:p w14:paraId="412ACF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GACTAG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Y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GGTTAGAGGAGACCCCTCCC</w:t>
            </w:r>
          </w:p>
        </w:tc>
      </w:tr>
      <w:tr w14:paraId="7796CA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683FF0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T7-DENV-F2</w:t>
            </w:r>
          </w:p>
        </w:tc>
        <w:tc>
          <w:tcPr>
            <w:tcW w:w="6113" w:type="dxa"/>
            <w:noWrap/>
            <w:vAlign w:val="center"/>
          </w:tcPr>
          <w:p w14:paraId="77F7C6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color w:val="0000FF"/>
                <w:sz w:val="24"/>
              </w:rPr>
              <w:t>GAAATTAATACGACTCACTATAGGG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GACTAG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Y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GGTTAGAGGAGACCCCTCCC</w:t>
            </w:r>
          </w:p>
        </w:tc>
      </w:tr>
      <w:tr w14:paraId="6EA263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6EED66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DENV-F3</w:t>
            </w:r>
          </w:p>
        </w:tc>
        <w:tc>
          <w:tcPr>
            <w:tcW w:w="6113" w:type="dxa"/>
            <w:noWrap/>
            <w:vAlign w:val="center"/>
          </w:tcPr>
          <w:p w14:paraId="249120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AGGACTAGAGGTTAGAGGAGACCCCCCGCAC</w:t>
            </w:r>
          </w:p>
        </w:tc>
      </w:tr>
      <w:tr w14:paraId="6D9792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66D21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DENV-F3</w:t>
            </w:r>
          </w:p>
        </w:tc>
        <w:tc>
          <w:tcPr>
            <w:tcW w:w="6113" w:type="dxa"/>
            <w:noWrap/>
            <w:vAlign w:val="center"/>
          </w:tcPr>
          <w:p w14:paraId="24DA81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ATCTCTGGTCT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Y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TCCCAGCGTCATATGCTGT</w:t>
            </w:r>
          </w:p>
        </w:tc>
      </w:tr>
      <w:tr w14:paraId="7EF5C6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6AE09E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DENV-F4</w:t>
            </w:r>
          </w:p>
        </w:tc>
        <w:tc>
          <w:tcPr>
            <w:tcW w:w="6113" w:type="dxa"/>
            <w:noWrap/>
            <w:vAlign w:val="center"/>
          </w:tcPr>
          <w:p w14:paraId="463BCB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R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GACTAGYGGTTAGAGGAGACCCCTCCC</w:t>
            </w:r>
          </w:p>
        </w:tc>
      </w:tr>
      <w:tr w14:paraId="7101EF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35D90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DENV-F5</w:t>
            </w:r>
          </w:p>
        </w:tc>
        <w:tc>
          <w:tcPr>
            <w:tcW w:w="6113" w:type="dxa"/>
            <w:noWrap/>
            <w:vAlign w:val="center"/>
          </w:tcPr>
          <w:p w14:paraId="622643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A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KYR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GACTAG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Y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GGTTAGAGGAGACCCCTCCC</w:t>
            </w:r>
          </w:p>
        </w:tc>
      </w:tr>
      <w:tr w14:paraId="193940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723B7D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T7-DENV-F5</w:t>
            </w:r>
          </w:p>
        </w:tc>
        <w:tc>
          <w:tcPr>
            <w:tcW w:w="6113" w:type="dxa"/>
            <w:noWrap/>
            <w:vAlign w:val="center"/>
          </w:tcPr>
          <w:p w14:paraId="6F4DDD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color w:val="0000FF"/>
                <w:sz w:val="24"/>
              </w:rPr>
              <w:t>GAAATTAATACGACTCACTATAGGG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A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KYR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GACTAG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Y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GGTTAGAGGAGACCCCTCCC</w:t>
            </w:r>
          </w:p>
        </w:tc>
      </w:tr>
      <w:tr w14:paraId="26D58E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4459B2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DENV-F6</w:t>
            </w:r>
          </w:p>
        </w:tc>
        <w:tc>
          <w:tcPr>
            <w:tcW w:w="6113" w:type="dxa"/>
            <w:noWrap/>
            <w:vAlign w:val="center"/>
          </w:tcPr>
          <w:p w14:paraId="40235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S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GTA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KYR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GACTAG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Y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GGTTAGAGGAGACCCCTCCC</w:t>
            </w:r>
          </w:p>
        </w:tc>
      </w:tr>
      <w:tr w14:paraId="180D68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69D63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DENV-R3-1</w:t>
            </w:r>
          </w:p>
        </w:tc>
        <w:tc>
          <w:tcPr>
            <w:tcW w:w="6113" w:type="dxa"/>
            <w:noWrap/>
            <w:vAlign w:val="center"/>
          </w:tcPr>
          <w:p w14:paraId="594A72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ATCTCTGGTCT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Y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TCCCAGCGTCATATGCTGTT</w:t>
            </w:r>
          </w:p>
        </w:tc>
      </w:tr>
      <w:tr w14:paraId="102DD4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3" w:type="dxa"/>
          <w:trHeight w:val="493" w:hRule="atLeast"/>
        </w:trPr>
        <w:tc>
          <w:tcPr>
            <w:tcW w:w="2284" w:type="dxa"/>
            <w:noWrap/>
            <w:vAlign w:val="center"/>
          </w:tcPr>
          <w:p w14:paraId="5569F9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DENV-R3-2</w:t>
            </w:r>
          </w:p>
        </w:tc>
        <w:tc>
          <w:tcPr>
            <w:tcW w:w="6113" w:type="dxa"/>
            <w:noWrap/>
            <w:vAlign w:val="center"/>
          </w:tcPr>
          <w:p w14:paraId="5D8346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</w:rPr>
              <w:t>ATCTCTGGTCT</w:t>
            </w:r>
            <w:r>
              <w:rPr>
                <w:rFonts w:hint="eastAsia" w:ascii="Times New Roman" w:hAnsi="Times New Roman" w:cs="Times New Roman"/>
                <w:bCs/>
                <w:color w:val="E54C5E" w:themeColor="accent6"/>
                <w:sz w:val="24"/>
                <w14:textFill>
                  <w14:solidFill>
                    <w14:schemeClr w14:val="accent6"/>
                  </w14:solidFill>
                </w14:textFill>
              </w:rPr>
              <w:t>Y</w:t>
            </w:r>
            <w:r>
              <w:rPr>
                <w:rFonts w:hint="eastAsia" w:ascii="Times New Roman" w:hAnsi="Times New Roman" w:cs="Times New Roman"/>
                <w:bCs/>
                <w:sz w:val="24"/>
              </w:rPr>
              <w:t>TCCCAGCGTCAATATGCTGTTTG</w:t>
            </w:r>
          </w:p>
        </w:tc>
      </w:tr>
      <w:tr w14:paraId="5909F1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284" w:type="dxa"/>
            <w:vMerge w:val="restart"/>
            <w:vAlign w:val="center"/>
          </w:tcPr>
          <w:p w14:paraId="49426B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CHIKV-Cas12a-crRNA</w:t>
            </w:r>
          </w:p>
        </w:tc>
        <w:tc>
          <w:tcPr>
            <w:tcW w:w="6786" w:type="dxa"/>
            <w:gridSpan w:val="2"/>
            <w:noWrap/>
            <w:vAlign w:val="center"/>
          </w:tcPr>
          <w:p w14:paraId="14248B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color w:val="75BD42" w:themeColor="accent4"/>
                <w:sz w:val="24"/>
                <w14:textFill>
                  <w14:solidFill>
                    <w14:schemeClr w14:val="accent4"/>
                  </w14:solidFill>
                </w14:textFill>
              </w:rPr>
              <w:t>UAAUUUCUACUAAGUGUAGAU</w:t>
            </w:r>
          </w:p>
        </w:tc>
      </w:tr>
      <w:tr w14:paraId="0DB51B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284" w:type="dxa"/>
            <w:vMerge w:val="continue"/>
            <w:vAlign w:val="center"/>
          </w:tcPr>
          <w:p w14:paraId="6D7016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6786" w:type="dxa"/>
            <w:gridSpan w:val="2"/>
            <w:noWrap/>
            <w:vAlign w:val="center"/>
          </w:tcPr>
          <w:p w14:paraId="0009A9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CCAAGGAAAUAACAUCACUGUAA</w:t>
            </w:r>
          </w:p>
        </w:tc>
      </w:tr>
      <w:tr w14:paraId="3220F9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284" w:type="dxa"/>
            <w:vMerge w:val="restart"/>
            <w:vAlign w:val="center"/>
          </w:tcPr>
          <w:p w14:paraId="77DBAF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DENV-Cas13a-crRNA</w:t>
            </w:r>
          </w:p>
        </w:tc>
        <w:tc>
          <w:tcPr>
            <w:tcW w:w="6786" w:type="dxa"/>
            <w:gridSpan w:val="2"/>
            <w:noWrap/>
            <w:vAlign w:val="center"/>
          </w:tcPr>
          <w:p w14:paraId="41F6BF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color w:val="EE822F" w:themeColor="accent2"/>
                <w:sz w:val="24"/>
                <w14:textFill>
                  <w14:solidFill>
                    <w14:schemeClr w14:val="accent2"/>
                  </w14:solidFill>
                </w14:textFill>
              </w:rPr>
              <w:t>GAUUUAGACUACCCCAAAAACGAAGGGGACUAAAAUC</w:t>
            </w:r>
          </w:p>
        </w:tc>
      </w:tr>
      <w:tr w14:paraId="67D06C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284" w:type="dxa"/>
            <w:vMerge w:val="continue"/>
            <w:vAlign w:val="center"/>
          </w:tcPr>
          <w:p w14:paraId="361E9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6786" w:type="dxa"/>
            <w:gridSpan w:val="2"/>
            <w:noWrap/>
            <w:vAlign w:val="center"/>
          </w:tcPr>
          <w:p w14:paraId="4E888E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GCUGGGAGAGACCAGAGAUCCUGCUGU</w:t>
            </w:r>
          </w:p>
        </w:tc>
      </w:tr>
      <w:tr w14:paraId="111D88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284" w:type="dxa"/>
            <w:noWrap/>
            <w:vAlign w:val="center"/>
          </w:tcPr>
          <w:p w14:paraId="41D83D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ssDNA-FQ1</w:t>
            </w:r>
          </w:p>
        </w:tc>
        <w:tc>
          <w:tcPr>
            <w:tcW w:w="6786" w:type="dxa"/>
            <w:gridSpan w:val="2"/>
            <w:noWrap/>
            <w:vAlign w:val="center"/>
          </w:tcPr>
          <w:p w14:paraId="1FC62F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FAM-TTATT-BHQ1</w:t>
            </w:r>
          </w:p>
        </w:tc>
      </w:tr>
      <w:tr w14:paraId="44C697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284" w:type="dxa"/>
            <w:noWrap/>
            <w:vAlign w:val="center"/>
          </w:tcPr>
          <w:p w14:paraId="351246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ssDNA-FB</w:t>
            </w:r>
          </w:p>
        </w:tc>
        <w:tc>
          <w:tcPr>
            <w:tcW w:w="6786" w:type="dxa"/>
            <w:gridSpan w:val="2"/>
            <w:noWrap/>
            <w:vAlign w:val="center"/>
          </w:tcPr>
          <w:p w14:paraId="1917E5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FAM-TTTTTTTATTTTTTT-Biotin</w:t>
            </w:r>
          </w:p>
        </w:tc>
      </w:tr>
      <w:tr w14:paraId="21C204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284" w:type="dxa"/>
            <w:noWrap/>
            <w:vAlign w:val="center"/>
          </w:tcPr>
          <w:p w14:paraId="11A8E9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ssRNA-RQ2</w:t>
            </w:r>
          </w:p>
        </w:tc>
        <w:tc>
          <w:tcPr>
            <w:tcW w:w="6786" w:type="dxa"/>
            <w:gridSpan w:val="2"/>
            <w:noWrap/>
            <w:vAlign w:val="center"/>
          </w:tcPr>
          <w:p w14:paraId="180563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ROX-UUUUUU-BHQ2</w:t>
            </w:r>
          </w:p>
        </w:tc>
      </w:tr>
      <w:tr w14:paraId="399CF5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284" w:type="dxa"/>
            <w:noWrap/>
            <w:vAlign w:val="center"/>
          </w:tcPr>
          <w:p w14:paraId="2B2297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ssRNA-DB</w:t>
            </w:r>
          </w:p>
        </w:tc>
        <w:tc>
          <w:tcPr>
            <w:tcW w:w="6786" w:type="dxa"/>
            <w:gridSpan w:val="2"/>
            <w:noWrap/>
            <w:vAlign w:val="center"/>
          </w:tcPr>
          <w:p w14:paraId="691730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Dig-UUUUUUUUUUUU-Biotin</w:t>
            </w:r>
          </w:p>
        </w:tc>
      </w:tr>
    </w:tbl>
    <w:p w14:paraId="5578196B">
      <w:pPr>
        <w:rPr>
          <w:rFonts w:ascii="Times New Roman" w:hAnsi="Times New Roman" w:cs="Times New Roman"/>
          <w:sz w:val="24"/>
        </w:rPr>
      </w:pPr>
    </w:p>
    <w:p w14:paraId="7B7400EC">
      <w:pPr>
        <w:rPr>
          <w:rFonts w:ascii="Times New Roman" w:hAnsi="Times New Roman" w:cs="Times New Roman"/>
        </w:rPr>
      </w:pPr>
    </w:p>
    <w:p w14:paraId="2C5462E2">
      <w:pPr>
        <w:rPr>
          <w:rFonts w:ascii="Times New Roman" w:hAnsi="Times New Roman" w:cs="Times New Roman"/>
        </w:rPr>
      </w:pPr>
    </w:p>
    <w:p w14:paraId="3C624966">
      <w:pPr>
        <w:rPr>
          <w:rFonts w:ascii="Times New Roman" w:hAnsi="Times New Roman" w:cs="Times New Roman"/>
        </w:rPr>
      </w:pPr>
    </w:p>
    <w:p w14:paraId="21A6AAF8"/>
    <w:p w14:paraId="11F9A890"/>
    <w:p w14:paraId="31C46631"/>
    <w:p w14:paraId="56914363"/>
    <w:p w14:paraId="1DD301C9"/>
    <w:p w14:paraId="42F8472C"/>
    <w:p w14:paraId="49CF43F1"/>
    <w:p w14:paraId="2F6E500A"/>
    <w:p w14:paraId="36016128"/>
    <w:p w14:paraId="6DF906FB"/>
    <w:p w14:paraId="058DC805"/>
    <w:p w14:paraId="2B3F0C9C"/>
    <w:p w14:paraId="2CD37744"/>
    <w:p w14:paraId="47934731"/>
    <w:p w14:paraId="781EF452"/>
    <w:p w14:paraId="568FDF9B"/>
    <w:p w14:paraId="688213D9"/>
    <w:p w14:paraId="6140642A"/>
    <w:p w14:paraId="7E4F9484">
      <w:r>
        <w:drawing>
          <wp:inline distT="0" distB="0" distL="0" distR="0">
            <wp:extent cx="5486400" cy="3510280"/>
            <wp:effectExtent l="0" t="0" r="0" b="0"/>
            <wp:docPr id="14557357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735776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D0D51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Figure S1. Primer screening. (A) Validation and screening of CHIKV primer sets. (B) Validation and screening of DENV primer sets.</w:t>
      </w:r>
    </w:p>
    <w:p w14:paraId="6D3C7B06">
      <w:pPr>
        <w:spacing w:line="360" w:lineRule="auto"/>
        <w:rPr>
          <w:rFonts w:ascii="Times New Roman" w:hAnsi="Times New Roman" w:cs="Times New Roman"/>
          <w:sz w:val="24"/>
        </w:rPr>
      </w:pPr>
    </w:p>
    <w:p w14:paraId="61B48F27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drawing>
          <wp:inline distT="0" distB="0" distL="0" distR="0">
            <wp:extent cx="5486400" cy="4113530"/>
            <wp:effectExtent l="0" t="0" r="0" b="1270"/>
            <wp:docPr id="12715993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59933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t="990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63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4A3E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S2. Structural diagrams of the genome and the specific Cas12a</w:t>
      </w:r>
      <w:r>
        <w:rPr>
          <w:rFonts w:ascii="Times New Roman" w:hAnsi="Times New Roman" w:cs="Times New Roman"/>
          <w:b/>
          <w:bCs/>
          <w:sz w:val="24"/>
        </w:rPr>
        <w:noBreakHyphen/>
      </w:r>
      <w:r>
        <w:rPr>
          <w:rFonts w:ascii="Times New Roman" w:hAnsi="Times New Roman" w:cs="Times New Roman"/>
          <w:b/>
          <w:bCs/>
          <w:sz w:val="24"/>
        </w:rPr>
        <w:t>crRNA and Cas13a</w:t>
      </w:r>
      <w:r>
        <w:rPr>
          <w:rFonts w:ascii="Times New Roman" w:hAnsi="Times New Roman" w:cs="Times New Roman"/>
          <w:b/>
          <w:bCs/>
          <w:sz w:val="24"/>
        </w:rPr>
        <w:noBreakHyphen/>
      </w:r>
      <w:r>
        <w:rPr>
          <w:rFonts w:ascii="Times New Roman" w:hAnsi="Times New Roman" w:cs="Times New Roman"/>
          <w:b/>
          <w:bCs/>
          <w:sz w:val="24"/>
        </w:rPr>
        <w:t>crRNA designed for CHIKV and DENV.</w:t>
      </w:r>
      <w:r>
        <w:rPr>
          <w:rFonts w:ascii="Times New Roman" w:hAnsi="Times New Roman" w:cs="Times New Roman"/>
          <w:sz w:val="24"/>
        </w:rPr>
        <w:br w:type="textWrapping"/>
      </w:r>
      <w:r>
        <w:rPr>
          <w:rFonts w:ascii="Times New Roman" w:hAnsi="Times New Roman" w:cs="Times New Roman"/>
          <w:sz w:val="24"/>
        </w:rPr>
        <w:t>(A) Schematic of the CHIKV genome and the design of Cas12a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crRNA. The upper panel illustrates the full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length CHIKV genome with annotations of the non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structural protein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coding regions (nsP1–nsP4) and structural protein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coding regions (C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E3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E2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6K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E1). The lower panel displays the secondary structure model of the Cas12a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crRNA designed against a conserved region of the E1 gene, showing its characteristic stem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loop architecture comprising the targeting sequence and scaffold sequence; the PAM site is highlighted in red.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(B) Schematic of the DENV genome and the design of Cas13a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crRNA. The upper panel illustrates the DENV genome organization with regions encoding the three structural proteins (C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prM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E) and seven non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structural proteins (NS1–NS5) within a single open reading frame. The lower panel presents the secondary structure model of the Cas13a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crRNA designed against a conserved region in the 3′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UTR, indicating the spatial configuration of the direct repeat and the specific spacer sequence. The process by which DENV target RNA is converted into dsDNA via RT</w:t>
      </w:r>
      <w:r>
        <w:rPr>
          <w:rFonts w:ascii="Times New Roman" w:hAnsi="Times New Roman" w:cs="Times New Roman"/>
          <w:sz w:val="24"/>
        </w:rPr>
        <w:noBreakHyphen/>
      </w:r>
      <w:r>
        <w:rPr>
          <w:rFonts w:ascii="Times New Roman" w:hAnsi="Times New Roman" w:cs="Times New Roman"/>
          <w:sz w:val="24"/>
        </w:rPr>
        <w:t>RAA amplification and subsequently into RNA through in vitro T7 transcription is also annotated.</w:t>
      </w:r>
    </w:p>
    <w:p w14:paraId="72F79348">
      <w:pPr>
        <w:spacing w:line="360" w:lineRule="auto"/>
        <w:rPr>
          <w:rFonts w:ascii="Times New Roman" w:hAnsi="Times New Roman" w:cs="Times New Roman"/>
          <w:sz w:val="24"/>
        </w:rPr>
      </w:pPr>
    </w:p>
    <w:p w14:paraId="340343D4">
      <w:pPr>
        <w:spacing w:line="360" w:lineRule="auto"/>
        <w:rPr>
          <w:rFonts w:ascii="Times New Roman" w:hAnsi="Times New Roman" w:cs="Times New Roman"/>
          <w:sz w:val="24"/>
        </w:rPr>
      </w:pPr>
    </w:p>
    <w:p w14:paraId="52AA6916">
      <w:pPr>
        <w:spacing w:line="360" w:lineRule="auto"/>
        <w:rPr>
          <w:rFonts w:ascii="Times New Roman" w:hAnsi="Times New Roman" w:cs="Times New Roman"/>
          <w:sz w:val="24"/>
        </w:rPr>
      </w:pPr>
    </w:p>
    <w:p w14:paraId="6754B6F5">
      <w:pPr>
        <w:spacing w:line="360" w:lineRule="auto"/>
        <w:rPr>
          <w:rFonts w:ascii="Times New Roman" w:hAnsi="Times New Roman" w:cs="Times New Roman"/>
          <w:sz w:val="24"/>
        </w:rPr>
      </w:pPr>
    </w:p>
    <w:p w14:paraId="5163389E">
      <w:pPr>
        <w:spacing w:line="360" w:lineRule="auto"/>
        <w:rPr>
          <w:rFonts w:ascii="Times New Roman" w:hAnsi="Times New Roman" w:cs="Times New Roman"/>
          <w:sz w:val="24"/>
        </w:rPr>
      </w:pPr>
    </w:p>
    <w:p w14:paraId="5EC424C7">
      <w:pPr>
        <w:spacing w:line="360" w:lineRule="auto"/>
        <w:rPr>
          <w:rFonts w:hint="eastAsia" w:ascii="Times New Roman" w:hAnsi="Times New Roman" w:cs="Times New Roman"/>
          <w:sz w:val="24"/>
        </w:rPr>
      </w:pPr>
    </w:p>
    <w:p w14:paraId="4E1D4987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drawing>
          <wp:inline distT="0" distB="0" distL="0" distR="0">
            <wp:extent cx="5486400" cy="3557905"/>
            <wp:effectExtent l="0" t="0" r="0" b="4445"/>
            <wp:docPr id="5701794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17942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A9BD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Figure S3. Optimization of probe concentration for CRISPR dual-target lateral flow strip to achieve optimal negative control performance.</w:t>
      </w:r>
    </w:p>
    <w:p w14:paraId="4A590169">
      <w:pPr>
        <w:spacing w:line="360" w:lineRule="auto"/>
        <w:rPr>
          <w:rFonts w:ascii="Times New Roman" w:hAnsi="Times New Roman" w:cs="Times New Roman"/>
          <w:sz w:val="24"/>
        </w:rPr>
      </w:pPr>
    </w:p>
    <w:p w14:paraId="5397FA7A">
      <w:pPr>
        <w:spacing w:line="360" w:lineRule="auto"/>
        <w:rPr>
          <w:rFonts w:ascii="Times New Roman" w:hAnsi="Times New Roman" w:cs="Times New Roman"/>
          <w:sz w:val="24"/>
        </w:rPr>
      </w:pPr>
    </w:p>
    <w:p w14:paraId="5EBF6DE1">
      <w:pPr>
        <w:spacing w:line="360" w:lineRule="auto"/>
        <w:rPr>
          <w:rFonts w:ascii="Times New Roman" w:hAnsi="Times New Roman" w:cs="Times New Roman"/>
          <w:sz w:val="24"/>
        </w:rPr>
      </w:pPr>
    </w:p>
    <w:p w14:paraId="73D42DD5">
      <w:pPr>
        <w:spacing w:line="360" w:lineRule="auto"/>
        <w:rPr>
          <w:rFonts w:hint="eastAsia" w:ascii="Times New Roman" w:hAnsi="Times New Roman" w:cs="Times New Roman"/>
          <w:sz w:val="24"/>
        </w:rPr>
      </w:pPr>
    </w:p>
    <w:p w14:paraId="1AE262EF">
      <w:pPr>
        <w:jc w:val="center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Supplementary Table </w:t>
      </w:r>
      <w:r>
        <w:rPr>
          <w:rFonts w:hint="eastAsia" w:ascii="Times New Roman" w:hAnsi="Times New Roman" w:cs="Times New Roman"/>
          <w:b/>
          <w:sz w:val="18"/>
          <w:szCs w:val="18"/>
        </w:rPr>
        <w:t>2</w:t>
      </w:r>
      <w:r>
        <w:rPr>
          <w:rFonts w:ascii="Times New Roman" w:hAnsi="Times New Roman" w:cs="Times New Roman"/>
          <w:b/>
          <w:sz w:val="18"/>
          <w:szCs w:val="18"/>
        </w:rPr>
        <w:t>.</w:t>
      </w:r>
      <w:r>
        <w:rPr>
          <w:rFonts w:hint="eastAsia"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Performance Comparison of Different CRISPR</w:t>
      </w:r>
      <w:r>
        <w:rPr>
          <w:rFonts w:ascii="Times New Roman" w:hAnsi="Times New Roman" w:cs="Times New Roman"/>
          <w:sz w:val="18"/>
          <w:szCs w:val="18"/>
        </w:rPr>
        <w:noBreakHyphen/>
      </w:r>
      <w:r>
        <w:rPr>
          <w:rFonts w:ascii="Times New Roman" w:hAnsi="Times New Roman" w:cs="Times New Roman"/>
          <w:sz w:val="18"/>
          <w:szCs w:val="18"/>
        </w:rPr>
        <w:t>Based Detection Systems for Dengue and Chikungunya Virus Diagnosis</w:t>
      </w:r>
    </w:p>
    <w:tbl>
      <w:tblPr>
        <w:tblStyle w:val="6"/>
        <w:tblW w:w="9045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2126"/>
        <w:gridCol w:w="2127"/>
        <w:gridCol w:w="3543"/>
      </w:tblGrid>
      <w:tr w14:paraId="5F42F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DC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rPr>
                <w:rFonts w:hint="default"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</w:rPr>
              <w:t>Dimension</w:t>
            </w:r>
          </w:p>
          <w:p w14:paraId="79FA23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CB8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</w:rPr>
              <w:t>Traditional CRISPR Single System[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35-37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</w:rPr>
              <w:t>]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C51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</w:rPr>
              <w:t>SHERLOCKv2 Multiplex System[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</w:rPr>
              <w:t>38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</w:rPr>
              <w:t>]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E08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</w:rPr>
              <w:t>Our Study (Cas12a+Cas13a Dual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</w:rPr>
              <w:noBreakHyphen/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</w:rPr>
              <w:t>Enzyme)</w:t>
            </w:r>
          </w:p>
        </w:tc>
      </w:tr>
      <w:tr w14:paraId="76E6F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447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Multiplexing Capability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4E1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Single target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455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Four channels, but with complex system architecture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55D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Dual targets (DNA + RNA), streamlined system</w:t>
            </w:r>
          </w:p>
        </w:tc>
      </w:tr>
      <w:tr w14:paraId="2B7E8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BDE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Operational Simplicity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2BC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Step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noBreakHyphen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wise reaction, highly dependent on large fluorescence instruments for readout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515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Difficult to unify multi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noBreakHyphen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enzyme conditions, instrument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noBreakHyphen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dependent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5C6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Visual readout via test strips, simple and convenient</w:t>
            </w:r>
          </w:p>
        </w:tc>
      </w:tr>
      <w:tr w14:paraId="4A63C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71EA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Limit of Detection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895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10–100 copies/mL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00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75" w:lineRule="atLeast"/>
              <w:ind w:left="0" w:right="0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10–100 copies/mL (per target)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4A5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10–100 copies/mL</w:t>
            </w:r>
          </w:p>
        </w:tc>
      </w:tr>
      <w:tr w14:paraId="3595F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58B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Clinical Applicability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D0C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Suitable for laboratory settings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0A9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Complex validation, challenging for translation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D694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Adaptable to primary care/field settings, easy to lyophilize and integrate</w:t>
            </w:r>
          </w:p>
        </w:tc>
      </w:tr>
      <w:tr w14:paraId="572C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0C7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Technical Scalability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D5D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Requires redesign of the system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DF4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Channel expansion limited by enzyme compatibility</w:t>
            </w:r>
          </w:p>
        </w:tc>
        <w:tc>
          <w:tcPr>
            <w:tcW w:w="3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1B0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Can be modularly expanded via crRNA library</w:t>
            </w:r>
          </w:p>
        </w:tc>
      </w:tr>
    </w:tbl>
    <w:p w14:paraId="700BBDCC">
      <w:pPr>
        <w:spacing w:line="360" w:lineRule="auto"/>
        <w:rPr>
          <w:rFonts w:ascii="Times New Roman" w:hAnsi="Times New Roman" w:cs="Times New Roman"/>
          <w:sz w:val="24"/>
        </w:rPr>
      </w:pPr>
    </w:p>
    <w:p w14:paraId="0D7D2ECD">
      <w:pPr>
        <w:spacing w:line="360" w:lineRule="auto"/>
        <w:rPr>
          <w:rFonts w:ascii="Times New Roman" w:hAnsi="Times New Roman" w:cs="Times New Roman"/>
          <w:sz w:val="24"/>
        </w:rPr>
      </w:pPr>
    </w:p>
    <w:p w14:paraId="16793356">
      <w:pPr>
        <w:spacing w:line="360" w:lineRule="auto"/>
        <w:rPr>
          <w:rFonts w:ascii="Times New Roman" w:hAnsi="Times New Roman" w:cs="Times New Roman"/>
          <w:sz w:val="24"/>
        </w:rPr>
      </w:pPr>
    </w:p>
    <w:p w14:paraId="42B31AF2">
      <w:pPr>
        <w:spacing w:line="360" w:lineRule="auto"/>
        <w:rPr>
          <w:rFonts w:ascii="Times New Roman" w:hAnsi="Times New Roman" w:cs="Times New Roman"/>
          <w:sz w:val="24"/>
        </w:rPr>
      </w:pPr>
    </w:p>
    <w:p w14:paraId="6C1D924C"/>
    <w:p w14:paraId="45826C63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797"/>
    <w:rsid w:val="00174DE9"/>
    <w:rsid w:val="001802CF"/>
    <w:rsid w:val="00225161"/>
    <w:rsid w:val="002632F8"/>
    <w:rsid w:val="002A208D"/>
    <w:rsid w:val="002F18AA"/>
    <w:rsid w:val="00322443"/>
    <w:rsid w:val="00337650"/>
    <w:rsid w:val="00350CCD"/>
    <w:rsid w:val="003D73B2"/>
    <w:rsid w:val="003F75E5"/>
    <w:rsid w:val="00481D03"/>
    <w:rsid w:val="00485ABD"/>
    <w:rsid w:val="004D1971"/>
    <w:rsid w:val="00505C62"/>
    <w:rsid w:val="005D0162"/>
    <w:rsid w:val="00665158"/>
    <w:rsid w:val="006741B3"/>
    <w:rsid w:val="007D1C7B"/>
    <w:rsid w:val="007F7797"/>
    <w:rsid w:val="00925CF2"/>
    <w:rsid w:val="00BA5A03"/>
    <w:rsid w:val="00C7448A"/>
    <w:rsid w:val="00CC0DCE"/>
    <w:rsid w:val="00D005CA"/>
    <w:rsid w:val="00DB419B"/>
    <w:rsid w:val="00E03D17"/>
    <w:rsid w:val="00EF5E1C"/>
    <w:rsid w:val="00FA2FB7"/>
    <w:rsid w:val="0B7D1F92"/>
    <w:rsid w:val="0D2E7A52"/>
    <w:rsid w:val="12F40DF6"/>
    <w:rsid w:val="1DC43A50"/>
    <w:rsid w:val="1FBD3646"/>
    <w:rsid w:val="26D855F4"/>
    <w:rsid w:val="2F4A0E40"/>
    <w:rsid w:val="31B92669"/>
    <w:rsid w:val="3EE50494"/>
    <w:rsid w:val="40E1410D"/>
    <w:rsid w:val="420E2790"/>
    <w:rsid w:val="4AF3715C"/>
    <w:rsid w:val="6A680362"/>
    <w:rsid w:val="6BA442DD"/>
    <w:rsid w:val="6E811919"/>
    <w:rsid w:val="6FCA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rPr>
      <w:rFonts w:ascii="Calibri" w:hAnsi="Calibri" w:eastAsia="宋体" w:cs="Times New Roman"/>
      <w:sz w:val="24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96607D"/>
      <w:u w:val="single"/>
    </w:rPr>
  </w:style>
  <w:style w:type="character" w:styleId="10">
    <w:name w:val="Hyperlink"/>
    <w:basedOn w:val="7"/>
    <w:qFormat/>
    <w:uiPriority w:val="0"/>
    <w:rPr>
      <w:color w:val="467886"/>
      <w:u w:val="single"/>
    </w:rPr>
  </w:style>
  <w:style w:type="character" w:customStyle="1" w:styleId="11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485</Words>
  <Characters>4116</Characters>
  <Lines>33</Lines>
  <Paragraphs>9</Paragraphs>
  <TotalTime>929</TotalTime>
  <ScaleCrop>false</ScaleCrop>
  <LinksUpToDate>false</LinksUpToDate>
  <CharactersWithSpaces>4492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2025-10-04T08:14:00Z</dcterms:created>
  <dc:creator>蒋童</dc:creator>
  <cp:lastModifiedBy>回眸祭奠回忆dё尘埃</cp:lastModifiedBy>
  <dcterms:modified xsi:type="dcterms:W3CDTF">2026-01-07T12:44:14Z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eyJoZGlkIjoiYzUxNmUyN2M1NDExYWQ2NTIwYWUyZTMzYWRkNjUxZDMiLCJ1c2VySWQiOiI1NDE4MzgwNjEifQ==</vt:lpwstr>
  </property>
  <property fmtid="{D5CDD505-2E9C-101B-9397-08002B2CF9AE}" pid="4" name="ICV">
    <vt:lpwstr>4B7C388DDA70446C85D565B5F5909933_12</vt:lpwstr>
  </property>
</Properties>
</file>