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DBCDB9" w14:textId="6C92E9E9" w:rsidR="00480866" w:rsidRPr="004E03B0" w:rsidRDefault="00203BC1" w:rsidP="00203BC1">
      <w:pPr>
        <w:jc w:val="center"/>
        <w:rPr>
          <w:rFonts w:ascii="Arial" w:hAnsi="Arial" w:cs="Arial"/>
          <w:b/>
          <w:bCs/>
          <w:sz w:val="22"/>
          <w:szCs w:val="22"/>
        </w:rPr>
      </w:pPr>
      <w:r w:rsidRPr="004E03B0">
        <w:rPr>
          <w:rFonts w:ascii="Arial" w:hAnsi="Arial" w:cs="Arial"/>
          <w:b/>
          <w:bCs/>
          <w:sz w:val="22"/>
          <w:szCs w:val="22"/>
        </w:rPr>
        <w:t>Supplementary information</w:t>
      </w:r>
    </w:p>
    <w:p w14:paraId="3B9D837B" w14:textId="7C86DA65" w:rsidR="001535D0" w:rsidRDefault="00680F0E" w:rsidP="00680F0E">
      <w:pPr>
        <w:jc w:val="center"/>
        <w:rPr>
          <w:rFonts w:ascii="Arial" w:hAnsi="Arial" w:cs="Arial"/>
          <w:b/>
          <w:bCs/>
          <w:sz w:val="22"/>
          <w:szCs w:val="22"/>
        </w:rPr>
      </w:pPr>
      <w:r w:rsidRPr="00680F0E">
        <w:rPr>
          <w:rFonts w:ascii="Arial" w:hAnsi="Arial" w:cs="Arial"/>
          <w:b/>
          <w:bCs/>
          <w:sz w:val="22"/>
          <w:szCs w:val="22"/>
        </w:rPr>
        <w:t>Proof-of-concept engineering of Escherichia coli expressing a bee-derived cytochrome P450 monooxygenase for thiamethoxam detoxification</w:t>
      </w:r>
    </w:p>
    <w:p w14:paraId="5C755E8F" w14:textId="77777777" w:rsidR="00680F0E" w:rsidRPr="004E03B0" w:rsidRDefault="00680F0E" w:rsidP="00822C28">
      <w:pPr>
        <w:rPr>
          <w:rFonts w:ascii="Arial" w:hAnsi="Arial" w:cs="Arial"/>
          <w:b/>
          <w:bCs/>
          <w:sz w:val="22"/>
          <w:szCs w:val="22"/>
        </w:rPr>
      </w:pPr>
    </w:p>
    <w:p w14:paraId="63EF8FB8" w14:textId="5B58A868" w:rsidR="00AD0F34" w:rsidRPr="004E03B0" w:rsidRDefault="00AD0F34" w:rsidP="00AD0F34">
      <w:pPr>
        <w:rPr>
          <w:rFonts w:ascii="Arial" w:hAnsi="Arial"/>
          <w:b/>
          <w:bCs/>
          <w:sz w:val="22"/>
          <w:szCs w:val="22"/>
        </w:rPr>
      </w:pPr>
      <w:r w:rsidRPr="004E03B0">
        <w:rPr>
          <w:rFonts w:ascii="Arial" w:hAnsi="Arial"/>
          <w:b/>
          <w:bCs/>
          <w:sz w:val="22"/>
          <w:szCs w:val="22"/>
        </w:rPr>
        <w:t xml:space="preserve">Table </w:t>
      </w:r>
      <w:r w:rsidR="0091328F" w:rsidRPr="004E03B0">
        <w:rPr>
          <w:rFonts w:ascii="Arial" w:hAnsi="Arial"/>
          <w:b/>
          <w:bCs/>
          <w:sz w:val="22"/>
          <w:szCs w:val="22"/>
        </w:rPr>
        <w:t>S</w:t>
      </w:r>
      <w:r w:rsidRPr="004E03B0">
        <w:rPr>
          <w:rFonts w:ascii="Arial" w:hAnsi="Arial"/>
          <w:b/>
          <w:bCs/>
          <w:sz w:val="22"/>
          <w:szCs w:val="22"/>
        </w:rPr>
        <w:t xml:space="preserve">1 List of </w:t>
      </w:r>
      <w:r w:rsidR="002568D0" w:rsidRPr="004E03B0">
        <w:rPr>
          <w:rFonts w:ascii="Arial" w:hAnsi="Arial"/>
          <w:b/>
          <w:bCs/>
          <w:sz w:val="22"/>
          <w:szCs w:val="22"/>
        </w:rPr>
        <w:t>CY</w:t>
      </w:r>
      <w:r w:rsidRPr="004E03B0">
        <w:rPr>
          <w:rFonts w:ascii="Arial" w:hAnsi="Arial"/>
          <w:b/>
          <w:bCs/>
          <w:sz w:val="22"/>
          <w:szCs w:val="22"/>
        </w:rPr>
        <w:t>P450</w:t>
      </w:r>
      <w:r w:rsidR="002568D0" w:rsidRPr="004E03B0">
        <w:rPr>
          <w:rFonts w:ascii="Arial" w:hAnsi="Arial"/>
          <w:b/>
          <w:bCs/>
          <w:sz w:val="22"/>
          <w:szCs w:val="22"/>
        </w:rPr>
        <w:t xml:space="preserve">s </w:t>
      </w:r>
      <w:r w:rsidR="007A2FC8">
        <w:rPr>
          <w:rFonts w:ascii="Arial" w:hAnsi="Arial"/>
          <w:b/>
          <w:bCs/>
          <w:sz w:val="22"/>
          <w:szCs w:val="22"/>
        </w:rPr>
        <w:t>with evidence upon thiamethoxam exposure</w:t>
      </w:r>
    </w:p>
    <w:tbl>
      <w:tblPr>
        <w:tblStyle w:val="TableGrid"/>
        <w:tblW w:w="0" w:type="auto"/>
        <w:tblLook w:val="04A0" w:firstRow="1" w:lastRow="0" w:firstColumn="1" w:lastColumn="0" w:noHBand="0" w:noVBand="1"/>
      </w:tblPr>
      <w:tblGrid>
        <w:gridCol w:w="1555"/>
        <w:gridCol w:w="2551"/>
        <w:gridCol w:w="3022"/>
        <w:gridCol w:w="2222"/>
      </w:tblGrid>
      <w:tr w:rsidR="00AD0F34" w:rsidRPr="004E03B0" w14:paraId="3D5C49EC" w14:textId="77777777" w:rsidTr="00F06DF1">
        <w:tc>
          <w:tcPr>
            <w:tcW w:w="1555" w:type="dxa"/>
          </w:tcPr>
          <w:p w14:paraId="78696869" w14:textId="77777777" w:rsidR="00AD0F34" w:rsidRPr="004E03B0" w:rsidRDefault="00AD0F34" w:rsidP="00521DC5">
            <w:pPr>
              <w:jc w:val="center"/>
              <w:rPr>
                <w:rFonts w:ascii="Arial" w:hAnsi="Arial" w:cs="Arial"/>
                <w:b/>
                <w:bCs/>
                <w:szCs w:val="22"/>
              </w:rPr>
            </w:pPr>
            <w:r w:rsidRPr="004E03B0">
              <w:rPr>
                <w:rFonts w:ascii="Arial" w:hAnsi="Arial" w:cs="Arial"/>
                <w:b/>
                <w:bCs/>
                <w:szCs w:val="22"/>
              </w:rPr>
              <w:t>Name</w:t>
            </w:r>
          </w:p>
        </w:tc>
        <w:tc>
          <w:tcPr>
            <w:tcW w:w="2551" w:type="dxa"/>
          </w:tcPr>
          <w:p w14:paraId="7ED76F37" w14:textId="77777777" w:rsidR="00AD0F34" w:rsidRPr="004E03B0" w:rsidRDefault="00AD0F34" w:rsidP="00521DC5">
            <w:pPr>
              <w:jc w:val="center"/>
              <w:rPr>
                <w:rFonts w:ascii="Arial" w:hAnsi="Arial" w:cs="Arial"/>
                <w:b/>
                <w:bCs/>
                <w:szCs w:val="22"/>
              </w:rPr>
            </w:pPr>
            <w:r w:rsidRPr="004E03B0">
              <w:rPr>
                <w:rFonts w:ascii="Arial" w:hAnsi="Arial" w:cs="Arial"/>
                <w:b/>
                <w:bCs/>
                <w:szCs w:val="22"/>
              </w:rPr>
              <w:t>Source</w:t>
            </w:r>
          </w:p>
        </w:tc>
        <w:tc>
          <w:tcPr>
            <w:tcW w:w="3022" w:type="dxa"/>
          </w:tcPr>
          <w:p w14:paraId="29D2808D" w14:textId="77777777" w:rsidR="00AD0F34" w:rsidRPr="004E03B0" w:rsidRDefault="00AD0F34" w:rsidP="00521DC5">
            <w:pPr>
              <w:jc w:val="center"/>
              <w:rPr>
                <w:rFonts w:ascii="Arial" w:hAnsi="Arial" w:cs="Arial"/>
                <w:b/>
                <w:bCs/>
                <w:szCs w:val="22"/>
              </w:rPr>
            </w:pPr>
            <w:r w:rsidRPr="004E03B0">
              <w:rPr>
                <w:rFonts w:ascii="Arial" w:hAnsi="Arial" w:cs="Arial"/>
                <w:b/>
                <w:bCs/>
                <w:szCs w:val="22"/>
              </w:rPr>
              <w:t>Remark</w:t>
            </w:r>
          </w:p>
        </w:tc>
        <w:tc>
          <w:tcPr>
            <w:tcW w:w="2222" w:type="dxa"/>
          </w:tcPr>
          <w:p w14:paraId="0B9A6689" w14:textId="77777777" w:rsidR="00AD0F34" w:rsidRPr="004E03B0" w:rsidRDefault="00AD0F34" w:rsidP="00CA6CB7">
            <w:pPr>
              <w:jc w:val="center"/>
              <w:rPr>
                <w:rFonts w:ascii="Arial" w:hAnsi="Arial" w:cs="Arial"/>
                <w:b/>
                <w:bCs/>
                <w:szCs w:val="22"/>
              </w:rPr>
            </w:pPr>
            <w:r w:rsidRPr="004E03B0">
              <w:rPr>
                <w:rFonts w:ascii="Arial" w:hAnsi="Arial" w:cs="Arial"/>
                <w:b/>
                <w:bCs/>
                <w:szCs w:val="22"/>
              </w:rPr>
              <w:t>Reference</w:t>
            </w:r>
          </w:p>
        </w:tc>
      </w:tr>
      <w:tr w:rsidR="00AD0F34" w:rsidRPr="004E03B0" w14:paraId="4500627D" w14:textId="77777777" w:rsidTr="00F06DF1">
        <w:tc>
          <w:tcPr>
            <w:tcW w:w="1555" w:type="dxa"/>
          </w:tcPr>
          <w:p w14:paraId="188CA666" w14:textId="77777777" w:rsidR="00AD0F34" w:rsidRPr="004E03B0" w:rsidRDefault="00AD0F34" w:rsidP="00D94303">
            <w:pPr>
              <w:rPr>
                <w:rFonts w:ascii="Arial" w:hAnsi="Arial" w:cs="Arial"/>
                <w:szCs w:val="22"/>
              </w:rPr>
            </w:pPr>
            <w:r w:rsidRPr="004E03B0">
              <w:rPr>
                <w:rFonts w:ascii="Arial" w:hAnsi="Arial" w:cs="Arial"/>
                <w:color w:val="000000"/>
                <w:szCs w:val="22"/>
                <w:shd w:val="clear" w:color="auto" w:fill="FFFFFF"/>
              </w:rPr>
              <w:t>CYP6DZ7</w:t>
            </w:r>
          </w:p>
        </w:tc>
        <w:tc>
          <w:tcPr>
            <w:tcW w:w="2551" w:type="dxa"/>
          </w:tcPr>
          <w:p w14:paraId="66D84B5A"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12CFB3A9"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w:t>
            </w:r>
          </w:p>
        </w:tc>
        <w:tc>
          <w:tcPr>
            <w:tcW w:w="2222" w:type="dxa"/>
          </w:tcPr>
          <w:p w14:paraId="452C0674" w14:textId="6D0E2507"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{"citationItems":[{"id":"ITEM-1","itemData":{"DOI":"10.1111/1748-5967.12427","ISSN":"17485967","abstract":"The occurrence of Bemisia tabaci poses an increasingly serious threat to cotton and vegetable crops in Xinjiang, China. Currently, neonicotinoid insecticides are commonly used to control the insect, to which resistance is inevitable due to intensive use. However, the resistance status and mechanism of B. tabaci to neonicotinoid insecticides in Xinjiang are poorly understood. Cytochrome P450 monooxygenases represent a key detoxification mechanism in the neonicotinoid resistance of B. tabaci. In this study, the resistance level to imidacloprid and thiamethoxam was investigated using the leaf dipping method in five field populations of B. tabaci from Turpan (TP, two sampling sites), Shache (SC), Hotan (HT) and Yining (YN) in northern and southern Xinjiang. The expression changes of eighteen cytochrome P450 genes from the select B. tabaci populations were determined by real-time fluorescence quantitative PCR (qPCR). The bioassay revealed that the five populations tested had developed moderate to high levels of resistance to imidacloprid (12.26–46.07-fold), while the populations remained sensitive to thiamethoxam except for HT, which had a low level of resistance. The qPCR results showed that the expression levels of five P450 genes, CYP4G68, CYP6CM1, CYP303A1-like, CYP6DZ7 and CYP6DZ4, were significantly higher in some resistant field populations than in the susceptible strain. Resistance to imidacloprid in field populations of B. tabaci might be associated with the increased expression of these five cytochrome P450 genes. The results are useful for further understanding the mechanism of neonicotinoid resistance and will contribute to the management of insecticide-resistant B. tabaci in Xinjiang.","author":[{"dropping-particle":"","family":"Wang","given":"Qiang","non-dropping-particle":"","parse-names":false,"suffix":""},{"dropping-particle":"","family":"Wang","given":"Mei Na","non-dropping-particle":"","parse-names":false,"suffix":""},{"dropping-particle":"","family":"Jia","given":"Zun Zun","non-dropping-particle":"","parse-names":false,"suffix":""},{"dropping-particle":"","family":"Ahmat","given":"Tursun","non-dropping-particle":"","parse-names":false,"suffix":""},{"dropping-particle":"","family":"Xie","given":"Lin Jie","non-dropping-particle":"","parse-names":false,"suffix":""},{"dropping-particle":"","family":"Jiang","given":"Wei Hua","non-dropping-particle":"","parse-names":false,"suffix":""}],"container-title":"Entomological Research","id":"ITEM-1","issue":"4","issued":{"date-parts":[["2020"]]},"page":"205-211","title":"Resistance to neonicotinoid insecticides and expression changes of eighteen cytochrome P450 genes in field populations of Bemisia tabaci from Xinjiang, China","type":"article-journal","volume":"50"},"uris":["http://www.mendeley.com/documents/?uuid=e1d586c7-beae-453c-8ab8-1ed68497cf7e"]}],"mendeley":{"formattedCitation":"(1)","plainTextFormattedCitation":"(1)","previouslyFormattedCitation":"(Wang et al. 2020)"},"properties":{"noteIndex":0},"schema":"https://github.com/citation-style-language/schema/raw/master/csl-citation.json"}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(1)</w:t>
            </w:r>
            <w:r w:rsidRPr="004E03B0">
              <w:rPr>
                <w:rFonts w:ascii="Arial" w:hAnsi="Arial" w:cs="Arial"/>
                <w:b/>
                <w:bCs/>
                <w:szCs w:val="22"/>
              </w:rPr>
              <w:fldChar w:fldCharType="end"/>
            </w:r>
          </w:p>
        </w:tc>
      </w:tr>
      <w:tr w:rsidR="00AD0F34" w:rsidRPr="004E03B0" w14:paraId="083A43BC" w14:textId="77777777" w:rsidTr="00F06DF1">
        <w:tc>
          <w:tcPr>
            <w:tcW w:w="1555" w:type="dxa"/>
          </w:tcPr>
          <w:p w14:paraId="3ACF20CA" w14:textId="77777777" w:rsidR="00AD0F34" w:rsidRPr="004E03B0" w:rsidRDefault="00AD0F34" w:rsidP="00D94303">
            <w:pPr>
              <w:rPr>
                <w:rFonts w:ascii="Arial" w:hAnsi="Arial" w:cs="Arial"/>
                <w:szCs w:val="22"/>
              </w:rPr>
            </w:pPr>
            <w:r w:rsidRPr="004E03B0">
              <w:rPr>
                <w:rFonts w:ascii="Arial" w:hAnsi="Arial" w:cs="Arial"/>
                <w:color w:val="000000"/>
                <w:szCs w:val="22"/>
                <w:shd w:val="clear" w:color="auto" w:fill="FFFFFF"/>
              </w:rPr>
              <w:t>CYP6DZ4</w:t>
            </w:r>
          </w:p>
        </w:tc>
        <w:tc>
          <w:tcPr>
            <w:tcW w:w="2551" w:type="dxa"/>
          </w:tcPr>
          <w:p w14:paraId="3729B4E2"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560D113A"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w:t>
            </w:r>
          </w:p>
        </w:tc>
        <w:tc>
          <w:tcPr>
            <w:tcW w:w="2222" w:type="dxa"/>
          </w:tcPr>
          <w:p w14:paraId="4E5AB0B7" w14:textId="721C3DB0"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{"citationItems":[{"id":"ITEM-1","itemData":{"DOI":"10.1111/1748-5967.12427","ISSN":"17485967","abstract":"The occurrence of Bemisia tabaci poses an increasingly serious threat to cotton and vegetable crops in Xinjiang, China. Currently, neonicotinoid insecticides are commonly used to control the insect, to which resistance is inevitable due to intensive use. However, the resistance status and mechanism of B. tabaci to neonicotinoid insecticides in Xinjiang are poorly understood. Cytochrome P450 monooxygenases represent a key detoxification mechanism in the neonicotinoid resistance of B. tabaci. In this study, the resistance level to imidacloprid and thiamethoxam was investigated using the leaf dipping method in five field populations of B. tabaci from Turpan (TP, two sampling sites), Shache (SC), Hotan (HT) and Yining (YN) in northern and southern Xinjiang. The expression changes of eighteen cytochrome P450 genes from the select B. tabaci populations were determined by real-time fluorescence quantitative PCR (qPCR). The bioassay revealed that the five populations tested had developed moderate to high levels of resistance to imidacloprid (12.26–46.07-fold), while the populations remained sensitive to thiamethoxam except for HT, which had a low level of resistance. The qPCR results showed that the expression levels of five P450 genes, CYP4G68, CYP6CM1, CYP303A1-like, CYP6DZ7 and CYP6DZ4, were significantly higher in some resistant field populations than in the susceptible strain. Resistance to imidacloprid in field populations of B. tabaci might be associated with the increased expression of these five cytochrome P450 genes. The results are useful for further understanding the mechanism of neonicotinoid resistance and will contribute to the management of insecticide-resistant B. tabaci in Xinjiang.","author":[{"dropping-particle":"","family":"Wang","given":"Qiang","non-dropping-particle":"","parse-names":false,"suffix":""},{"dropping-particle":"","family":"Wang","given":"Mei Na","non-dropping-particle":"","parse-names":false,"suffix":""},{"dropping-particle":"","family":"Jia","given":"Zun Zun","non-dropping-particle":"","parse-names":false,"suffix":""},{"dropping-particle":"","family":"Ahmat","given":"Tursun","non-dropping-particle":"","parse-names":false,"suffix":""},{"dropping-particle":"","family":"Xie","given":"Lin Jie","non-dropping-particle":"","parse-names":false,"suffix":""},{"dropping-particle":"","family":"Jiang","given":"Wei Hua","non-dropping-particle":"","parse-names":false,"suffix":""}],"container-title":"Entomological Research","id":"ITEM-1","issue":"4","issued":{"date-parts":[["2020"]]},"page":"205-211","title":"Resistance to neonicotinoid insecticides and expression changes of eighteen cytochrome P450 genes in field populations of Bemisia tabaci from Xinjiang, China","type":"article-journal","volume":"50"},"uris":["http://www.mendeley.com/documents/?uuid=e1d586c7-beae-453c-8ab8-1ed68497cf7e"]}],"mendeley":{"formattedCitation":"(1)","plainTextFormattedCitation":"(1)","previouslyFormattedCitation":"(Wang et al. 2020)"},"properties":{"noteIndex":0},"schema":"https://github.com/citation-style-language/schema/raw/master/csl-citation.json"}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(1)</w:t>
            </w:r>
            <w:r w:rsidRPr="004E03B0">
              <w:rPr>
                <w:rFonts w:ascii="Arial" w:hAnsi="Arial" w:cs="Arial"/>
                <w:b/>
                <w:bCs/>
                <w:szCs w:val="22"/>
              </w:rPr>
              <w:fldChar w:fldCharType="end"/>
            </w:r>
          </w:p>
        </w:tc>
      </w:tr>
      <w:tr w:rsidR="00AD0F34" w:rsidRPr="004E03B0" w14:paraId="1861562D" w14:textId="77777777" w:rsidTr="00F06DF1">
        <w:tc>
          <w:tcPr>
            <w:tcW w:w="1555" w:type="dxa"/>
          </w:tcPr>
          <w:p w14:paraId="3E454250" w14:textId="77777777" w:rsidR="00AD0F34" w:rsidRPr="004E03B0" w:rsidRDefault="00AD0F34" w:rsidP="00D94303">
            <w:pPr>
              <w:rPr>
                <w:rFonts w:ascii="Arial" w:hAnsi="Arial" w:cs="Arial"/>
                <w:b/>
                <w:bCs/>
                <w:szCs w:val="22"/>
              </w:rPr>
            </w:pPr>
            <w:r w:rsidRPr="004E03B0">
              <w:rPr>
                <w:rFonts w:ascii="Arial" w:hAnsi="Arial" w:cs="Arial"/>
                <w:szCs w:val="22"/>
              </w:rPr>
              <w:t>CYP6CM1</w:t>
            </w:r>
          </w:p>
        </w:tc>
        <w:tc>
          <w:tcPr>
            <w:tcW w:w="2551" w:type="dxa"/>
          </w:tcPr>
          <w:p w14:paraId="020DC7B0"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65B26F7F" w14:textId="77777777" w:rsidR="00AD0F34" w:rsidRPr="004E03B0" w:rsidRDefault="00AD0F34" w:rsidP="00D94303">
            <w:pPr>
              <w:rPr>
                <w:rFonts w:ascii="Arial" w:hAnsi="Arial" w:cs="Arial"/>
                <w:szCs w:val="22"/>
              </w:rPr>
            </w:pPr>
            <w:r w:rsidRPr="004E03B0">
              <w:rPr>
                <w:rFonts w:ascii="Arial" w:hAnsi="Arial" w:cs="Arial"/>
                <w:szCs w:val="22"/>
              </w:rPr>
              <w:t xml:space="preserve">Increased expression upon exposure </w:t>
            </w:r>
          </w:p>
        </w:tc>
        <w:tc>
          <w:tcPr>
            <w:tcW w:w="2222" w:type="dxa"/>
          </w:tcPr>
          <w:p w14:paraId="096C3CB3" w14:textId="14EC5F12"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{"citationItems":[{"id":"ITEM-1","itemData":{"DOI":"10.1371/journal.pone.0061820","ISSN":"19326203","PMID":"23671574","abstract":"Background:The sweetpotato whitefly, Bemisia tabaci (Hemiptera: Aleyrodidae), is one of the most widely distributed agricultural pests. Although it has developed resistance to many registered insecticides including the neonicotinoid insecticide thiamethoxam, the mechanisms that regulate the resistance are poorly understood. To understand the molecular basis of thiamethoxam resistance, \"omics\" analyses were carried out to examine differences between resistant and susceptible B. tabaci at both transcriptional and translational levels.Results:A total of 1,338 mRNAs and 52 proteins were differentially expressed between resistant and susceptible B. tabaci. Among them, 11 transcripts had concurrent transcription and translation profiles. KEGG analysis mapped 318 and 35 differentially expressed genes and proteins, respectively, to 160 and 59 pathways (p&lt;0.05). Thiamethoxam treatment activated metabolic pathways (e.g., drug metabolism), in which 118 transcripts were putatively linked to insecticide resistance, including up-regulated glutathione-S-transferase, UDP glucuronosyltransferase, glucosyl/glucuronosyl transferase, and cytochrome P450. Gene Ontology analysis placed these genes and proteins into protein complex, metabolic process, cellular process, signaling, and response to stimulus categories. Quantitative real-time PCR analysis validated \"omics\" response, and suggested a highly overexpressed P450, CYP6CX1, as a candidate molecular basis for the mechanistic study of thiamethoxam resistance in whiteflies. Finally, enzymatic activity assays showed elevated detoxification activities in the resistant B. tabaci.Conclusions:This study demonstrates the applicability of high-throughput omics tools for identifying molecular candidates related to thiamethoxam resistance in an agricultural important insect pest. In addition, transcriptomic and proteomic analyses provide a solid foundation for future functional investigations into the complex molecular mechanisms governing the neonicotinoid resistance in whiteflies. © 2013 Yang et al.","author":[{"dropping-particle":"","family":"Yang","given":"Nina","non-dropping-particle":"","parse-names":false,"suffix":""},{"dropping-particle":"","family":"Xie","given":"Wen","non-dropping-particle":"","parse-names":false,"suffix":""},{"dropping-particle":"","family":"Yang","given":"Xin","non-dropping-particle":"","parse-names":false,"suffix":""},{"dropping-particle":"","family":"Wang","given":"Shaoli","non-dropping-particle":"","parse-names":false,"suffix":""},{"dropping-particle":"","family":"Wu","given":"Qingjun","non-dropping-particle":"","parse-names":false,"suffix":""},{"dropping-particle":"","family":"Li","given":"Rumei","non-dropping-particle":"","parse-names":false,"suffix":""},{"dropping-particle":"","family":"Pan","given":"Huipeng","non-dropping-particle":"","parse-names":false,"suffix":""},{"dropping-particle":"","family":"Liu","given":"Baiming","non-dropping-particle":"","parse-names":false,"suffix":""},{"dropping-particle":"","family":"Shi","given":"Xiaobin","non-dropping-particle":"","parse-names":false,"suffix":""},{"dropping-particle":"","family":"Fang","given":"Yong","non-dropping-particle":"","parse-names":false,"suffix":""},{"dropping-particle":"","family":"Xu","given":"Baoyun","non-dropping-particle":"","parse-names":false,"suffix":""},{"dropping-particle":"","family":"Zhou","given":"Xuguo","non-dropping-particle":"","parse-names":false,"suffix":""},{"dropping-particle":"","family":"Zhang","given":"Youjun","non-dropping-particle":"","parse-names":false,"suffix":""}],"container-title":"PLoS ONE","id":"ITEM-1","issue":"5","issued":{"date-parts":[["2013"]]},"title":"Transcriptomic and Proteomic Responses of Sweetpotato Whitefly, Bemisia tabaci, to Thiamethoxam","type":"article-journal","volume":"8"},"uris":["http://www.mendeley.com/documents/?uuid=6be6df4f-2bc9-49b9-bd2e-9f1af020d418"]},{"id":"ITEM-2","itemData":{"DOI":"10.1111/1748-5967.12427","ISSN":"17485967","abstract":"The occurrence of Bemisia tabaci poses an increasingly serious threat to cotton and vegetable crops in Xinjiang, China. Currently, neonicotinoid insecticides are commonly used to control the insect, to which resistance is inevitable due to intensive use. However, the resistance status and mechanism of B. tabaci to neonicotinoid insecticides in Xinjiang are poorly understood. Cytochrome P450 monooxygenases represent a key detoxification mechanism in the neonicotinoid resistance of B. tabaci. In this study, the resistance level to imidacloprid and thiamethoxam was investigated using the leaf dipping method in five field populations of B. tabaci from Turpan (TP, two sampling sites), Shache (SC), Hotan (HT) and Yining (YN) in northern and southern Xinjiang. The expression changes of eighteen cytochrome P450 genes from the select B. tabaci populations were determined by real-time fluorescence quantitative PCR (qPCR). The bioassay revealed that the five populations tested had developed moderate to high levels of resistance to imidacloprid (12.26–46.07-fold), while the populations remained sensitive to thiamethoxam except for HT, which had a low level of resistance. The qPCR results showed that the expression levels of five P450 genes, CYP4G68, CYP6CM1, CYP303A1-like, CYP6DZ7 and CYP6DZ4, were significantly higher in some resistant field populations than in the susceptible strain. Resistance to imidacloprid in field populations of B. tabaci might be associated with the increased expression of these five cytochrome P450 genes. The results are useful for further understanding the mechanism of neonicotinoid resistance and will contribute to the management of insecticide-resistant B. tabaci in Xinjiang.","author":[{"dropping-particle":"","family":"Wang","given":"Qiang","non-dropping-particle":"","parse-names":false,"suffix":""},{"dropping-particle":"","family":"Wang","given":"Mei Na","non-dropping-particle":"","parse-names":false,"suffix":""},{"dropping-particle":"","family":"Jia","given":"Zun Zun","non-dropping-particle":"","parse-names":false,"suffix":""},{"dropping-particle":"","family":"Ahmat","given":"Tursun","non-dropping-particle":"","parse-names":false,"suffix":""},{"dropping-particle":"","family":"Xie","given":"Lin Jie","non-dropping-particle":"","parse-names":false,"suffix":""},{"dropping-particle":"","family":"Jiang","given":"Wei Hua","non-dropping-particle":"","parse-names":false,"suffix":""}],"container-title":"Entomological Research","id":"ITEM-2","issue":"4","issued":{"date-parts":[["2020"]]},"page":"205-211","title":"Resistance to neonicotinoid insecticides and expression changes of eighteen cytochrome P450 genes in field populations of Bemisia tabaci from Xinjiang, China","type":"article-journal","volume":"50"},"uris":["http://www.mendeley.com/documents/?uuid=e1d586c7-beae-453c-8ab8-1ed68497cf7e"]}],"mendeley":{"formattedCitation":"(1,2)","plainTextFormattedCitation":"(1,2)","previouslyFormattedCitation":"(Wang et al. 2020; Yang et al. 2013)"},"properties":{"noteIndex":0},"schema":"https://github.com/citation-style-language/schema/raw/master/csl-citation.json"}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(1,2)</w:t>
            </w:r>
            <w:r w:rsidRPr="004E03B0">
              <w:rPr>
                <w:rFonts w:ascii="Arial" w:hAnsi="Arial" w:cs="Arial"/>
                <w:b/>
                <w:bCs/>
                <w:szCs w:val="22"/>
              </w:rPr>
              <w:fldChar w:fldCharType="end"/>
            </w:r>
          </w:p>
        </w:tc>
      </w:tr>
      <w:tr w:rsidR="00AD0F34" w:rsidRPr="004E03B0" w14:paraId="184CF7D9" w14:textId="77777777" w:rsidTr="00F06DF1">
        <w:tc>
          <w:tcPr>
            <w:tcW w:w="1555" w:type="dxa"/>
          </w:tcPr>
          <w:p w14:paraId="6933CA32" w14:textId="77777777" w:rsidR="00AD0F34" w:rsidRPr="004E03B0" w:rsidRDefault="00AD0F34" w:rsidP="00D94303">
            <w:pPr>
              <w:rPr>
                <w:rFonts w:ascii="Arial" w:hAnsi="Arial" w:cs="Arial"/>
                <w:b/>
                <w:bCs/>
                <w:szCs w:val="22"/>
              </w:rPr>
            </w:pPr>
            <w:r w:rsidRPr="004E03B0">
              <w:rPr>
                <w:rFonts w:ascii="Arial" w:hAnsi="Arial" w:cs="Arial"/>
                <w:szCs w:val="22"/>
              </w:rPr>
              <w:t>CYP6ER1</w:t>
            </w:r>
          </w:p>
        </w:tc>
        <w:tc>
          <w:tcPr>
            <w:tcW w:w="2551" w:type="dxa"/>
          </w:tcPr>
          <w:p w14:paraId="02E0D5CE" w14:textId="77777777" w:rsidR="00AD0F34" w:rsidRPr="004E03B0" w:rsidRDefault="00AD0F34" w:rsidP="00D94303">
            <w:pPr>
              <w:rPr>
                <w:rFonts w:ascii="Arial" w:hAnsi="Arial" w:cs="Arial"/>
                <w:i/>
                <w:iCs/>
                <w:szCs w:val="22"/>
              </w:rPr>
            </w:pPr>
            <w:proofErr w:type="spellStart"/>
            <w:r w:rsidRPr="004E03B0">
              <w:rPr>
                <w:rFonts w:ascii="Arial" w:hAnsi="Arial" w:cs="Arial"/>
                <w:i/>
                <w:iCs/>
                <w:szCs w:val="22"/>
              </w:rPr>
              <w:t>Nilaparvata</w:t>
            </w:r>
            <w:proofErr w:type="spellEnd"/>
            <w:r w:rsidRPr="004E03B0">
              <w:rPr>
                <w:rFonts w:ascii="Arial" w:hAnsi="Arial" w:cs="Arial"/>
                <w:i/>
                <w:iCs/>
                <w:szCs w:val="22"/>
              </w:rPr>
              <w:t xml:space="preserve"> </w:t>
            </w:r>
            <w:proofErr w:type="spellStart"/>
            <w:r w:rsidRPr="004E03B0">
              <w:rPr>
                <w:rFonts w:ascii="Arial" w:hAnsi="Arial" w:cs="Arial"/>
                <w:i/>
                <w:iCs/>
                <w:szCs w:val="22"/>
              </w:rPr>
              <w:t>lugens</w:t>
            </w:r>
            <w:proofErr w:type="spellEnd"/>
          </w:p>
        </w:tc>
        <w:tc>
          <w:tcPr>
            <w:tcW w:w="3022" w:type="dxa"/>
          </w:tcPr>
          <w:p w14:paraId="0676FA0F" w14:textId="77777777" w:rsidR="00AD0F34" w:rsidRPr="004E03B0" w:rsidRDefault="00AD0F34" w:rsidP="00D94303">
            <w:pPr>
              <w:rPr>
                <w:rFonts w:ascii="Arial" w:hAnsi="Arial" w:cs="Arial"/>
                <w:szCs w:val="22"/>
              </w:rPr>
            </w:pPr>
            <w:r w:rsidRPr="004E03B0">
              <w:rPr>
                <w:rFonts w:ascii="Arial" w:hAnsi="Arial" w:cs="Arial"/>
                <w:szCs w:val="22"/>
              </w:rPr>
              <w:t>Overexpressed gene in resistant strains</w:t>
            </w:r>
          </w:p>
        </w:tc>
        <w:tc>
          <w:tcPr>
            <w:tcW w:w="2222" w:type="dxa"/>
          </w:tcPr>
          <w:p w14:paraId="1D63CA1A" w14:textId="36C949ED" w:rsidR="00AD0F34" w:rsidRPr="004E03B0" w:rsidRDefault="00AD0F34" w:rsidP="00CA6CB7">
            <w:pPr>
              <w:jc w:val="center"/>
              <w:rPr>
                <w:rFonts w:ascii="Arial" w:hAnsi="Arial" w:cs="Arial"/>
                <w:b/>
                <w:bCs/>
                <w:szCs w:val="22"/>
                <w:cs/>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{"citationItems":[{"id":"ITEM-1","itemData":{"DOI":"10.1016/j.pestbp.2018.06.014","ISSN":"10959939","PMID":"30195383","abstract":"The brown planthopper (BPH, Nilaparvata lugens) has developed high resistance to the first-generation neonicotinoids (imidacloprid). With commercialization and widespread field use of the second-(thiamethoxam) and third-(dinotefuran) generation neonicotinoids, resistance to these insecticides is also reported. We investigated the cytochrome P450 monooxygenase-mediated detoxification in thiamethoxam- and dinotefuran- resistant in comparison to imidacloprid-resistant strains of BPH. In the three moderately resistant BPH strains selected separately with the three insecticides from a same susceptible strain, P450 activities were significantly enhanced over the susceptible control. Seven of 26 tested P450 genes were up-regulated and CYP6ER1 was a strongly over-expressed gene in all the three resistant strains. Knockdown of CYP6ER1 in the susceptible insects reduced P450 activity, retarded nymph growth and significantly increased sensitivity to each one of the three neonicotinoids. Taken together, we show that enhanced P450 activity and over-expression of CYP6ER1 gene are involved in BPH resistance to thiamethoxam and dinotefuran as to imidacloprid. These findings are of significance in management thiamethoxam and dinotefuran resistance in the BPH, especially in the management of potential cross-resistance to the three generations of neonicotinoids.","author":[{"dropping-particle":"","family":"Sun","given":"Xiaoqin","non-dropping-particle":"","parse-names":false,"suffix":""},{"dropping-particle":"","family":"Gong","given":"Youhui","non-dropping-particle":"","parse-names":false,"suffix":""},{"dropping-particle":"","family":"Ali","given":"Shahbaz","non-dropping-particle":"","parse-names":false,"suffix":""},{"dropping-particle":"","family":"Hou","given":"Maolin","non-dropping-particle":"","parse-names":false,"suffix":""}],"container-title":"Pesticide Biochemistry and Physiology","id":"ITEM-1","issue":"February","issued":{"date-parts":[["2018"]]},"page":"17-26","publisher":"Elsevier","title":"Mechanisms of resistance to thiamethoxam and dinotefuran compared to imidacloprid in the brown planthopper: Roles of cytochrome P450 monooxygenase and a P450 gene CYP6ER1","type":"article-journal","volume":"150"},"uris":["http://www.mendeley.com/documents/?uuid=988252a8-d7ab-412b-b625-9c41f53934a0"]}],"mendeley":{"formattedCitation":"(3)","plainTextFormattedCitation":"(3)","previouslyFormattedCitation":"(Sun et al. 2018)"},"properties":{"noteIndex":0},"schema":"https://github.com/citation-style-language/schema/raw/master/csl-citation.json"}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(3)</w:t>
            </w:r>
            <w:r w:rsidRPr="004E03B0">
              <w:rPr>
                <w:rFonts w:ascii="Arial" w:hAnsi="Arial" w:cs="Arial"/>
                <w:b/>
                <w:bCs/>
                <w:szCs w:val="22"/>
              </w:rPr>
              <w:fldChar w:fldCharType="end"/>
            </w:r>
          </w:p>
        </w:tc>
      </w:tr>
      <w:tr w:rsidR="00AD0F34" w:rsidRPr="004E03B0" w14:paraId="5F284DC3" w14:textId="77777777" w:rsidTr="00F06DF1">
        <w:tc>
          <w:tcPr>
            <w:tcW w:w="1555" w:type="dxa"/>
          </w:tcPr>
          <w:p w14:paraId="5BCCF8B4" w14:textId="77777777" w:rsidR="00AD0F34" w:rsidRPr="004E03B0" w:rsidRDefault="00AD0F34" w:rsidP="00D94303">
            <w:pPr>
              <w:rPr>
                <w:rFonts w:ascii="Arial" w:hAnsi="Arial" w:cs="Arial"/>
                <w:b/>
                <w:bCs/>
                <w:szCs w:val="22"/>
              </w:rPr>
            </w:pPr>
            <w:r w:rsidRPr="004E03B0">
              <w:rPr>
                <w:rFonts w:ascii="Arial" w:hAnsi="Arial" w:cs="Arial"/>
                <w:szCs w:val="22"/>
              </w:rPr>
              <w:t>CYP4G68</w:t>
            </w:r>
          </w:p>
        </w:tc>
        <w:tc>
          <w:tcPr>
            <w:tcW w:w="2551" w:type="dxa"/>
          </w:tcPr>
          <w:p w14:paraId="616DE60F" w14:textId="77777777" w:rsidR="00AD0F34" w:rsidRPr="004E03B0" w:rsidRDefault="00AD0F34" w:rsidP="00D94303">
            <w:pPr>
              <w:rPr>
                <w:rFonts w:ascii="Arial" w:hAnsi="Arial" w:cs="Arial"/>
                <w:i/>
                <w:iCs/>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501FB107"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w:t>
            </w:r>
          </w:p>
        </w:tc>
        <w:tc>
          <w:tcPr>
            <w:tcW w:w="2222" w:type="dxa"/>
          </w:tcPr>
          <w:p w14:paraId="6AD742BD" w14:textId="34F3BBC2"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{"citationItems":[{"id":"ITEM-1","itemData":{"DOI":"10.3390/agriculture12040473","ISSN":"20770472","abstract":"The superfamily cytochrome P450s is involved in the evolution of insecticide resistance. However, whether CYP4G68, a differentially expressed gene identified from our transcriptomics analysis, confers resistance to the world’s heavily used insecticide class neonicotinoids is unknown. Hence, we explored the role of CYP4G68 in conferring imidacloprid and thiamethoxam resistance in Bemisia tabaci. The species B. tabaci MED developed low-to-high resistance to imidacloprid and thiamethoxam. Exposure to imidacloprid and thiamethoxam significantly increased the expression of CYP4G68. Moreover, quantitative real-time PCR analysis demonstrated that CYP4G68 was re-markably overexpressed in imidacloprid-resistant and thiamethoxam-resistant strains compared to susceptible strains. Further correlation analysis showed that CYP4G68 expression was significantly positively correlated with the associated resistance level in various strains of B. tabaci. These results suggest that the enhanced expression of CYP4G68 appears to mediate imidacloprid and thiameth-oxam resistance in B. tabaci. Additionally, silencing CYP4G68 via RNA interference strongly increased the susceptibility of B. tabaci MED to imidacloprid and thiamethoxam. Collectively, this work revealed that CYP4G68 plays a vital role in imidacloprid and thiamethoxam resistance in B. tabaci MED. These findings will not only advance our understanding of the role of P450s in insecticide resistance but also provide a great potential target for the sustainable control of destructive insect pests such as whiteflies.","author":[{"dropping-particle":"","family":"Liang","given":"Jinjin","non-dropping-particle":"","parse-names":false,"suffix":""},{"dropping-particle":"","family":"Yang","given":"Jing","non-dropping-particle":"","parse-names":false,"suffix":""},{"dropping-particle":"","family":"Hu","given":"Jinyu","non-dropping-particle":"","parse-names":false,"suffix":""},{"dropping-particle":"","family":"Fu","given":"Buli","non-dropping-particle":"","parse-names":false,"suffix":""},{"dropping-particle":"","family":"Gong","given":"Peipan","non-dropping-particle":"","parse-names":false,"suffix":""},{"dropping-particle":"","family":"Du","given":"Tianhua","non-dropping-particle":"","parse-names":false,"suffix":""},{"dropping-particle":"","family":"Xue","given":"Hu","non-dropping-particle":"","parse-names":false,"suffix":""},{"dropping-particle":"","family":"Wei","given":"Xuegao","non-dropping-particle":"","parse-names":false,"suffix":""},{"dropping-particle":"","family":"Liu","given":"Shaonan","non-dropping-particle":"","parse-names":false,"suffix":""},{"dropping-particle":"","family":"Huang","given":"Mingjiao","non-dropping-particle":"","parse-names":false,"suffix":""},{"dropping-particle":"","family":"Yin","given":"Cheng","non-dropping-particle":"","parse-names":false,"suffix":""},{"dropping-particle":"","family":"Ji","given":"Yao","non-dropping-particle":"","parse-names":false,"suffix":""},{"dropping-particle":"","family":"He","given":"Chao","non-dropping-particle":"","parse-names":false,"suffix":""},{"dropping-particle":"","family":"Xie","given":"Wen","non-dropping-particle":"","parse-names":false,"suffix":""},{"dropping-particle":"","family":"Wang","given":"Ran","non-dropping-particle":"","parse-names":false,"suffix":""},{"dropping-particle":"","family":"Yang","given":"Xin","non-dropping-particle":"","parse-names":false,"suffix":""},{"dropping-particle":"","family":"Zhang","given":"Youjun","non-dropping-particle":"","parse-names":false,"suffix":""}],"container-title":"Agriculture (Switzerland)","id":"ITEM-1","issue":"4","issued":{"date-parts":[["2022"]]},"title":"Cytpchrome P450 CYP4G68 Is Associated with Imidacloprid and Thiamethoxam Resistance in Field Whitefly, Bemisia tabaci (Hemiptera: Gennadius)","type":"article-journal","volume":"12"},"uris":["http://www.mendeley.com/documents/?uuid=47c8ccaa-a6fc-4a29-aaf0-46fa2264b9a0"]},{"id":"ITEM-2","itemData":{"DOI":"10.1111/1748-5967.12427","ISSN":"17485967","abstract":"The occurrence of Bemisia tabaci poses an increasingly serious threat to cotton and vegetable crops in Xinjiang, China. Currently, neonicotinoid insecticides are commonly used to control the insect, to which resistance is inevitable due to intensive use. However, the resistance status and mechanism of B. tabaci to neonicotinoid insecticides in Xinjiang are poorly understood. Cytochrome P450 monooxygenases represent a key detoxification mechanism in the neonicotinoid resistance of B. tabaci. In this study, the resistance level to imidacloprid and thiamethoxam was investigated using the leaf dipping method in five field populations of B. tabaci from Turpan (TP, two sampling sites), Shache (SC), Hotan (HT) and Yining (YN) in northern and southern Xinjiang. The expression changes of eighteen cytochrome P450 genes from the select B. tabaci populations were determined by real-time fluorescence quantitative PCR (qPCR). The bioassay revealed that the five populations tested had developed moderate to high levels of resistance to imidacloprid (12.26–46.07-fold), while the populations remained sensitive to thiamethoxam except for HT, which had a low level of resistance. The qPCR results showed that the expression levels of five P450 genes, CYP4G68, CYP6CM1, CYP303A1-like, CYP6DZ7 and CYP6DZ4, were significantly higher in some resistant field populations than in the susceptible strain. Resistance to imidacloprid in field populations of B. tabaci might be associated with the increased expression of these five cytochrome P450 genes. The results are useful for further understanding the mechanism of neonicotinoid resistance and will contribute to the management of insecticide-resistant B. tabaci in Xinjiang.","author":[{"dropping-particle":"","family":"Wang","given":"Qiang","non-dropping-particle":"","parse-names":false,"suffix":""},{"dropping-particle":"","family":"Wang","given":"Mei Na","non-dropping-particle":"","parse-names":false,"suffix":""},{"dropping-particle":"","family":"Jia","given":"Zun Zun","non-dropping-particle":"","parse-names":false,"suffix":""},{"dropping-particle":"","family":"Ahmat","given":"Tursun","non-dropping-particle":"","parse-names":false,"suffix":""},{"dropping-particle":"","family":"Xie","given":"Lin Jie","non-dropping-particle":"","parse-names":false,"suffix":""},{"dropping-particle":"","family":"Jiang","given":"Wei Hua","non-dropping-particle":"","parse-names":false,"suffix":""}],"container-title":"Entomological Research","id":"ITEM-2","issue":"4","issued":{"date-parts":[["2020"]]},"page":"205-211","title":"Resistance to neonicotinoid insecticides and expression changes of eighteen cytochrome P450 genes in field populations of Bemisia tabaci from Xinjiang, China","type":"article-journal","volume":"50"},"uris":["http://www.mendeley.com/documents/?uuid=e1d586c7-beae-453c-8ab8-1ed68497cf7e"]}],"mendeley":{"formattedCitation":"(1,4)","plainTextFormattedCitation":"(1,4)","previouslyFormattedCitation":"(Liang et al. 2022; Wang et al. 2020)"},"properties":{"noteIndex":0},"schema":"https://github.com/citation-style-language/schema/raw/master/csl-citation.json"}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(1,4)</w:t>
            </w:r>
            <w:r w:rsidRPr="004E03B0">
              <w:rPr>
                <w:rFonts w:ascii="Arial" w:hAnsi="Arial" w:cs="Arial"/>
                <w:b/>
                <w:bCs/>
                <w:szCs w:val="22"/>
              </w:rPr>
              <w:fldChar w:fldCharType="end"/>
            </w:r>
          </w:p>
        </w:tc>
      </w:tr>
      <w:tr w:rsidR="00AD0F34" w:rsidRPr="004E03B0" w14:paraId="54BF63D9" w14:textId="77777777" w:rsidTr="00F06DF1">
        <w:tc>
          <w:tcPr>
            <w:tcW w:w="1555" w:type="dxa"/>
          </w:tcPr>
          <w:p w14:paraId="283C0A7B" w14:textId="77777777" w:rsidR="00AD0F34" w:rsidRPr="004E03B0" w:rsidRDefault="00AD0F34" w:rsidP="00D94303">
            <w:pPr>
              <w:rPr>
                <w:rFonts w:ascii="Arial" w:hAnsi="Arial" w:cs="Arial"/>
                <w:szCs w:val="22"/>
              </w:rPr>
            </w:pPr>
            <w:r w:rsidRPr="004E03B0">
              <w:rPr>
                <w:rFonts w:ascii="Arial" w:hAnsi="Arial" w:cs="Arial"/>
                <w:szCs w:val="22"/>
              </w:rPr>
              <w:t>CYP</w:t>
            </w:r>
            <w:r w:rsidRPr="004E03B0">
              <w:rPr>
                <w:rFonts w:ascii="Arial" w:hAnsi="Arial" w:cs="Arial"/>
                <w:szCs w:val="22"/>
                <w:cs/>
              </w:rPr>
              <w:t>6</w:t>
            </w:r>
            <w:r w:rsidRPr="004E03B0">
              <w:rPr>
                <w:rFonts w:ascii="Arial" w:hAnsi="Arial" w:cs="Arial"/>
                <w:szCs w:val="22"/>
              </w:rPr>
              <w:t>CX</w:t>
            </w:r>
            <w:r w:rsidRPr="004E03B0">
              <w:rPr>
                <w:rFonts w:ascii="Arial" w:hAnsi="Arial" w:cs="Arial"/>
                <w:szCs w:val="22"/>
                <w:cs/>
              </w:rPr>
              <w:t>1</w:t>
            </w:r>
          </w:p>
        </w:tc>
        <w:tc>
          <w:tcPr>
            <w:tcW w:w="2551" w:type="dxa"/>
          </w:tcPr>
          <w:p w14:paraId="226AE5F4"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7A04903D" w14:textId="77777777" w:rsidR="00AD0F34" w:rsidRPr="004E03B0" w:rsidRDefault="00AD0F34" w:rsidP="00D94303">
            <w:pPr>
              <w:rPr>
                <w:rFonts w:ascii="Arial" w:hAnsi="Arial" w:cs="Arial"/>
                <w:szCs w:val="22"/>
              </w:rPr>
            </w:pPr>
            <w:r w:rsidRPr="004E03B0">
              <w:rPr>
                <w:rFonts w:ascii="Arial" w:hAnsi="Arial" w:cs="Arial"/>
                <w:szCs w:val="22"/>
              </w:rPr>
              <w:t xml:space="preserve">Increase expression upon exposure </w:t>
            </w:r>
          </w:p>
        </w:tc>
        <w:tc>
          <w:tcPr>
            <w:tcW w:w="2222" w:type="dxa"/>
          </w:tcPr>
          <w:p w14:paraId="1C1E62C2" w14:textId="67A77F7A"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{"citationItems":[{"id":"ITEM-1","itemData":{"DOI":"10.1371/journal.pone.0061820","ISSN":"19326203","PMID":"23671574","abstract":"Background:The sweetpotato whitefly, Bemisia tabaci (Hemiptera: Aleyrodidae), is one of the most widely distributed agricultural pests. Although it has developed resistance to many registered insecticides including the neonicotinoid insecticide thiamethoxam, the mechanisms that regulate the resistance are poorly understood. To understand the molecular basis of thiamethoxam resistance, \"omics\" analyses were carried out to examine differences between resistant and susceptible B. tabaci at both transcriptional and translational levels.Results:A total of 1,338 mRNAs and 52 proteins were differentially expressed between resistant and susceptible B. tabaci. Among them, 11 transcripts had concurrent transcription and translation profiles. KEGG analysis mapped 318 and 35 differentially expressed genes and proteins, respectively, to 160 and 59 pathways (p&lt;0.05). Thiamethoxam treatment activated metabolic pathways (e.g., drug metabolism), in which 118 transcripts were putatively linked to insecticide resistance, including up-regulated glutathione-S-transferase, UDP glucuronosyltransferase, glucosyl/glucuronosyl transferase, and cytochrome P450. Gene Ontology analysis placed these genes and proteins into protein complex, metabolic process, cellular process, signaling, and response to stimulus categories. Quantitative real-time PCR analysis validated \"omics\" response, and suggested a highly overexpressed P450, CYP6CX1, as a candidate molecular basis for the mechanistic study of thiamethoxam resistance in whiteflies. Finally, enzymatic activity assays showed elevated detoxification activities in the resistant B. tabaci.Conclusions:This study demonstrates the applicability of high-throughput omics tools for identifying molecular candidates related to thiamethoxam resistance in an agricultural important insect pest. In addition, transcriptomic and proteomic analyses provide a solid foundation for future functional investigations into the complex molecular mechanisms governing the neonicotinoid resistance in whiteflies. © 2013 Yang et al.","author":[{"dropping-particle":"","family":"Yang","given":"Nina","non-dropping-particle":"","parse-names":false,"suffix":""},{"dropping-particle":"","family":"Xie","given":"Wen","non-dropping-particle":"","parse-names":false,"suffix":""},{"dropping-particle":"","family":"Yang","given":"Xin","non-dropping-particle":"","parse-names":false,"suffix":""},{"dropping-particle":"","family":"Wang","given":"Shaoli","non-dropping-particle":"","parse-names":false,"suffix":""},{"dropping-particle":"","family":"Wu","given":"Qingjun","non-dropping-particle":"","parse-names":false,"suffix":""},{"dropping-particle":"","family":"Li","given":"Rumei","non-dropping-particle":"","parse-names":false,"suffix":""},{"dropping-particle":"","family":"Pan","given":"Huipeng","non-dropping-particle":"","parse-names":false,"suffix":""},{"dropping-particle":"","family":"Liu","given":"Baiming","non-dropping-particle":"","parse-names":false,"suffix":""},{"dropping-particle":"","family":"Shi","given":"Xiaobin","non-dropping-particle":"","parse-names":false,"suffix":""},{"dropping-particle":"","family":"Fang","given":"Yong","non-dropping-particle":"","parse-names":false,"suffix":""},{"dropping-particle":"","family":"Xu","given":"Baoyun","non-dropping-particle":"","parse-names":false,"suffix":""},{"dropping-particle":"","family":"Zhou","given":"Xuguo","non-dropping-particle":"","parse-names":false,"suffix":""},{"dropping-particle":"","family":"Zhang","given":"Youjun","non-dropping-particle":"","parse-names":false,"suffix":""}],"container-title":"PLoS ONE","id":"ITEM-1","issue":"5","issued":{"date-parts":[["2013"]]},"title":"Transcriptomic and Proteomic Responses of Sweetpotato Whitefly, Bemisia tabaci, to Thiamethoxam","type":"article-journal","volume":"8"},"uris":["http://www.mendeley.com/documents/?uuid=6be6df4f-2bc9-49b9-bd2e-9f1af020d418"]}],"mendeley":{"formattedCitation":"(2)","plainTextFormattedCitation":"(2)","previouslyFormattedCitation":"(Yang et al. 2013)"},"properties":{"noteIndex":0},"schema":"https://github.com/citation-style-language/schema/raw/master/csl-citation.json"}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(2)</w:t>
            </w:r>
            <w:r w:rsidRPr="004E03B0">
              <w:rPr>
                <w:rFonts w:ascii="Arial" w:hAnsi="Arial" w:cs="Arial"/>
                <w:b/>
                <w:bCs/>
                <w:szCs w:val="22"/>
              </w:rPr>
              <w:fldChar w:fldCharType="end"/>
            </w:r>
          </w:p>
        </w:tc>
      </w:tr>
      <w:tr w:rsidR="00AD0F34" w:rsidRPr="004E03B0" w14:paraId="3D9C9108" w14:textId="77777777" w:rsidTr="00F06DF1">
        <w:tc>
          <w:tcPr>
            <w:tcW w:w="1555" w:type="dxa"/>
          </w:tcPr>
          <w:p w14:paraId="4D665E96" w14:textId="77777777" w:rsidR="00AD0F34" w:rsidRPr="004E03B0" w:rsidRDefault="00AD0F34" w:rsidP="00D94303">
            <w:pPr>
              <w:rPr>
                <w:rFonts w:ascii="Arial" w:hAnsi="Arial" w:cs="Arial"/>
                <w:szCs w:val="22"/>
              </w:rPr>
            </w:pPr>
            <w:r w:rsidRPr="004E03B0">
              <w:rPr>
                <w:rFonts w:ascii="Arial" w:hAnsi="Arial" w:cs="Arial"/>
                <w:szCs w:val="22"/>
              </w:rPr>
              <w:t>CYP6DB3</w:t>
            </w:r>
          </w:p>
        </w:tc>
        <w:tc>
          <w:tcPr>
            <w:tcW w:w="2551" w:type="dxa"/>
          </w:tcPr>
          <w:p w14:paraId="6B4789C4"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327D05E9"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 and increased sensitivity when KO</w:t>
            </w:r>
          </w:p>
        </w:tc>
        <w:tc>
          <w:tcPr>
            <w:tcW w:w="2222" w:type="dxa"/>
          </w:tcPr>
          <w:p w14:paraId="01589018" w14:textId="4C18BD73"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{"citationItems":[{"id":"ITEM-1","itemData":{"DOI":"10.1016/j.pestbp.2023.105468","ISSN":"10959939","PMID":"37532309","abstract":"High level resistance for a variety of insecticides has emerged in Bemisia tabaci, a globally notorious insect. Neonicotinoid insecticides have been applied widely to control B. tabaci. Whether a differentially expressed gene CYP6DB3 discovered from transcriptome data of B. tabaci is involved in the resistance to neonicotinoid insecticides remains unclear. In the study, CYP6DB3 expression was significantly up-regulated in both thiamethoxam- and imidacloprid-resistant strains relative to the susceptive strains. We also found that CYP6DB3 expression was up-regulated after B. tabaci adults were exposed to thiamethoxam and imidacloprid. Moreover, knocking down CYP6DB3 expression via feeding corresponding dsRNA significantly reduced CYP6DB3 mRNA levels by 34.1%. Silencing CYP6DB3 expression increased the sensitivity of B. tabaci Q adults against both thiamethoxam and imidacloprid. Overexpression of CYP6DB3 gene reduced the toxicity of imidacloprid and thiamethoxam to transgenic D. melanogaster. In addition, metabolic studies showed that CYP6DB3 can metabolize 24.41% imidacloprid in vitro. Collectively, these results strongly support that CYP6DB3 plays an important role in the resistance of B. tabaci Q to imidacloprid and thiamethoxam. This work will facilitate a deeper insight into the part of cytochrome P450s in the evolution of insecticide resistance and provide a theoretical basis for the development of new integrated pest resistance management.","author":[{"dropping-particle":"","family":"Wei","given":"Xuegao","non-dropping-particle":"","parse-names":false,"suffix":""},{"dropping-particle":"","family":"Hu","given":"Jinyu","non-dropping-particle":"","parse-names":false,"suffix":""},{"dropping-particle":"","family":"Yang","given":"Jing","non-dropping-particle":"","parse-names":false,"suffix":""},{"dropping-particle":"","family":"Yin","given":"Cheng","non-dropping-particle":"","parse-names":false,"suffix":""},{"dropping-particle":"","family":"Du","given":"Tianhua","non-dropping-particle":"","parse-names":false,"suffix":""},{"dropping-particle":"","family":"Huang","given":"Mingjiao","non-dropping-particle":"","parse-names":false,"suffix":""},{"dropping-particle":"","family":"Fu","given":"Buli","non-dropping-particle":"","parse-names":false,"suffix":""},{"dropping-particle":"","family":"Gong","given":"Peipan","non-dropping-particle":"","parse-names":false,"suffix":""},{"dropping-particle":"","family":"Liang","given":"Jinjin","non-dropping-particle":"","parse-names":false,"suffix":""},{"dropping-particle":"","family":"Liu","given":"Shaonan","non-dropping-particle":"","parse-names":false,"suffix":""},{"dropping-particle":"","family":"Xue","given":"Hu","non-dropping-particle":"","parse-names":false,"suffix":""},{"dropping-particle":"","family":"He","given":"Chao","non-dropping-particle":"","parse-names":false,"suffix":""},{"dropping-particle":"","family":"Ji","given":"Yao","non-dropping-particle":"","parse-names":false,"suffix":""},{"dropping-particle":"","family":"Du","given":"He","non-dropping-particle":"","parse-names":false,"suffix":""},{"dropping-particle":"","family":"Zhang","given":"Rong","non-dropping-particle":"","parse-names":false,"suffix":""},{"dropping-particle":"","family":"Wang","given":"Chao","non-dropping-particle":"","parse-names":false,"suffix":""},{"dropping-particle":"","family":"Li","given":"Junkai","non-dropping-particle":"","parse-names":false,"suffix":""},{"dropping-particle":"","family":"Yang","given":"Xin","non-dropping-particle":"","parse-names":false,"suffix":""},{"dropping-particle":"","family":"Zhang","given":"Youjun","non-dropping-particle":"","parse-names":false,"suffix":""}],"container-title":"Pesticide Biochemistry and Physiology","id":"ITEM-1","issue":"May","issued":{"date-parts":[["2023"]]},"title":"Cytochrome P450 CYP6DB3 was involved in thiamethoxam and imidacloprid resistance in Bemisia tabaci Q (Hemiptera: Aleyrodidae)","type":"article-journal","volume":"194"},"uris":["http://www.mendeley.com/documents/?uuid=8436de31-39fd-4e50-a879-ea9f32d62f0f"]}],"mendeley":{"formattedCitation":"(5)","plainTextFormattedCitation":"(5)","previouslyFormattedCitation":"(Wei et al. 2023)"},"properties":{"noteIndex":0},"schema":"https://github.com/citation-style-language/schema/raw/master/csl-citation.json"}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(5)</w:t>
            </w:r>
            <w:r w:rsidRPr="004E03B0">
              <w:rPr>
                <w:rFonts w:ascii="Arial" w:hAnsi="Arial" w:cs="Arial"/>
                <w:b/>
                <w:bCs/>
                <w:szCs w:val="22"/>
              </w:rPr>
              <w:fldChar w:fldCharType="end"/>
            </w:r>
          </w:p>
        </w:tc>
      </w:tr>
      <w:tr w:rsidR="00AD0F34" w:rsidRPr="004E03B0" w14:paraId="1B204543" w14:textId="77777777" w:rsidTr="00F06DF1">
        <w:tc>
          <w:tcPr>
            <w:tcW w:w="1555" w:type="dxa"/>
          </w:tcPr>
          <w:p w14:paraId="3A74AF1B" w14:textId="77777777" w:rsidR="00AD0F34" w:rsidRPr="004E03B0" w:rsidRDefault="00AD0F34" w:rsidP="00D94303">
            <w:pPr>
              <w:rPr>
                <w:rFonts w:ascii="Arial" w:hAnsi="Arial" w:cs="Arial"/>
                <w:szCs w:val="22"/>
              </w:rPr>
            </w:pPr>
            <w:r w:rsidRPr="004E03B0">
              <w:rPr>
                <w:rFonts w:ascii="Arial" w:hAnsi="Arial" w:cs="Arial"/>
                <w:szCs w:val="22"/>
              </w:rPr>
              <w:t>CYP6DV5</w:t>
            </w:r>
          </w:p>
        </w:tc>
        <w:tc>
          <w:tcPr>
            <w:tcW w:w="2551" w:type="dxa"/>
          </w:tcPr>
          <w:p w14:paraId="296E83E3" w14:textId="77777777" w:rsidR="00AD0F34" w:rsidRPr="004E03B0" w:rsidRDefault="00AD0F34" w:rsidP="00D94303">
            <w:pPr>
              <w:rPr>
                <w:rFonts w:ascii="Arial" w:hAnsi="Arial" w:cs="Arial"/>
                <w:szCs w:val="22"/>
              </w:rPr>
            </w:pPr>
            <w:proofErr w:type="spellStart"/>
            <w:r w:rsidRPr="004E03B0">
              <w:rPr>
                <w:rFonts w:ascii="Arial" w:hAnsi="Arial" w:cs="Arial"/>
                <w:i/>
                <w:iCs/>
                <w:szCs w:val="22"/>
              </w:rPr>
              <w:t>Bemisia</w:t>
            </w:r>
            <w:proofErr w:type="spellEnd"/>
            <w:r w:rsidRPr="004E03B0">
              <w:rPr>
                <w:rFonts w:ascii="Arial" w:hAnsi="Arial" w:cs="Arial"/>
                <w:i/>
                <w:iCs/>
                <w:szCs w:val="22"/>
              </w:rPr>
              <w:t xml:space="preserve"> </w:t>
            </w:r>
            <w:proofErr w:type="spellStart"/>
            <w:r w:rsidRPr="004E03B0">
              <w:rPr>
                <w:rFonts w:ascii="Arial" w:hAnsi="Arial" w:cs="Arial"/>
                <w:i/>
                <w:iCs/>
                <w:szCs w:val="22"/>
              </w:rPr>
              <w:t>tabaci</w:t>
            </w:r>
            <w:proofErr w:type="spellEnd"/>
          </w:p>
        </w:tc>
        <w:tc>
          <w:tcPr>
            <w:tcW w:w="3022" w:type="dxa"/>
          </w:tcPr>
          <w:p w14:paraId="0FC67695"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 and increased sensitivity when KO</w:t>
            </w:r>
          </w:p>
        </w:tc>
        <w:tc>
          <w:tcPr>
            <w:tcW w:w="2222" w:type="dxa"/>
          </w:tcPr>
          <w:p w14:paraId="4BBFE0CF" w14:textId="1F5C4B8E"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{"citationItems":[{"id":"ITEM-1","itemData":{"author":[{"dropping-particle":"","family":"Fengshan","given":"Yang","non-dropping-particle":"","parse-names":false,"suffix":""},{"dropping-particle":"","family":"Cheng","given":"Y I N","non-dropping-particle":"","parse-names":false,"suffix":""},{"dropping-particle":"","family":"Jing","given":"Yang","non-dropping-particle":"","parse-names":false,"suffix":""},{"dropping-particle":"","family":"Xuegao","given":"W E I","non-dropping-particle":"","parse-names":false,"suffix":""},{"dropping-particle":"","family":"Tianhua","given":"D U","non-dropping-particle":"","parse-names":false,"suffix":""},{"dropping-particle":"","family":"Xin","given":"Yang","non-dropping-particle":"","parse-names":false,"suffix":""},{"dropping-particle":"","family":"Shaoli","given":"Wang","non-dropping-particle":"","parse-names":false,"suffix":""},{"dropping-particle":"","family":"Youjun","given":"Zhang","non-dropping-particle":"","parse-names":false,"suffix":""}],"container-title":"Chinese Journal of Pesticide Science http://www.nyxxb.cn","id":"ITEM-1","issue":"1","issued":{"date-parts":[["2021"]]},"page":"83-89","title":"Cloning and expression profiles of cytochrome P450 CYP6DV5 in Bemisia tabaci and its role in resistance of B. tabaci to thiamethoxam","type":"article-journal","volume":"23"},"uris":["http://www.mendeley.com/documents/?uuid=b0fe0c08-d3f6-4cb6-b6b1-7fb3f34f6050"]}],"mendeley":{"formattedCitation":"(6)","plainTextFormattedCitation":"(6)","previouslyFormattedCitation":"(Fengshan et al. 2021)"},"properties":{"noteIndex":0},"schema":"https://github.com/citation-style-language/schema/raw/master/csl-citation.json"}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(6)</w:t>
            </w:r>
            <w:r w:rsidRPr="004E03B0">
              <w:rPr>
                <w:rFonts w:ascii="Arial" w:hAnsi="Arial" w:cs="Arial"/>
                <w:b/>
                <w:bCs/>
                <w:szCs w:val="22"/>
              </w:rPr>
              <w:fldChar w:fldCharType="end"/>
            </w:r>
          </w:p>
        </w:tc>
      </w:tr>
      <w:tr w:rsidR="00AD0F34" w:rsidRPr="004E03B0" w14:paraId="04783A5F" w14:textId="77777777" w:rsidTr="00F06DF1">
        <w:tc>
          <w:tcPr>
            <w:tcW w:w="1555" w:type="dxa"/>
          </w:tcPr>
          <w:p w14:paraId="400DC992" w14:textId="77777777" w:rsidR="00AD0F34" w:rsidRPr="004E03B0" w:rsidRDefault="00AD0F34" w:rsidP="00D94303">
            <w:pPr>
              <w:rPr>
                <w:rFonts w:ascii="Arial" w:hAnsi="Arial" w:cs="Arial"/>
                <w:szCs w:val="22"/>
              </w:rPr>
            </w:pPr>
            <w:r w:rsidRPr="004E03B0">
              <w:rPr>
                <w:rFonts w:ascii="Arial" w:hAnsi="Arial" w:cs="Arial"/>
                <w:szCs w:val="22"/>
              </w:rPr>
              <w:t>CYP9Z140</w:t>
            </w:r>
          </w:p>
        </w:tc>
        <w:tc>
          <w:tcPr>
            <w:tcW w:w="2551" w:type="dxa"/>
          </w:tcPr>
          <w:p w14:paraId="6BFAC2A6" w14:textId="77777777" w:rsidR="00AD0F34" w:rsidRPr="004E03B0" w:rsidRDefault="00AD0F34" w:rsidP="00D94303">
            <w:pPr>
              <w:rPr>
                <w:rFonts w:ascii="Arial" w:hAnsi="Arial" w:cs="Arial"/>
                <w:i/>
                <w:iCs/>
                <w:szCs w:val="22"/>
              </w:rPr>
            </w:pPr>
            <w:r w:rsidRPr="004E03B0">
              <w:rPr>
                <w:rFonts w:ascii="Arial" w:hAnsi="Arial" w:cs="Arial"/>
                <w:i/>
                <w:iCs/>
                <w:szCs w:val="22"/>
              </w:rPr>
              <w:t xml:space="preserve">Leptinotarsa </w:t>
            </w:r>
            <w:proofErr w:type="spellStart"/>
            <w:r w:rsidRPr="004E03B0">
              <w:rPr>
                <w:rFonts w:ascii="Arial" w:hAnsi="Arial" w:cs="Arial"/>
                <w:i/>
                <w:iCs/>
                <w:szCs w:val="22"/>
              </w:rPr>
              <w:t>decemlineata</w:t>
            </w:r>
            <w:proofErr w:type="spellEnd"/>
          </w:p>
        </w:tc>
        <w:tc>
          <w:tcPr>
            <w:tcW w:w="3022" w:type="dxa"/>
          </w:tcPr>
          <w:p w14:paraId="0E0A47A1"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 and increased sensitivity when KO</w:t>
            </w:r>
          </w:p>
        </w:tc>
        <w:tc>
          <w:tcPr>
            <w:tcW w:w="2222" w:type="dxa"/>
          </w:tcPr>
          <w:p w14:paraId="3B6A9F90" w14:textId="47FE35A9"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10.20944/preprints202406.1030.v1","author":[{"dropping-particle":"","family":"Wang","given":"Yaqi","non-dropping-particle":"","parse-names":false,"suffix":""},{"dropping-particle":"","family":"Tian","given":"Yitong","non-dropping-particle":"","parse-names":false,"suffix":""},{"dropping-particle":"","family":"Zhou","given":"Dongdi","non-dropping-particle":"","parse-names":false,"suffix":""},{"dropping-particle":"","family":"Fang","given":"Jiayi","non-dropping-particle":"","parse-names":false,"suffix":""},{"dropping-particle":"","family":"Cao","given":"Jingwei","non-dropping-particle":"","parse-names":false,"suffix":""},{"dropping-particle":"","family":"Shi","given":"Chengcheng","non-dropping-particle":"","parse-names":false,"suffix":""},{"dropping-particle":"","family":"Lei","given":"Yixuan","non-dropping-particle":"","parse-names":false,"suffix":""}],"id":"ITEM-1","issued":{"date-parts":[["2024"]]},"title":"Expression and Functional Analysis of Two Cytochrome P450 Monooxygenase Genes and a UDP-Glycosyltransferase Gene Linked with Thiamethoxam Resistance in Colorado Potato Beetle Cytochrome P450 Monooxygenase Genes and A UDP-Glycosyltransferase Gene Linked wi","type":"article-journal"},"uris":["http://www.mendeley.com/documents/?uuid=c328d276-1dcc-40fb-a13e-45b0ee22148b"]}],"mendeley":{"formattedCitation":"(7)","plainTextFormattedCitation":"(7)","previouslyFormattedCitation":"(Wang et al. 2024)"},"properties":{"noteIndex":0},"schema":"https://github.com/citation-style-language/schema/raw/master/csl-citation.json"}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(7)</w:t>
            </w:r>
            <w:r w:rsidRPr="004E03B0">
              <w:rPr>
                <w:rFonts w:ascii="Arial" w:hAnsi="Arial" w:cs="Arial"/>
                <w:b/>
                <w:bCs/>
                <w:szCs w:val="22"/>
              </w:rPr>
              <w:fldChar w:fldCharType="end"/>
            </w:r>
          </w:p>
        </w:tc>
      </w:tr>
      <w:tr w:rsidR="00AD0F34" w:rsidRPr="004E03B0" w14:paraId="5D611F79" w14:textId="77777777" w:rsidTr="00F06DF1">
        <w:tc>
          <w:tcPr>
            <w:tcW w:w="1555" w:type="dxa"/>
          </w:tcPr>
          <w:p w14:paraId="136406F0" w14:textId="77777777" w:rsidR="00AD0F34" w:rsidRPr="004E03B0" w:rsidRDefault="00AD0F34" w:rsidP="00D94303">
            <w:pPr>
              <w:rPr>
                <w:rFonts w:ascii="Arial" w:hAnsi="Arial" w:cs="Arial"/>
                <w:szCs w:val="22"/>
              </w:rPr>
            </w:pPr>
            <w:r w:rsidRPr="004E03B0">
              <w:rPr>
                <w:rFonts w:ascii="Arial" w:hAnsi="Arial" w:cs="Arial"/>
                <w:szCs w:val="22"/>
              </w:rPr>
              <w:t>CYP9AY1</w:t>
            </w:r>
          </w:p>
        </w:tc>
        <w:tc>
          <w:tcPr>
            <w:tcW w:w="2551" w:type="dxa"/>
          </w:tcPr>
          <w:p w14:paraId="7F6AD00B" w14:textId="77777777" w:rsidR="00AD0F34" w:rsidRPr="004E03B0" w:rsidRDefault="00AD0F34" w:rsidP="00D94303">
            <w:pPr>
              <w:rPr>
                <w:rFonts w:ascii="Arial" w:hAnsi="Arial" w:cs="Arial"/>
                <w:i/>
                <w:iCs/>
                <w:szCs w:val="22"/>
              </w:rPr>
            </w:pPr>
            <w:r w:rsidRPr="004E03B0">
              <w:rPr>
                <w:rFonts w:ascii="Arial" w:hAnsi="Arial" w:cs="Arial"/>
                <w:i/>
                <w:iCs/>
                <w:szCs w:val="22"/>
              </w:rPr>
              <w:t xml:space="preserve">Leptinotarsa </w:t>
            </w:r>
            <w:proofErr w:type="spellStart"/>
            <w:r w:rsidRPr="004E03B0">
              <w:rPr>
                <w:rFonts w:ascii="Arial" w:hAnsi="Arial" w:cs="Arial"/>
                <w:i/>
                <w:iCs/>
                <w:szCs w:val="22"/>
              </w:rPr>
              <w:t>decemlineata</w:t>
            </w:r>
            <w:proofErr w:type="spellEnd"/>
          </w:p>
        </w:tc>
        <w:tc>
          <w:tcPr>
            <w:tcW w:w="3022" w:type="dxa"/>
          </w:tcPr>
          <w:p w14:paraId="3FBC324D"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 and increased sensitivity when KO</w:t>
            </w:r>
          </w:p>
        </w:tc>
        <w:tc>
          <w:tcPr>
            <w:tcW w:w="2222" w:type="dxa"/>
          </w:tcPr>
          <w:p w14:paraId="31E29B00" w14:textId="65D216A9"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10.20944/preprints202406.1030.v1","author":[{"dropping-particle":"","family":"Wang","given":"Yaqi","non-dropping-particle":"","parse-names":false,"suffix":""},{"dropping-particle":"","family":"Tian","given":"Yitong","non-dropping-particle":"","parse-names":false,"suffix":""},{"dropping-particle":"","family":"Zhou","given":"Dongdi","non-dropping-particle":"","parse-names":false,"suffix":""},{"dropping-particle":"","family":"Fang","given":"Jiayi","non-dropping-particle":"","parse-names":false,"suffix":""},{"dropping-particle":"","family":"Cao","given":"Jingwei","non-dropping-particle":"","parse-names":false,"suffix":""},{"dropping-particle":"","family":"Shi","given":"Chengcheng","non-dropping-particle":"","parse-names":false,"suffix":""},{"dropping-particle":"","family":"Lei","given":"Yixuan","non-dropping-particle":"","parse-names":false,"suffix":""}],"id":"ITEM-1","issued":{"date-parts":[["2024"]]},"title":"Expression and Functional Analysis of Two Cytochrome P450 Monooxygenase Genes and a UDP-Glycosyltransferase Gene Linked with Thiamethoxam Resistance in Colorado Potato Beetle Cytochrome P450 Monooxygenase Genes and A UDP-Glycosyltransferase Gene Linked wi","type":"article-journal"},"uris":["http://www.mendeley.com/documents/?uuid=c328d276-1dcc-40fb-a13e-45b0ee22148b"]}],"mendeley":{"formattedCitation":"(7)","plainTextFormattedCitation":"(7)","previouslyFormattedCitation":"(Wang et al. 2024)"},"properties":{"noteIndex":0},"schema":"https://github.com/citation-style-language/schema/raw/master/csl-citation.json"}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(7)</w:t>
            </w:r>
            <w:r w:rsidRPr="004E03B0">
              <w:rPr>
                <w:rFonts w:ascii="Arial" w:hAnsi="Arial" w:cs="Arial"/>
                <w:b/>
                <w:bCs/>
                <w:szCs w:val="22"/>
              </w:rPr>
              <w:fldChar w:fldCharType="end"/>
            </w:r>
          </w:p>
        </w:tc>
      </w:tr>
      <w:tr w:rsidR="00AD0F34" w:rsidRPr="004E03B0" w14:paraId="297FFCBF" w14:textId="77777777" w:rsidTr="00F06DF1">
        <w:tc>
          <w:tcPr>
            <w:tcW w:w="1555" w:type="dxa"/>
          </w:tcPr>
          <w:p w14:paraId="720141F1" w14:textId="77777777" w:rsidR="00AD0F34" w:rsidRPr="004E03B0" w:rsidRDefault="00AD0F34" w:rsidP="00D94303">
            <w:pPr>
              <w:rPr>
                <w:rFonts w:ascii="Arial" w:hAnsi="Arial" w:cs="Arial"/>
                <w:szCs w:val="22"/>
              </w:rPr>
            </w:pPr>
            <w:r w:rsidRPr="004E03B0">
              <w:rPr>
                <w:rFonts w:ascii="Arial" w:hAnsi="Arial" w:cs="Arial"/>
                <w:szCs w:val="22"/>
              </w:rPr>
              <w:t>CYP6CY14</w:t>
            </w:r>
          </w:p>
        </w:tc>
        <w:tc>
          <w:tcPr>
            <w:tcW w:w="2551" w:type="dxa"/>
          </w:tcPr>
          <w:p w14:paraId="354BA45A" w14:textId="77777777" w:rsidR="00AD0F34" w:rsidRPr="004E03B0" w:rsidRDefault="00AD0F34" w:rsidP="00D94303">
            <w:pPr>
              <w:rPr>
                <w:rFonts w:ascii="Arial" w:hAnsi="Arial" w:cs="Arial"/>
                <w:szCs w:val="22"/>
              </w:rPr>
            </w:pPr>
            <w:r w:rsidRPr="004E03B0">
              <w:rPr>
                <w:rFonts w:ascii="Arial" w:hAnsi="Arial" w:cs="Arial"/>
                <w:i/>
                <w:iCs/>
                <w:szCs w:val="22"/>
              </w:rPr>
              <w:t>Aphis gossypii</w:t>
            </w:r>
            <w:r w:rsidRPr="004E03B0">
              <w:rPr>
                <w:rFonts w:ascii="Arial" w:hAnsi="Arial" w:cs="Arial"/>
                <w:szCs w:val="22"/>
              </w:rPr>
              <w:t xml:space="preserve"> Glover</w:t>
            </w:r>
          </w:p>
        </w:tc>
        <w:tc>
          <w:tcPr>
            <w:tcW w:w="3022" w:type="dxa"/>
          </w:tcPr>
          <w:p w14:paraId="31ECD674" w14:textId="77777777" w:rsidR="00AD0F34" w:rsidRPr="004E03B0" w:rsidRDefault="00AD0F34" w:rsidP="00D94303">
            <w:pPr>
              <w:rPr>
                <w:rFonts w:ascii="Arial" w:hAnsi="Arial" w:cs="Arial"/>
                <w:szCs w:val="22"/>
              </w:rPr>
            </w:pPr>
            <w:r w:rsidRPr="004E03B0">
              <w:rPr>
                <w:rFonts w:ascii="Arial" w:hAnsi="Arial" w:cs="Arial"/>
                <w:szCs w:val="22"/>
              </w:rPr>
              <w:t>Increased expression upon exposure and increased sensitivity when KO</w:t>
            </w:r>
          </w:p>
        </w:tc>
        <w:tc>
          <w:tcPr>
            <w:tcW w:w="2222" w:type="dxa"/>
          </w:tcPr>
          <w:p w14:paraId="65EBFE19" w14:textId="4AC9849C" w:rsidR="00AD0F34" w:rsidRPr="004E03B0" w:rsidRDefault="00AD0F34" w:rsidP="00CA6CB7">
            <w:pPr>
              <w:jc w:val="center"/>
              <w:rPr>
                <w:rFonts w:ascii="Arial" w:hAnsi="Arial" w:cs="Arial"/>
                <w:b/>
                <w:bCs/>
                <w:szCs w:val="22"/>
              </w:rPr>
            </w:pPr>
            <w:r w:rsidRPr="004E03B0">
              <w:rPr>
                <w:rFonts w:ascii="Arial" w:hAnsi="Arial" w:cs="Arial"/>
                <w:b/>
                <w:bCs/>
                <w:szCs w:val="22"/>
              </w:rPr>
              <w:fldChar w:fldCharType="begin" w:fldLock="1"/>
            </w:r>
            <w:r w:rsidR="00FE045D">
              <w:rPr>
                <w:rFonts w:ascii="Arial" w:hAnsi="Arial" w:cs="Arial"/>
                <w:b/>
                <w:bCs/>
                <w:szCs w:val="22"/>
              </w:rPr>
              <w:instrText>ADDIN CSL_CITATION {"citationItems":[{"id":"ITEM-1","itemData":{"DOI":"10.1016/j.pestbp.2018.05.007","ISSN":"10959939","PMID":"30033005","abstract":"Cytochrome P450 monooxygenases represent a key detoxification mechanism in neonicotinoids resistance in Aphis gossypii Glover. Synergism analysis has indicates that P450s are involved in thiamethoxam resistance. In this study, expression changes in the transcripts of P450 genes were determined in thiamethoxam-susceptible and thiamethoxam-resistant strains. Nine P450 genes in CYP3 clade were significantly overexpressed in the resistant strain (especially CYP6CY14, which was increased 17.67-fold) compared with the susceptible strain. Transcripts of ecdysone synthesis-related P450 genes, including CYP302A1, CYP306A1, CYP307A1 and CYP315A1, were up-regulated in the resistant strain, which may accelerate molting hormone production. The ecdysone response genes (ecdysone receptor (EcR), ultra-spiracle (USP) and Broad-complex protein (Br-C)) were overexpressed in the resistant strain. RNA interference (RNAi) targeting CYP6CY14 significantly increased the sensitivity of the resistant aphid to thiamethoxam. The results of the present study indicate the possible involvement of these P450 genes in thiamethoxam resistance. Our findings may facilitate further work to validate the roles of these P450s in thiamethoxam resistance based on heterologous expression, and show that screening the expression changes in P450 genes can reveal the impact of thiamethoxam on ecdysone synthesis-related P450 genes. These results are useful for understanding the mechanism of thiamethoxam resistance and will contribute to the management of insecticide-resistant cotton aphids in China.","author":[{"dropping-particle":"","family":"Wu","given":"Yongqiang","non-dropping-particle":"","parse-names":false,"suffix":""},{"dropping-particle":"","family":"Xu","given":"Hongfei","non-dropping-particle":"","parse-names":false,"suffix":""},{"dropping-particle":"","family":"Pan","given":"Yiou","non-dropping-particle":"","parse-names":false,"suffix":""},{"dropping-particle":"","family":"Gao","given":"Xiwu","non-dropping-particle":"","parse-names":false,"suffix":""},{"dropping-particle":"","family":"Xi","given":"Jinghui","non-dropping-particle":"","parse-names":false,"suffix":""},{"dropping-particle":"","family":"Zhang","given":"Juhong","non-dropping-particle":"","parse-names":false,"suffix":""},{"dropping-particle":"","family":"Shang","given":"Qingli","non-dropping-particle":"","parse-names":false,"suffix":""}],"container-title":"Pesticide Biochemistry and Physiology","id":"ITEM-1","issue":"February","issued":{"date-parts":[["2018"]]},"page":"1-7","publisher":"Elsevier","title":"Expression profile changes of cytochrome P450 genes between thiamethoxam susceptible and resistant strains of Aphis gossypii Glover","type":"article-journal","volume":"149"},"uris":["http://www.mendeley.com/documents/?uuid=f10392fe-c1c9-4104-8da0-bc0d8d1a4425"]}],"mendeley":{"formattedCitation":"(8)","plainTextFormattedCitation":"(8)","previouslyFormattedCitation":"(Wu et al. 2018)"},"properties":{"noteIndex":0},"schema":"https://github.com/citation-style-language/schema/raw/master/csl-citation.json"}</w:instrText>
            </w:r>
            <w:r w:rsidRPr="004E03B0">
              <w:rPr>
                <w:rFonts w:ascii="Arial" w:hAnsi="Arial" w:cs="Arial"/>
                <w:b/>
                <w:bCs/>
                <w:szCs w:val="22"/>
              </w:rPr>
              <w:fldChar w:fldCharType="separate"/>
            </w:r>
            <w:r w:rsidR="00FE045D" w:rsidRPr="00FE045D">
              <w:rPr>
                <w:rFonts w:ascii="Arial" w:hAnsi="Arial" w:cs="Arial"/>
                <w:bCs/>
                <w:noProof/>
                <w:szCs w:val="22"/>
              </w:rPr>
              <w:t>(8)</w:t>
            </w:r>
            <w:r w:rsidRPr="004E03B0">
              <w:rPr>
                <w:rFonts w:ascii="Arial" w:hAnsi="Arial" w:cs="Arial"/>
                <w:b/>
                <w:bCs/>
                <w:szCs w:val="22"/>
              </w:rPr>
              <w:fldChar w:fldCharType="end"/>
            </w:r>
          </w:p>
        </w:tc>
      </w:tr>
      <w:tr w:rsidR="00AD0F34" w:rsidRPr="004E03B0" w14:paraId="2FD6AA54" w14:textId="77777777" w:rsidTr="00F06DF1">
        <w:tc>
          <w:tcPr>
            <w:tcW w:w="1555" w:type="dxa"/>
          </w:tcPr>
          <w:p w14:paraId="2E0FE1F0" w14:textId="77777777" w:rsidR="00AD0F34" w:rsidRPr="004E03B0" w:rsidRDefault="00AD0F34" w:rsidP="00D94303">
            <w:pPr>
              <w:rPr>
                <w:rFonts w:ascii="Arial" w:hAnsi="Arial" w:cs="Arial"/>
                <w:szCs w:val="22"/>
              </w:rPr>
            </w:pPr>
            <w:r w:rsidRPr="004E03B0">
              <w:rPr>
                <w:rFonts w:ascii="Arial" w:hAnsi="Arial" w:cs="Arial"/>
                <w:szCs w:val="22"/>
              </w:rPr>
              <w:t>CYP</w:t>
            </w:r>
            <w:r w:rsidRPr="004E03B0">
              <w:rPr>
                <w:rFonts w:ascii="Arial" w:hAnsi="Arial" w:cs="Arial"/>
                <w:szCs w:val="22"/>
                <w:cs/>
              </w:rPr>
              <w:t>9</w:t>
            </w:r>
            <w:r w:rsidRPr="004E03B0">
              <w:rPr>
                <w:rFonts w:ascii="Arial" w:hAnsi="Arial" w:cs="Arial"/>
                <w:szCs w:val="22"/>
              </w:rPr>
              <w:t>Q1</w:t>
            </w:r>
          </w:p>
        </w:tc>
        <w:tc>
          <w:tcPr>
            <w:tcW w:w="2551" w:type="dxa"/>
          </w:tcPr>
          <w:p w14:paraId="325B70A8" w14:textId="77777777" w:rsidR="00AD0F34" w:rsidRPr="004E03B0" w:rsidRDefault="00AD0F34" w:rsidP="00D94303">
            <w:pPr>
              <w:rPr>
                <w:rFonts w:ascii="Arial" w:hAnsi="Arial" w:cs="Arial"/>
                <w:i/>
                <w:iCs/>
                <w:szCs w:val="22"/>
              </w:rPr>
            </w:pPr>
            <w:proofErr w:type="spellStart"/>
            <w:r w:rsidRPr="004E03B0">
              <w:rPr>
                <w:rFonts w:ascii="Arial" w:hAnsi="Arial"/>
                <w:i/>
                <w:iCs/>
                <w:szCs w:val="22"/>
              </w:rPr>
              <w:t>Apis</w:t>
            </w:r>
            <w:proofErr w:type="spellEnd"/>
            <w:r w:rsidRPr="004E03B0">
              <w:rPr>
                <w:rFonts w:ascii="Arial" w:hAnsi="Arial"/>
                <w:i/>
                <w:iCs/>
                <w:szCs w:val="22"/>
              </w:rPr>
              <w:t xml:space="preserve"> </w:t>
            </w:r>
            <w:proofErr w:type="spellStart"/>
            <w:r w:rsidRPr="004E03B0">
              <w:rPr>
                <w:rFonts w:ascii="Arial" w:hAnsi="Arial"/>
                <w:i/>
                <w:iCs/>
                <w:szCs w:val="22"/>
              </w:rPr>
              <w:t>mellisfera</w:t>
            </w:r>
            <w:proofErr w:type="spellEnd"/>
          </w:p>
        </w:tc>
        <w:tc>
          <w:tcPr>
            <w:tcW w:w="3022" w:type="dxa"/>
          </w:tcPr>
          <w:p w14:paraId="78FDA6E8" w14:textId="337187BE" w:rsidR="00AD0F34" w:rsidRPr="004E03B0" w:rsidRDefault="00AD0F34" w:rsidP="00D94303">
            <w:pPr>
              <w:rPr>
                <w:rFonts w:ascii="Arial" w:hAnsi="Arial" w:cs="Arial"/>
                <w:szCs w:val="22"/>
              </w:rPr>
            </w:pPr>
            <w:r w:rsidRPr="004E03B0">
              <w:rPr>
                <w:rFonts w:ascii="Arial" w:hAnsi="Arial"/>
                <w:szCs w:val="22"/>
              </w:rPr>
              <w:t>Significantly induced</w:t>
            </w:r>
            <w:r w:rsidR="002568D0" w:rsidRPr="004E03B0">
              <w:rPr>
                <w:rFonts w:ascii="Arial" w:hAnsi="Arial"/>
                <w:szCs w:val="22"/>
              </w:rPr>
              <w:t xml:space="preserve"> </w:t>
            </w:r>
            <w:r w:rsidRPr="004E03B0">
              <w:rPr>
                <w:rFonts w:ascii="Arial" w:hAnsi="Arial"/>
                <w:szCs w:val="22"/>
              </w:rPr>
              <w:t>at 0.1 ng/bee thiamethoxam</w:t>
            </w:r>
          </w:p>
        </w:tc>
        <w:tc>
          <w:tcPr>
            <w:tcW w:w="2222" w:type="dxa"/>
          </w:tcPr>
          <w:p w14:paraId="35F9163B" w14:textId="3AA2C32F" w:rsidR="00AD0F34" w:rsidRPr="004E03B0" w:rsidRDefault="00AD0F34" w:rsidP="00CA6CB7">
            <w:pPr>
              <w:jc w:val="center"/>
              <w:rPr>
                <w:rFonts w:ascii="Arial" w:hAnsi="Arial" w:cs="Arial"/>
                <w:b/>
                <w:bCs/>
                <w:szCs w:val="22"/>
              </w:rPr>
            </w:pPr>
            <w:r w:rsidRPr="004E03B0">
              <w:rPr>
                <w:rFonts w:ascii="Arial" w:hAnsi="Arial"/>
                <w:b/>
                <w:bCs/>
                <w:szCs w:val="22"/>
              </w:rPr>
              <w:fldChar w:fldCharType="begin" w:fldLock="1"/>
            </w:r>
            <w:r w:rsidR="00FE045D">
              <w:rPr>
                <w:rFonts w:ascii="Arial" w:hAnsi="Arial"/>
                <w:b/>
                <w:bCs/>
                <w:szCs w:val="22"/>
              </w:rPr>
              <w:instrText>ADDIN CSL_CITATION {"citationItems":[{"id":"ITEM-1","itemData":{"DOI":"10.3389/finsc.2021.765570","ISSN":"26738600","abstract":"Neonicotinoids as thiamethoxam and thiacloprid are suspected to be implicated in the decline of honey bee populations. As nicotinic acetylcholine receptor agonists, they disturb acetylcholine receptor signaling in insects, leading to neurotoxicity and are therefore globally used as insecticides. Several behavioral studies have shown links between neonicotinoid exposure of bees and adverse effects on foraging activity, homing flight performance and reproduction, but the molecular aspects underlying these effects are not well-understood. In the last years, several studies through us and others showed the effects of exposure to neonicotinoids on gene expression in the brain of honey bees. Transcripts of acetylcholine receptors, hormonal regulation, stress markers, detoxification enzymes, immune system related genes and transcripts of the energy metabolism were altered after neonicotinoid exposure. To elucidate the link between homing flight performance and shifts in gene expression in the brain of honey bees after neonicotinoid exposure, we combined homing flight activity experiments applying RFID technology and gene expression analysis. We analyzed the expression of endocrine factors, stress genes, detoxification enzymes and genes linked to energy metabolism in forager bees after homing flight experiments. Three different experiments (experiment I: pilot study; experiment II: “worst-case” study and experiment III: laboratory study) were performed. In a pilot study, we wanted to investigate if we could see differences in gene expression between controls and exposed bees (experiment I). This first study was followed by a so-called “worst-case” study (experiment II), where we investigated mainly differences in the expression of transcripts linked to energy metabolism between fast and slow returning foragers. We found a correlation between homing flight duration and the expression of cytochrome c oxidase subunit 5A, one transcript linked to oxidative phosphorylation. In the third experiment (experiment III), foragers were exposed in the laboratory to 1 ng/bee thiamethoxam and 8 ng/bee thiacloprid followed by gene expression analysis without a subsequent flight experiment. We could partially confirm the induction of cytochrome c oxidase subunit 5A, which we detected in experiment II. In addition, we analyzed the effect of the feeding mode (group feeding vs. single bee feeding) on data scattering and demonstrated that single bee feeding is superior to group fee…","author":[{"dropping-particle":"","family":"Christen","given":"Verena","non-dropping-particle":"","parse-names":false,"suffix":""},{"dropping-particle":"","family":"Grossar","given":"Daniela","non-dropping-particle":"","parse-names":false,"suffix":""},{"dropping-particle":"","family":"Charrière","given":"Jean Daniel","non-dropping-particle":"","parse-names":false,"suffix":""},{"dropping-particle":"","family":"Eyer","given":"Michael","non-dropping-particle":"","parse-names":false,"suffix":""},{"dropping-particle":"","family":"Jeker","given":"Lukas","non-dropping-particle":"","parse-names":false,"suffix":""}],"container-title":"Frontiers in Insect Science","id":"ITEM-1","issue":"December","issued":{"date-parts":[["2021"]]},"page":"1-15","title":"Correlation Between Increased Homing Flight Duration and Altered Gene Expression in the Brain of Honey Bee Foragers After Acute Oral Exposure to Thiacloprid and Thiamethoxam","type":"article-journal","volume":"1"},"uris":["http://www.mendeley.com/documents/?uuid=cffbd9cc-bdb6-4169-9d69-7967fe95a040"]}],"mendeley":{"formattedCitation":"(9)","plainTextFormattedCitation":"(9)","previouslyFormattedCitation":"(Christen et al. 2021)"},"properties":{"noteIndex":0},"schema":"https://github.com/citation-style-language/schema/raw/master/csl-citation.json"}</w:instrText>
            </w:r>
            <w:r w:rsidRPr="004E03B0">
              <w:rPr>
                <w:rFonts w:ascii="Arial" w:hAnsi="Arial"/>
                <w:b/>
                <w:bCs/>
                <w:szCs w:val="22"/>
              </w:rPr>
              <w:fldChar w:fldCharType="separate"/>
            </w:r>
            <w:r w:rsidR="00FE045D" w:rsidRPr="00FE045D">
              <w:rPr>
                <w:rFonts w:ascii="Arial" w:hAnsi="Arial"/>
                <w:bCs/>
                <w:noProof/>
                <w:szCs w:val="22"/>
              </w:rPr>
              <w:t>(9)</w:t>
            </w:r>
            <w:r w:rsidRPr="004E03B0">
              <w:rPr>
                <w:rFonts w:ascii="Arial" w:hAnsi="Arial"/>
                <w:b/>
                <w:bCs/>
                <w:szCs w:val="22"/>
              </w:rPr>
              <w:fldChar w:fldCharType="end"/>
            </w:r>
          </w:p>
        </w:tc>
      </w:tr>
    </w:tbl>
    <w:p w14:paraId="59512AA3" w14:textId="77777777" w:rsidR="00AD0F34" w:rsidRPr="004E03B0" w:rsidRDefault="00AD0F34" w:rsidP="00AD0F34">
      <w:pPr>
        <w:rPr>
          <w:rFonts w:ascii="Arial" w:hAnsi="Arial"/>
          <w:b/>
          <w:bCs/>
          <w:sz w:val="22"/>
          <w:szCs w:val="22"/>
        </w:rPr>
      </w:pPr>
    </w:p>
    <w:p w14:paraId="737F9AC6" w14:textId="77777777" w:rsidR="00296CAD" w:rsidRPr="004E03B0" w:rsidRDefault="00296CAD" w:rsidP="00822C28">
      <w:pPr>
        <w:rPr>
          <w:rFonts w:ascii="Arial" w:hAnsi="Arial" w:cstheme="minorBidi"/>
          <w:b/>
          <w:bCs/>
          <w:szCs w:val="22"/>
          <w:shd w:val="clear" w:color="auto" w:fill="FFFFFF"/>
        </w:rPr>
      </w:pPr>
    </w:p>
    <w:p w14:paraId="514FED66" w14:textId="7D8D112A" w:rsidR="00B72B33" w:rsidRPr="001B785F" w:rsidRDefault="00B72B33" w:rsidP="00822C28">
      <w:pPr>
        <w:rPr>
          <w:rFonts w:ascii="Arial" w:hAnsi="Arial" w:cs="Arial"/>
          <w:b/>
          <w:bCs/>
          <w:sz w:val="22"/>
          <w:szCs w:val="21"/>
          <w:shd w:val="clear" w:color="auto" w:fill="FFFFFF"/>
        </w:rPr>
      </w:pPr>
      <w:r w:rsidRPr="001B785F">
        <w:rPr>
          <w:rFonts w:ascii="Arial" w:hAnsi="Arial" w:cs="Arial"/>
          <w:b/>
          <w:bCs/>
          <w:sz w:val="22"/>
          <w:szCs w:val="21"/>
          <w:shd w:val="clear" w:color="auto" w:fill="FFFFFF"/>
        </w:rPr>
        <w:t>Table S</w:t>
      </w:r>
      <w:r w:rsidR="0018453F" w:rsidRPr="001B785F">
        <w:rPr>
          <w:rFonts w:ascii="Arial" w:hAnsi="Arial" w:cs="Arial"/>
          <w:b/>
          <w:bCs/>
          <w:sz w:val="22"/>
          <w:szCs w:val="21"/>
          <w:shd w:val="clear" w:color="auto" w:fill="FFFFFF"/>
        </w:rPr>
        <w:t>2</w:t>
      </w:r>
      <w:r w:rsidR="009B1994" w:rsidRPr="001B785F">
        <w:rPr>
          <w:rFonts w:ascii="Arial" w:hAnsi="Arial" w:cs="Arial"/>
          <w:b/>
          <w:bCs/>
          <w:sz w:val="22"/>
          <w:szCs w:val="21"/>
          <w:shd w:val="clear" w:color="auto" w:fill="FFFFFF"/>
        </w:rPr>
        <w:t xml:space="preserve"> </w:t>
      </w:r>
      <w:r w:rsidR="00363A37" w:rsidRPr="001B785F">
        <w:rPr>
          <w:rFonts w:ascii="Arial" w:hAnsi="Arial" w:cs="Arial"/>
          <w:b/>
          <w:bCs/>
          <w:sz w:val="22"/>
          <w:szCs w:val="21"/>
          <w:shd w:val="clear" w:color="auto" w:fill="FFFFFF"/>
        </w:rPr>
        <w:t>L</w:t>
      </w:r>
      <w:r w:rsidR="009B1994" w:rsidRPr="001B785F">
        <w:rPr>
          <w:rFonts w:ascii="Arial" w:hAnsi="Arial" w:cs="Arial"/>
          <w:b/>
          <w:bCs/>
          <w:sz w:val="22"/>
          <w:szCs w:val="21"/>
          <w:shd w:val="clear" w:color="auto" w:fill="FFFFFF"/>
        </w:rPr>
        <w:t>ist of webtools used in this work</w:t>
      </w:r>
    </w:p>
    <w:tbl>
      <w:tblPr>
        <w:tblStyle w:val="TableGrid"/>
        <w:tblW w:w="9493" w:type="dxa"/>
        <w:tblLook w:val="04A0" w:firstRow="1" w:lastRow="0" w:firstColumn="1" w:lastColumn="0" w:noHBand="0" w:noVBand="1"/>
      </w:tblPr>
      <w:tblGrid>
        <w:gridCol w:w="2405"/>
        <w:gridCol w:w="7088"/>
      </w:tblGrid>
      <w:tr w:rsidR="00A74211" w:rsidRPr="004E03B0" w14:paraId="71E110B1" w14:textId="77777777" w:rsidTr="002568D0">
        <w:tc>
          <w:tcPr>
            <w:tcW w:w="2405" w:type="dxa"/>
          </w:tcPr>
          <w:p w14:paraId="67931971" w14:textId="585CB88C" w:rsidR="00A74211" w:rsidRPr="004E03B0" w:rsidRDefault="003810D8" w:rsidP="008E3C91">
            <w:pPr>
              <w:jc w:val="center"/>
              <w:rPr>
                <w:rFonts w:ascii="Arial" w:hAnsi="Arial" w:cs="Browallia New"/>
                <w:b/>
                <w:bCs/>
                <w:shd w:val="clear" w:color="auto" w:fill="FFFFFF"/>
              </w:rPr>
            </w:pPr>
            <w:r w:rsidRPr="004E03B0">
              <w:rPr>
                <w:rFonts w:ascii="Arial" w:hAnsi="Arial" w:cs="Browallia New"/>
                <w:b/>
                <w:bCs/>
                <w:shd w:val="clear" w:color="auto" w:fill="FFFFFF"/>
              </w:rPr>
              <w:t>Tool</w:t>
            </w:r>
          </w:p>
        </w:tc>
        <w:tc>
          <w:tcPr>
            <w:tcW w:w="7088" w:type="dxa"/>
          </w:tcPr>
          <w:p w14:paraId="1143ED1A" w14:textId="5AD2FF8A" w:rsidR="00A74211" w:rsidRPr="004E03B0" w:rsidRDefault="00A74211" w:rsidP="008E3C91">
            <w:pPr>
              <w:jc w:val="center"/>
              <w:rPr>
                <w:rFonts w:ascii="Arial" w:hAnsi="Arial" w:cs="Arial"/>
                <w:b/>
                <w:bCs/>
                <w:szCs w:val="22"/>
                <w:shd w:val="clear" w:color="auto" w:fill="FFFFFF"/>
              </w:rPr>
            </w:pPr>
            <w:r w:rsidRPr="004E03B0">
              <w:rPr>
                <w:rFonts w:ascii="Arial" w:hAnsi="Arial" w:cs="Arial"/>
                <w:b/>
                <w:bCs/>
                <w:szCs w:val="22"/>
                <w:shd w:val="clear" w:color="auto" w:fill="FFFFFF"/>
              </w:rPr>
              <w:t>Website</w:t>
            </w:r>
          </w:p>
        </w:tc>
      </w:tr>
      <w:tr w:rsidR="00FF5344" w:rsidRPr="004E03B0" w14:paraId="1B4812D2" w14:textId="77777777" w:rsidTr="002568D0">
        <w:tc>
          <w:tcPr>
            <w:tcW w:w="2405" w:type="dxa"/>
          </w:tcPr>
          <w:p w14:paraId="60C5EE73" w14:textId="6F4ACD6B" w:rsidR="00FF5344" w:rsidRPr="004E03B0" w:rsidRDefault="00FF5344" w:rsidP="00FF5344">
            <w:pPr>
              <w:rPr>
                <w:rFonts w:ascii="Arial" w:hAnsi="Arial" w:cs="Browallia New"/>
                <w:b/>
                <w:bCs/>
                <w:shd w:val="clear" w:color="auto" w:fill="FFFFFF"/>
              </w:rPr>
            </w:pPr>
            <w:r w:rsidRPr="004E03B0">
              <w:rPr>
                <w:rFonts w:ascii="Arial" w:hAnsi="Arial" w:cs="Arial"/>
                <w:szCs w:val="22"/>
              </w:rPr>
              <w:t>Amino acid sequence</w:t>
            </w:r>
          </w:p>
        </w:tc>
        <w:tc>
          <w:tcPr>
            <w:tcW w:w="7088" w:type="dxa"/>
          </w:tcPr>
          <w:p w14:paraId="24599223" w14:textId="23B785AC" w:rsidR="00FF5344" w:rsidRPr="004E03B0" w:rsidRDefault="00680F0E" w:rsidP="00FF5344">
            <w:pPr>
              <w:rPr>
                <w:rFonts w:ascii="Arial" w:hAnsi="Arial" w:cs="Arial"/>
                <w:b/>
                <w:bCs/>
                <w:szCs w:val="22"/>
                <w:shd w:val="clear" w:color="auto" w:fill="FFFFFF"/>
              </w:rPr>
            </w:pPr>
            <w:hyperlink r:id="rId6" w:history="1">
              <w:r w:rsidR="00FF5344" w:rsidRPr="004E03B0">
                <w:rPr>
                  <w:rStyle w:val="Hyperlink"/>
                  <w:rFonts w:ascii="Arial" w:hAnsi="Arial" w:cs="Arial"/>
                </w:rPr>
                <w:t>https://www.ncbi.nlm.nih.gov/</w:t>
              </w:r>
            </w:hyperlink>
          </w:p>
        </w:tc>
      </w:tr>
      <w:tr w:rsidR="00FF5344" w:rsidRPr="004E03B0" w14:paraId="7EEBBCC1" w14:textId="77777777" w:rsidTr="002568D0">
        <w:tc>
          <w:tcPr>
            <w:tcW w:w="2405" w:type="dxa"/>
          </w:tcPr>
          <w:p w14:paraId="624A4A37" w14:textId="769D8EE3" w:rsidR="00FF5344" w:rsidRPr="004E03B0" w:rsidRDefault="00FF5344" w:rsidP="00FF5344">
            <w:pPr>
              <w:rPr>
                <w:rFonts w:ascii="Arial" w:hAnsi="Arial" w:cs="Arial"/>
                <w:szCs w:val="22"/>
                <w:shd w:val="clear" w:color="auto" w:fill="FFFFFF"/>
              </w:rPr>
            </w:pPr>
            <w:r w:rsidRPr="004E03B0">
              <w:rPr>
                <w:rFonts w:ascii="Arial" w:hAnsi="Arial" w:cs="Arial"/>
                <w:szCs w:val="22"/>
                <w:shd w:val="clear" w:color="auto" w:fill="FFFFFF"/>
              </w:rPr>
              <w:t>Protein modelling</w:t>
            </w:r>
          </w:p>
        </w:tc>
        <w:tc>
          <w:tcPr>
            <w:tcW w:w="7088" w:type="dxa"/>
          </w:tcPr>
          <w:p w14:paraId="570DF9D2" w14:textId="4DFBDC35" w:rsidR="00FF5344" w:rsidRPr="004E03B0" w:rsidRDefault="00680F0E" w:rsidP="00FF5344">
            <w:pPr>
              <w:rPr>
                <w:rFonts w:ascii="Arial" w:hAnsi="Arial" w:cs="Arial"/>
                <w:szCs w:val="22"/>
                <w:shd w:val="clear" w:color="auto" w:fill="FFFFFF"/>
              </w:rPr>
            </w:pPr>
            <w:hyperlink r:id="rId7" w:history="1">
              <w:r w:rsidR="00FF5344" w:rsidRPr="004E03B0">
                <w:rPr>
                  <w:rStyle w:val="Hyperlink"/>
                  <w:rFonts w:ascii="Arial" w:hAnsi="Arial" w:cs="Arial"/>
                  <w:szCs w:val="22"/>
                  <w:shd w:val="clear" w:color="auto" w:fill="FFFFFF"/>
                </w:rPr>
                <w:t>https://colab.research.google.com/github/sokrypton/ColabFold/blob/</w:t>
              </w:r>
              <w:r w:rsidR="00FF5344" w:rsidRPr="004E03B0">
                <w:rPr>
                  <w:rStyle w:val="Hyperlink"/>
                  <w:rFonts w:ascii="Arial" w:hAnsi="Arial" w:cs="Arial"/>
                  <w:szCs w:val="22"/>
                  <w:shd w:val="clear" w:color="auto" w:fill="FFFFFF"/>
                </w:rPr>
                <w:br/>
                <w:t>main/AlphaFold2.ipynb</w:t>
              </w:r>
            </w:hyperlink>
          </w:p>
        </w:tc>
      </w:tr>
      <w:tr w:rsidR="00FF5344" w:rsidRPr="004E03B0" w14:paraId="12A49F08" w14:textId="77777777" w:rsidTr="002568D0">
        <w:tc>
          <w:tcPr>
            <w:tcW w:w="2405" w:type="dxa"/>
          </w:tcPr>
          <w:p w14:paraId="5242BB95" w14:textId="56E94532" w:rsidR="00FF5344" w:rsidRPr="004E03B0" w:rsidRDefault="00FF5344" w:rsidP="00FF5344">
            <w:pPr>
              <w:rPr>
                <w:rFonts w:ascii="Arial" w:hAnsi="Arial" w:cs="Arial"/>
                <w:szCs w:val="22"/>
                <w:shd w:val="clear" w:color="auto" w:fill="FFFFFF"/>
              </w:rPr>
            </w:pPr>
            <w:r w:rsidRPr="004E03B0">
              <w:rPr>
                <w:rFonts w:ascii="Arial" w:hAnsi="Arial" w:cs="Arial"/>
                <w:szCs w:val="22"/>
              </w:rPr>
              <w:t>Protein structure validation</w:t>
            </w:r>
          </w:p>
        </w:tc>
        <w:tc>
          <w:tcPr>
            <w:tcW w:w="7088" w:type="dxa"/>
          </w:tcPr>
          <w:p w14:paraId="65233492" w14:textId="4E10669B" w:rsidR="00FF5344" w:rsidRPr="004E03B0" w:rsidRDefault="00680F0E" w:rsidP="00FF5344">
            <w:pPr>
              <w:rPr>
                <w:rFonts w:ascii="Arial" w:hAnsi="Arial" w:cs="Arial"/>
                <w:szCs w:val="22"/>
                <w:shd w:val="clear" w:color="auto" w:fill="FFFFFF"/>
              </w:rPr>
            </w:pPr>
            <w:hyperlink r:id="rId8" w:history="1">
              <w:r w:rsidR="00FF5344" w:rsidRPr="004E03B0">
                <w:rPr>
                  <w:rStyle w:val="Hyperlink"/>
                  <w:rFonts w:ascii="Arial" w:hAnsi="Arial" w:cs="Arial"/>
                </w:rPr>
                <w:t>https://www.ebi.ac.uk/thornton-srv/software/PROCHECK/</w:t>
              </w:r>
            </w:hyperlink>
          </w:p>
        </w:tc>
      </w:tr>
      <w:tr w:rsidR="00FF5344" w:rsidRPr="004E03B0" w14:paraId="29450DC1" w14:textId="77777777" w:rsidTr="002568D0">
        <w:tc>
          <w:tcPr>
            <w:tcW w:w="2405" w:type="dxa"/>
          </w:tcPr>
          <w:p w14:paraId="34B52CB4" w14:textId="3406BAB3" w:rsidR="00FF5344" w:rsidRPr="004E03B0" w:rsidRDefault="00FF5344" w:rsidP="00FF5344">
            <w:pPr>
              <w:rPr>
                <w:rFonts w:ascii="Arial" w:hAnsi="Arial" w:cs="Arial"/>
                <w:szCs w:val="22"/>
                <w:shd w:val="clear" w:color="auto" w:fill="FFFFFF"/>
              </w:rPr>
            </w:pPr>
            <w:r w:rsidRPr="004E03B0">
              <w:rPr>
                <w:rFonts w:ascii="Arial" w:hAnsi="Arial" w:cs="Arial"/>
                <w:szCs w:val="22"/>
                <w:shd w:val="clear" w:color="auto" w:fill="FFFFFF"/>
              </w:rPr>
              <w:t>Chemical structure</w:t>
            </w:r>
          </w:p>
        </w:tc>
        <w:tc>
          <w:tcPr>
            <w:tcW w:w="7088" w:type="dxa"/>
          </w:tcPr>
          <w:p w14:paraId="2580C125" w14:textId="62BF7694" w:rsidR="00FF5344" w:rsidRPr="004E03B0" w:rsidRDefault="00680F0E" w:rsidP="00FF5344">
            <w:pPr>
              <w:rPr>
                <w:rFonts w:ascii="Arial" w:hAnsi="Arial" w:cs="Arial"/>
                <w:szCs w:val="22"/>
                <w:shd w:val="clear" w:color="auto" w:fill="FFFFFF"/>
              </w:rPr>
            </w:pPr>
            <w:hyperlink r:id="rId9" w:history="1">
              <w:r w:rsidR="00FF5344" w:rsidRPr="004E03B0">
                <w:rPr>
                  <w:rStyle w:val="Hyperlink"/>
                  <w:rFonts w:ascii="Arial" w:hAnsi="Arial" w:cs="Arial"/>
                  <w:szCs w:val="22"/>
                  <w:shd w:val="clear" w:color="auto" w:fill="FFFFFF"/>
                </w:rPr>
                <w:t>https://pubchem.ncbi.nlm.nih.gov/</w:t>
              </w:r>
            </w:hyperlink>
          </w:p>
        </w:tc>
      </w:tr>
      <w:tr w:rsidR="00FF5344" w:rsidRPr="004E03B0" w14:paraId="483117F8" w14:textId="77777777" w:rsidTr="002568D0">
        <w:tc>
          <w:tcPr>
            <w:tcW w:w="2405" w:type="dxa"/>
          </w:tcPr>
          <w:p w14:paraId="592D79A2" w14:textId="4B2ECEE3" w:rsidR="00FF5344" w:rsidRPr="004E03B0" w:rsidRDefault="00FF5344" w:rsidP="00FF5344">
            <w:pPr>
              <w:rPr>
                <w:rFonts w:ascii="Arial" w:hAnsi="Arial" w:cs="Arial"/>
                <w:szCs w:val="22"/>
                <w:shd w:val="clear" w:color="auto" w:fill="FFFFFF"/>
              </w:rPr>
            </w:pPr>
            <w:r w:rsidRPr="004E03B0">
              <w:rPr>
                <w:rFonts w:ascii="Arial" w:hAnsi="Arial" w:cs="Arial"/>
                <w:szCs w:val="22"/>
              </w:rPr>
              <w:t>Transmembrane protein prediction</w:t>
            </w:r>
          </w:p>
        </w:tc>
        <w:tc>
          <w:tcPr>
            <w:tcW w:w="7088" w:type="dxa"/>
          </w:tcPr>
          <w:p w14:paraId="40A0117F" w14:textId="2D087C99" w:rsidR="00FF5344" w:rsidRPr="004E03B0" w:rsidRDefault="00680F0E" w:rsidP="00FF5344">
            <w:pPr>
              <w:rPr>
                <w:rFonts w:ascii="Arial" w:hAnsi="Arial" w:cs="Arial"/>
                <w:szCs w:val="22"/>
                <w:shd w:val="clear" w:color="auto" w:fill="FFFFFF"/>
              </w:rPr>
            </w:pPr>
            <w:hyperlink r:id="rId10" w:history="1">
              <w:r w:rsidR="00FF5344" w:rsidRPr="004E03B0">
                <w:rPr>
                  <w:rStyle w:val="Hyperlink"/>
                  <w:rFonts w:ascii="Arial" w:hAnsi="Arial" w:cs="Arial"/>
                  <w:szCs w:val="22"/>
                </w:rPr>
                <w:t>https://dtu.biolib.com/DeepTMHMM</w:t>
              </w:r>
            </w:hyperlink>
          </w:p>
        </w:tc>
      </w:tr>
    </w:tbl>
    <w:p w14:paraId="3D2FD0F0" w14:textId="77777777" w:rsidR="005C546A" w:rsidRPr="004E03B0" w:rsidRDefault="005C546A" w:rsidP="00203BC1">
      <w:pPr>
        <w:rPr>
          <w:rFonts w:ascii="Arial" w:hAnsi="Arial" w:cs="Browallia New"/>
          <w:b/>
          <w:bCs/>
          <w:sz w:val="22"/>
          <w:szCs w:val="22"/>
        </w:rPr>
      </w:pPr>
    </w:p>
    <w:p w14:paraId="4BF940ED" w14:textId="77777777" w:rsidR="00072C02" w:rsidRPr="004E03B0" w:rsidRDefault="00072C02" w:rsidP="00203BC1">
      <w:pPr>
        <w:rPr>
          <w:rFonts w:ascii="Arial" w:hAnsi="Arial" w:cstheme="minorBidi"/>
          <w:sz w:val="22"/>
          <w:szCs w:val="22"/>
        </w:rPr>
      </w:pPr>
    </w:p>
    <w:p w14:paraId="40E1CCF2" w14:textId="1F29B720" w:rsidR="004D27FF" w:rsidRPr="0097576C" w:rsidRDefault="00D303CA" w:rsidP="00D303CA">
      <w:pPr>
        <w:rPr>
          <w:rFonts w:ascii="Arial" w:hAnsi="Arial" w:cs="Arial"/>
          <w:sz w:val="22"/>
          <w:szCs w:val="22"/>
        </w:rPr>
      </w:pPr>
      <w:r w:rsidRPr="004E03B0">
        <w:rPr>
          <w:rFonts w:ascii="Arial" w:hAnsi="Arial" w:cs="Arial"/>
          <w:b/>
          <w:bCs/>
          <w:sz w:val="22"/>
          <w:szCs w:val="22"/>
        </w:rPr>
        <w:lastRenderedPageBreak/>
        <w:t>Figure S</w:t>
      </w:r>
      <w:r w:rsidR="001E36AE" w:rsidRPr="004E03B0">
        <w:rPr>
          <w:rFonts w:ascii="Arial" w:hAnsi="Arial" w:cs="Arial"/>
          <w:b/>
          <w:bCs/>
          <w:sz w:val="22"/>
          <w:szCs w:val="22"/>
        </w:rPr>
        <w:t>1</w:t>
      </w:r>
      <w:r w:rsidRPr="004E03B0">
        <w:rPr>
          <w:rFonts w:ascii="Arial" w:hAnsi="Arial" w:cs="Arial"/>
          <w:b/>
          <w:bCs/>
          <w:sz w:val="22"/>
          <w:szCs w:val="22"/>
        </w:rPr>
        <w:t xml:space="preserve"> </w:t>
      </w:r>
      <w:r w:rsidR="004D27FF" w:rsidRPr="004E03B0">
        <w:rPr>
          <w:rFonts w:ascii="Arial" w:hAnsi="Arial" w:cs="Arial"/>
          <w:b/>
          <w:bCs/>
          <w:sz w:val="22"/>
          <w:szCs w:val="22"/>
        </w:rPr>
        <w:t xml:space="preserve">Transmembrane protein prediction of </w:t>
      </w:r>
      <w:r w:rsidR="00A74211" w:rsidRPr="004E03B0">
        <w:rPr>
          <w:rFonts w:ascii="Arial" w:hAnsi="Arial" w:cs="Arial"/>
          <w:b/>
          <w:bCs/>
          <w:sz w:val="22"/>
          <w:szCs w:val="22"/>
        </w:rPr>
        <w:t xml:space="preserve">a </w:t>
      </w:r>
      <w:r w:rsidR="004D27FF" w:rsidRPr="004E03B0">
        <w:rPr>
          <w:rFonts w:ascii="Arial" w:hAnsi="Arial" w:cs="Arial"/>
          <w:b/>
          <w:bCs/>
          <w:sz w:val="22"/>
          <w:szCs w:val="22"/>
        </w:rPr>
        <w:t>bee CYP</w:t>
      </w:r>
      <w:r w:rsidR="00A74211" w:rsidRPr="004E03B0">
        <w:rPr>
          <w:rFonts w:ascii="Arial" w:hAnsi="Arial" w:cs="Arial"/>
          <w:b/>
          <w:bCs/>
          <w:sz w:val="22"/>
          <w:szCs w:val="22"/>
        </w:rPr>
        <w:t>450</w:t>
      </w:r>
      <w:r w:rsidR="004D27FF" w:rsidRPr="004E03B0">
        <w:rPr>
          <w:rFonts w:ascii="Arial" w:hAnsi="Arial" w:cs="Arial"/>
          <w:b/>
          <w:bCs/>
          <w:sz w:val="22"/>
          <w:szCs w:val="22"/>
        </w:rPr>
        <w:t xml:space="preserve"> using </w:t>
      </w:r>
      <w:proofErr w:type="spellStart"/>
      <w:r w:rsidR="004D27FF" w:rsidRPr="004E03B0">
        <w:rPr>
          <w:rFonts w:ascii="Arial" w:hAnsi="Arial" w:cs="Arial"/>
          <w:b/>
          <w:bCs/>
          <w:sz w:val="22"/>
          <w:szCs w:val="22"/>
        </w:rPr>
        <w:t>DeepTMHMM</w:t>
      </w:r>
      <w:proofErr w:type="spellEnd"/>
      <w:r w:rsidR="004D27FF" w:rsidRPr="004E03B0">
        <w:rPr>
          <w:rFonts w:ascii="Arial" w:hAnsi="Arial" w:cs="Arial"/>
          <w:b/>
          <w:bCs/>
          <w:sz w:val="22"/>
          <w:szCs w:val="22"/>
        </w:rPr>
        <w:t xml:space="preserve"> tool</w:t>
      </w:r>
      <w:r w:rsidR="00B06E66" w:rsidRPr="004E03B0">
        <w:rPr>
          <w:rFonts w:ascii="Arial" w:hAnsi="Arial" w:cs="Arial"/>
          <w:b/>
          <w:bCs/>
          <w:sz w:val="22"/>
          <w:szCs w:val="22"/>
        </w:rPr>
        <w:t xml:space="preserve"> </w:t>
      </w:r>
      <w:r w:rsidR="00B06E66" w:rsidRPr="004E03B0">
        <w:rPr>
          <w:rFonts w:ascii="Arial" w:hAnsi="Arial" w:cs="Arial"/>
          <w:sz w:val="22"/>
          <w:szCs w:val="22"/>
        </w:rPr>
        <w:t xml:space="preserve">(A) The predicted topology (B) The sequence analysis </w:t>
      </w:r>
    </w:p>
    <w:p w14:paraId="7225FCBC" w14:textId="6FFA121C" w:rsidR="00D303CA" w:rsidRPr="004E03B0" w:rsidRDefault="00037511" w:rsidP="00037511">
      <w:pPr>
        <w:jc w:val="center"/>
        <w:rPr>
          <w:rFonts w:ascii="Arial" w:hAnsi="Arial" w:cs="Arial"/>
          <w:sz w:val="22"/>
          <w:szCs w:val="22"/>
        </w:rPr>
      </w:pPr>
      <w:r w:rsidRPr="004E03B0">
        <w:rPr>
          <w:noProof/>
        </w:rPr>
        <w:drawing>
          <wp:inline distT="0" distB="0" distL="0" distR="0" wp14:anchorId="760CA51B" wp14:editId="6697FE0C">
            <wp:extent cx="3712256" cy="4320000"/>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2256" cy="4320000"/>
                    </a:xfrm>
                    <a:prstGeom prst="rect">
                      <a:avLst/>
                    </a:prstGeom>
                    <a:noFill/>
                    <a:ln>
                      <a:noFill/>
                    </a:ln>
                  </pic:spPr>
                </pic:pic>
              </a:graphicData>
            </a:graphic>
          </wp:inline>
        </w:drawing>
      </w:r>
    </w:p>
    <w:p w14:paraId="3BD2D8FA" w14:textId="22DAC4C4" w:rsidR="00511986" w:rsidRPr="004E03B0" w:rsidRDefault="00511986" w:rsidP="00203BC1">
      <w:pPr>
        <w:rPr>
          <w:rFonts w:ascii="Arial" w:hAnsi="Arial" w:cs="Arial"/>
          <w:b/>
          <w:bCs/>
          <w:sz w:val="22"/>
          <w:szCs w:val="22"/>
        </w:rPr>
      </w:pPr>
    </w:p>
    <w:p w14:paraId="3DBB53CB" w14:textId="77777777" w:rsidR="00511986" w:rsidRPr="004E03B0" w:rsidRDefault="00511986" w:rsidP="00203BC1">
      <w:pPr>
        <w:rPr>
          <w:rFonts w:ascii="Arial" w:hAnsi="Arial" w:cs="Arial"/>
          <w:b/>
          <w:bCs/>
          <w:sz w:val="22"/>
          <w:szCs w:val="22"/>
        </w:rPr>
      </w:pPr>
    </w:p>
    <w:p w14:paraId="7A6F9909" w14:textId="130D7576" w:rsidR="00FB4329" w:rsidRPr="0097576C" w:rsidRDefault="00FB4329" w:rsidP="00CE0A63">
      <w:pPr>
        <w:jc w:val="thaiDistribute"/>
        <w:rPr>
          <w:rFonts w:ascii="Arial" w:hAnsi="Arial" w:cs="Arial"/>
          <w:sz w:val="22"/>
          <w:szCs w:val="22"/>
        </w:rPr>
      </w:pPr>
      <w:r w:rsidRPr="004E03B0">
        <w:rPr>
          <w:rFonts w:ascii="Arial" w:hAnsi="Arial" w:cs="Arial"/>
          <w:b/>
          <w:bCs/>
          <w:sz w:val="22"/>
          <w:szCs w:val="22"/>
        </w:rPr>
        <w:t xml:space="preserve">Figure S2 Full blotting images of Western Blot analysis of the CYP450 expression in </w:t>
      </w:r>
      <w:r w:rsidRPr="004E03B0">
        <w:rPr>
          <w:rFonts w:ascii="Arial" w:hAnsi="Arial" w:cs="Arial"/>
          <w:b/>
          <w:bCs/>
          <w:i/>
          <w:iCs/>
          <w:sz w:val="22"/>
          <w:szCs w:val="22"/>
        </w:rPr>
        <w:t xml:space="preserve">E. coli </w:t>
      </w:r>
      <w:r w:rsidR="0097576C">
        <w:rPr>
          <w:rFonts w:ascii="Arial" w:hAnsi="Arial" w:cs="Arial"/>
          <w:sz w:val="22"/>
          <w:szCs w:val="22"/>
        </w:rPr>
        <w:t>(A) Replicate 1 (B) Replicate 2 (C) Replicate 3</w:t>
      </w:r>
    </w:p>
    <w:p w14:paraId="3D86E50C" w14:textId="65C2634F" w:rsidR="00FB4329" w:rsidRPr="004E03B0" w:rsidRDefault="00FB4329" w:rsidP="00CE0A63">
      <w:pPr>
        <w:jc w:val="thaiDistribute"/>
        <w:rPr>
          <w:rFonts w:ascii="Arial" w:hAnsi="Arial" w:cs="Arial"/>
          <w:b/>
          <w:bCs/>
          <w:sz w:val="22"/>
          <w:szCs w:val="22"/>
        </w:rPr>
      </w:pPr>
      <w:r w:rsidRPr="004E03B0">
        <w:rPr>
          <w:rFonts w:ascii="Arial" w:hAnsi="Arial" w:cs="Arial"/>
          <w:b/>
          <w:bCs/>
          <w:noProof/>
          <w:sz w:val="22"/>
          <w:szCs w:val="22"/>
        </w:rPr>
        <w:drawing>
          <wp:inline distT="0" distB="0" distL="0" distR="0" wp14:anchorId="7FBA9919" wp14:editId="3E8A3F44">
            <wp:extent cx="5943600" cy="1504315"/>
            <wp:effectExtent l="0" t="0" r="0" b="0"/>
            <wp:docPr id="16015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1031" name=""/>
                    <pic:cNvPicPr/>
                  </pic:nvPicPr>
                  <pic:blipFill>
                    <a:blip r:embed="rId12"/>
                    <a:stretch>
                      <a:fillRect/>
                    </a:stretch>
                  </pic:blipFill>
                  <pic:spPr>
                    <a:xfrm>
                      <a:off x="0" y="0"/>
                      <a:ext cx="5943600" cy="1504315"/>
                    </a:xfrm>
                    <a:prstGeom prst="rect">
                      <a:avLst/>
                    </a:prstGeom>
                  </pic:spPr>
                </pic:pic>
              </a:graphicData>
            </a:graphic>
          </wp:inline>
        </w:drawing>
      </w:r>
    </w:p>
    <w:p w14:paraId="6D68CB80" w14:textId="6853ECBA" w:rsidR="00511986" w:rsidRPr="004E03B0" w:rsidRDefault="00511986" w:rsidP="00CE0A63">
      <w:pPr>
        <w:jc w:val="thaiDistribute"/>
        <w:rPr>
          <w:rFonts w:ascii="Arial" w:hAnsi="Arial" w:cs="Arial"/>
          <w:b/>
          <w:bCs/>
          <w:sz w:val="22"/>
          <w:szCs w:val="22"/>
        </w:rPr>
      </w:pPr>
    </w:p>
    <w:p w14:paraId="76AD85E4" w14:textId="0301FCE6" w:rsidR="00511986" w:rsidRPr="004E03B0" w:rsidRDefault="00511986" w:rsidP="00CE0A63">
      <w:pPr>
        <w:jc w:val="thaiDistribute"/>
        <w:rPr>
          <w:rFonts w:ascii="Arial" w:hAnsi="Arial" w:cs="Arial"/>
          <w:b/>
          <w:bCs/>
          <w:sz w:val="22"/>
          <w:szCs w:val="22"/>
        </w:rPr>
      </w:pPr>
    </w:p>
    <w:p w14:paraId="7E4FC603" w14:textId="556C65B7" w:rsidR="00C52581" w:rsidRPr="004E03B0" w:rsidRDefault="00C52581" w:rsidP="00CE0A63">
      <w:pPr>
        <w:jc w:val="thaiDistribute"/>
        <w:rPr>
          <w:rFonts w:ascii="Arial" w:hAnsi="Arial" w:cs="Arial"/>
          <w:b/>
          <w:bCs/>
          <w:sz w:val="22"/>
          <w:szCs w:val="22"/>
        </w:rPr>
      </w:pPr>
    </w:p>
    <w:p w14:paraId="3A86FB5E" w14:textId="67660F7A" w:rsidR="00C52581" w:rsidRDefault="00C52581" w:rsidP="00CE0A63">
      <w:pPr>
        <w:jc w:val="thaiDistribute"/>
        <w:rPr>
          <w:rFonts w:ascii="Arial" w:hAnsi="Arial" w:cs="Arial"/>
          <w:b/>
          <w:bCs/>
          <w:sz w:val="22"/>
          <w:szCs w:val="22"/>
        </w:rPr>
      </w:pPr>
    </w:p>
    <w:p w14:paraId="11E925BA" w14:textId="77777777" w:rsidR="002E251C" w:rsidRDefault="002E251C" w:rsidP="00CE0A63">
      <w:pPr>
        <w:jc w:val="thaiDistribute"/>
        <w:rPr>
          <w:rFonts w:ascii="Arial" w:hAnsi="Arial" w:cs="Arial"/>
          <w:b/>
          <w:bCs/>
          <w:sz w:val="22"/>
          <w:szCs w:val="22"/>
        </w:rPr>
      </w:pPr>
    </w:p>
    <w:p w14:paraId="07D38904" w14:textId="77777777" w:rsidR="00EF05AC" w:rsidRPr="004E03B0" w:rsidRDefault="00EF05AC" w:rsidP="00CE0A63">
      <w:pPr>
        <w:jc w:val="thaiDistribute"/>
        <w:rPr>
          <w:rFonts w:ascii="Arial" w:hAnsi="Arial" w:cs="Arial"/>
          <w:b/>
          <w:bCs/>
          <w:sz w:val="22"/>
          <w:szCs w:val="22"/>
        </w:rPr>
      </w:pPr>
    </w:p>
    <w:p w14:paraId="516C9C5A" w14:textId="77777777" w:rsidR="00C52581" w:rsidRPr="004E03B0" w:rsidRDefault="00C52581" w:rsidP="00CE0A63">
      <w:pPr>
        <w:jc w:val="thaiDistribute"/>
        <w:rPr>
          <w:rFonts w:ascii="Arial" w:hAnsi="Arial" w:cs="Arial"/>
          <w:b/>
          <w:bCs/>
          <w:sz w:val="22"/>
          <w:szCs w:val="22"/>
        </w:rPr>
      </w:pPr>
    </w:p>
    <w:p w14:paraId="7E8E4168" w14:textId="4588442F" w:rsidR="00511986" w:rsidRPr="006837AC" w:rsidRDefault="00511986" w:rsidP="00CE0A63">
      <w:pPr>
        <w:jc w:val="thaiDistribute"/>
        <w:rPr>
          <w:rFonts w:ascii="Arial" w:hAnsi="Arial" w:cs="Browallia New"/>
          <w:b/>
          <w:bCs/>
          <w:sz w:val="22"/>
          <w:szCs w:val="28"/>
        </w:rPr>
      </w:pPr>
      <w:r w:rsidRPr="004E03B0">
        <w:rPr>
          <w:rFonts w:ascii="Arial" w:hAnsi="Arial" w:cs="Arial"/>
          <w:b/>
          <w:bCs/>
          <w:sz w:val="22"/>
          <w:szCs w:val="22"/>
        </w:rPr>
        <w:lastRenderedPageBreak/>
        <w:t>Figure S3 LC-MS analysis of</w:t>
      </w:r>
      <w:r w:rsidR="003F38D8" w:rsidRPr="004E03B0">
        <w:rPr>
          <w:rFonts w:ascii="Arial" w:hAnsi="Arial" w:cs="Arial"/>
          <w:b/>
          <w:bCs/>
          <w:sz w:val="22"/>
          <w:szCs w:val="22"/>
        </w:rPr>
        <w:t xml:space="preserve"> cultivation supernatant from </w:t>
      </w:r>
      <w:r w:rsidR="003F38D8" w:rsidRPr="004E03B0">
        <w:rPr>
          <w:rFonts w:ascii="Arial" w:hAnsi="Arial" w:cs="Arial"/>
          <w:b/>
          <w:bCs/>
          <w:i/>
          <w:iCs/>
          <w:sz w:val="22"/>
          <w:szCs w:val="22"/>
        </w:rPr>
        <w:t>E. coli</w:t>
      </w:r>
      <w:r w:rsidR="003F38D8" w:rsidRPr="004E03B0">
        <w:rPr>
          <w:rFonts w:ascii="Arial" w:hAnsi="Arial" w:cs="Arial"/>
          <w:b/>
          <w:bCs/>
          <w:sz w:val="22"/>
          <w:szCs w:val="22"/>
        </w:rPr>
        <w:t xml:space="preserve"> </w:t>
      </w:r>
      <w:r w:rsidR="00C21091" w:rsidRPr="004E03B0">
        <w:rPr>
          <w:rFonts w:ascii="Arial" w:hAnsi="Arial" w:cs="Arial"/>
          <w:b/>
          <w:bCs/>
          <w:sz w:val="22"/>
          <w:szCs w:val="22"/>
        </w:rPr>
        <w:t xml:space="preserve">BL21(DE3) </w:t>
      </w:r>
      <w:r w:rsidR="003F38D8" w:rsidRPr="004E03B0">
        <w:rPr>
          <w:rFonts w:ascii="Arial" w:hAnsi="Arial" w:cs="Arial"/>
          <w:b/>
          <w:bCs/>
          <w:sz w:val="22"/>
          <w:szCs w:val="22"/>
        </w:rPr>
        <w:t>expressing CYP450 in the presence of thiamethoxam</w:t>
      </w:r>
    </w:p>
    <w:p w14:paraId="52848C9A" w14:textId="4212D386" w:rsidR="003F38D8" w:rsidRPr="004E03B0" w:rsidRDefault="003F38D8" w:rsidP="00CE0A63">
      <w:pPr>
        <w:jc w:val="thaiDistribute"/>
        <w:rPr>
          <w:rFonts w:ascii="Arial" w:hAnsi="Arial" w:cs="Arial"/>
          <w:b/>
          <w:bCs/>
          <w:sz w:val="22"/>
          <w:szCs w:val="22"/>
        </w:rPr>
      </w:pPr>
    </w:p>
    <w:p w14:paraId="6749A4E0" w14:textId="2BA6C8DC" w:rsidR="003F38D8" w:rsidRPr="004E03B0" w:rsidRDefault="003F38D8" w:rsidP="00CE0A63">
      <w:pPr>
        <w:jc w:val="thaiDistribute"/>
        <w:rPr>
          <w:rFonts w:ascii="Arial" w:hAnsi="Arial" w:cs="Arial"/>
          <w:b/>
          <w:bCs/>
          <w:sz w:val="22"/>
          <w:szCs w:val="22"/>
        </w:rPr>
      </w:pPr>
      <w:r w:rsidRPr="004E03B0">
        <w:rPr>
          <w:rFonts w:ascii="Arial" w:hAnsi="Arial" w:cs="Arial"/>
          <w:b/>
          <w:bCs/>
          <w:noProof/>
          <w:sz w:val="22"/>
          <w:szCs w:val="22"/>
        </w:rPr>
        <w:drawing>
          <wp:inline distT="0" distB="0" distL="0" distR="0" wp14:anchorId="38745978" wp14:editId="4D7E93DC">
            <wp:extent cx="5943600" cy="311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12135"/>
                    </a:xfrm>
                    <a:prstGeom prst="rect">
                      <a:avLst/>
                    </a:prstGeom>
                  </pic:spPr>
                </pic:pic>
              </a:graphicData>
            </a:graphic>
          </wp:inline>
        </w:drawing>
      </w:r>
    </w:p>
    <w:p w14:paraId="2DE86854" w14:textId="77777777" w:rsidR="00296CAD" w:rsidRPr="004E03B0" w:rsidRDefault="00296CAD" w:rsidP="00CE0A63">
      <w:pPr>
        <w:jc w:val="thaiDistribute"/>
        <w:rPr>
          <w:rFonts w:ascii="Arial" w:hAnsi="Arial" w:cstheme="minorBidi"/>
          <w:b/>
          <w:bCs/>
          <w:sz w:val="22"/>
          <w:szCs w:val="28"/>
        </w:rPr>
      </w:pPr>
    </w:p>
    <w:p w14:paraId="2B0979C1" w14:textId="00D6FFA8" w:rsidR="006B3625" w:rsidRPr="004E03B0" w:rsidRDefault="006B3625" w:rsidP="00CE0A63">
      <w:pPr>
        <w:jc w:val="thaiDistribute"/>
        <w:rPr>
          <w:rFonts w:ascii="Arial" w:hAnsi="Arial" w:cs="Arial"/>
          <w:b/>
          <w:bCs/>
          <w:sz w:val="22"/>
          <w:szCs w:val="22"/>
        </w:rPr>
      </w:pPr>
      <w:r w:rsidRPr="004E03B0">
        <w:rPr>
          <w:rFonts w:ascii="Arial" w:hAnsi="Arial" w:cs="Arial"/>
          <w:b/>
          <w:bCs/>
          <w:sz w:val="22"/>
          <w:szCs w:val="22"/>
        </w:rPr>
        <w:t>Reference</w:t>
      </w:r>
    </w:p>
    <w:p w14:paraId="38AB03A4" w14:textId="14D6DB36" w:rsidR="00FE045D" w:rsidRPr="00FE045D" w:rsidRDefault="006B3625" w:rsidP="00FE045D">
      <w:pPr>
        <w:widowControl w:val="0"/>
        <w:autoSpaceDE w:val="0"/>
        <w:autoSpaceDN w:val="0"/>
        <w:adjustRightInd w:val="0"/>
        <w:ind w:left="640" w:hanging="640"/>
        <w:rPr>
          <w:rFonts w:ascii="Arial" w:hAnsi="Arial" w:cs="Arial"/>
          <w:noProof/>
          <w:kern w:val="0"/>
          <w:sz w:val="22"/>
          <w:szCs w:val="24"/>
        </w:rPr>
      </w:pPr>
      <w:r w:rsidRPr="004E03B0">
        <w:rPr>
          <w:rFonts w:ascii="Arial" w:hAnsi="Arial" w:cs="Arial"/>
          <w:b/>
          <w:bCs/>
          <w:sz w:val="22"/>
          <w:szCs w:val="22"/>
        </w:rPr>
        <w:fldChar w:fldCharType="begin" w:fldLock="1"/>
      </w:r>
      <w:r w:rsidRPr="004E03B0">
        <w:rPr>
          <w:rFonts w:ascii="Arial" w:hAnsi="Arial" w:cs="Arial"/>
          <w:b/>
          <w:bCs/>
          <w:sz w:val="22"/>
          <w:szCs w:val="22"/>
        </w:rPr>
        <w:instrText xml:space="preserve">ADDIN Mendeley Bibliography CSL_BIBLIOGRAPHY </w:instrText>
      </w:r>
      <w:r w:rsidRPr="004E03B0">
        <w:rPr>
          <w:rFonts w:ascii="Arial" w:hAnsi="Arial" w:cs="Arial"/>
          <w:b/>
          <w:bCs/>
          <w:sz w:val="22"/>
          <w:szCs w:val="22"/>
        </w:rPr>
        <w:fldChar w:fldCharType="separate"/>
      </w:r>
      <w:r w:rsidR="00FE045D" w:rsidRPr="00FE045D">
        <w:rPr>
          <w:rFonts w:ascii="Arial" w:hAnsi="Arial" w:cs="Arial"/>
          <w:noProof/>
          <w:kern w:val="0"/>
          <w:sz w:val="22"/>
          <w:szCs w:val="24"/>
        </w:rPr>
        <w:t>1.</w:t>
      </w:r>
      <w:r w:rsidR="00FE045D" w:rsidRPr="00FE045D">
        <w:rPr>
          <w:rFonts w:ascii="Arial" w:hAnsi="Arial" w:cs="Arial"/>
          <w:noProof/>
          <w:kern w:val="0"/>
          <w:sz w:val="22"/>
          <w:szCs w:val="24"/>
        </w:rPr>
        <w:tab/>
        <w:t xml:space="preserve">Wang Q, Wang MN, Jia ZZ, Ahmat T, Xie LJ, Jiang WH. Resistance to neonicotinoid insecticides and expression changes of eighteen cytochrome P450 genes in field populations of Bemisia tabaci from Xinjiang, China. Entomol Res. 2020;50(4):205–11. </w:t>
      </w:r>
    </w:p>
    <w:p w14:paraId="13B78ED6"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2.</w:t>
      </w:r>
      <w:r w:rsidRPr="00FE045D">
        <w:rPr>
          <w:rFonts w:ascii="Arial" w:hAnsi="Arial" w:cs="Arial"/>
          <w:noProof/>
          <w:kern w:val="0"/>
          <w:sz w:val="22"/>
          <w:szCs w:val="24"/>
        </w:rPr>
        <w:tab/>
        <w:t xml:space="preserve">Yang N, Xie W, Yang X, Wang S, Wu Q, Li R, et al. Transcriptomic and Proteomic Responses of Sweetpotato Whitefly, Bemisia tabaci, to Thiamethoxam. PLoS One. 2013;8(5). </w:t>
      </w:r>
    </w:p>
    <w:p w14:paraId="03EF5C92"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3.</w:t>
      </w:r>
      <w:r w:rsidRPr="00FE045D">
        <w:rPr>
          <w:rFonts w:ascii="Arial" w:hAnsi="Arial" w:cs="Arial"/>
          <w:noProof/>
          <w:kern w:val="0"/>
          <w:sz w:val="22"/>
          <w:szCs w:val="24"/>
        </w:rPr>
        <w:tab/>
        <w:t>Sun X, Gong Y, Ali S, Hou M. Mechanisms of resistance to thiamethoxam and dinotefuran compared to imidacloprid in the brown planthopper: Roles of cytochrome P450 monooxygenase and a P450 gene CYP6ER1. Pestic Biochem Physiol [Internet]. 2018;150(February):17–26. Available from: https://doi.org/10.1016/j.pestbp.2018.06.014</w:t>
      </w:r>
    </w:p>
    <w:p w14:paraId="10BF02B1"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4.</w:t>
      </w:r>
      <w:r w:rsidRPr="00FE045D">
        <w:rPr>
          <w:rFonts w:ascii="Arial" w:hAnsi="Arial" w:cs="Arial"/>
          <w:noProof/>
          <w:kern w:val="0"/>
          <w:sz w:val="22"/>
          <w:szCs w:val="24"/>
        </w:rPr>
        <w:tab/>
        <w:t xml:space="preserve">Liang J, Yang J, Hu J, Fu B, Gong P, Du T, et al. Cytpchrome P450 CYP4G68 Is Associated with Imidacloprid and Thiamethoxam Resistance in Field Whitefly, Bemisia tabaci (Hemiptera: Gennadius). Agric. 2022;12(4). </w:t>
      </w:r>
    </w:p>
    <w:p w14:paraId="0AD6F5E1"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5.</w:t>
      </w:r>
      <w:r w:rsidRPr="00FE045D">
        <w:rPr>
          <w:rFonts w:ascii="Arial" w:hAnsi="Arial" w:cs="Arial"/>
          <w:noProof/>
          <w:kern w:val="0"/>
          <w:sz w:val="22"/>
          <w:szCs w:val="24"/>
        </w:rPr>
        <w:tab/>
        <w:t xml:space="preserve">Wei X, Hu J, Yang J, Yin C, Du T, Huang M, et al. Cytochrome P450 CYP6DB3 was involved in thiamethoxam and imidacloprid resistance in Bemisia tabaci Q (Hemiptera: Aleyrodidae). Pestic Biochem Physiol. 2023;194(May). </w:t>
      </w:r>
    </w:p>
    <w:p w14:paraId="73A36757"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6.</w:t>
      </w:r>
      <w:r w:rsidRPr="00FE045D">
        <w:rPr>
          <w:rFonts w:ascii="Arial" w:hAnsi="Arial" w:cs="Arial"/>
          <w:noProof/>
          <w:kern w:val="0"/>
          <w:sz w:val="22"/>
          <w:szCs w:val="24"/>
        </w:rPr>
        <w:tab/>
        <w:t xml:space="preserve">Fengshan Y, Cheng YIN, Jing Y, Xuegao WEI, Tianhua DU, Xin Y, et al. Cloning and expression profiles of cytochrome P450 CYP6DV5 in Bemisia tabaci and its role in resistance of B. tabaci to thiamethoxam. Chinese J Pestic Sci http//www.nyxxb.cn. 2021;23(1):83–9. </w:t>
      </w:r>
    </w:p>
    <w:p w14:paraId="5EC0740F"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7.</w:t>
      </w:r>
      <w:r w:rsidRPr="00FE045D">
        <w:rPr>
          <w:rFonts w:ascii="Arial" w:hAnsi="Arial" w:cs="Arial"/>
          <w:noProof/>
          <w:kern w:val="0"/>
          <w:sz w:val="22"/>
          <w:szCs w:val="24"/>
        </w:rPr>
        <w:tab/>
        <w:t xml:space="preserve">Wang Y, Tian Y, Zhou D, Fang J, Cao J, Shi C, et al. Expression and Functional Analysis of Two Cytochrome P450 Monooxygenase Genes and a UDP-Glycosyltransferase Gene Linked with Thiamethoxam Resistance in Colorado Potato Beetle Cytochrome P450 Monooxygenase Genes and A UDP-Glycosyltransferase Gene Linked wi. 2024; </w:t>
      </w:r>
    </w:p>
    <w:p w14:paraId="18313C3E" w14:textId="77777777" w:rsidR="00FE045D" w:rsidRPr="00FE045D" w:rsidRDefault="00FE045D" w:rsidP="00FE045D">
      <w:pPr>
        <w:widowControl w:val="0"/>
        <w:autoSpaceDE w:val="0"/>
        <w:autoSpaceDN w:val="0"/>
        <w:adjustRightInd w:val="0"/>
        <w:ind w:left="640" w:hanging="640"/>
        <w:rPr>
          <w:rFonts w:ascii="Arial" w:hAnsi="Arial" w:cs="Arial"/>
          <w:noProof/>
          <w:kern w:val="0"/>
          <w:sz w:val="22"/>
          <w:szCs w:val="24"/>
        </w:rPr>
      </w:pPr>
      <w:r w:rsidRPr="00FE045D">
        <w:rPr>
          <w:rFonts w:ascii="Arial" w:hAnsi="Arial" w:cs="Arial"/>
          <w:noProof/>
          <w:kern w:val="0"/>
          <w:sz w:val="22"/>
          <w:szCs w:val="24"/>
        </w:rPr>
        <w:t>8.</w:t>
      </w:r>
      <w:r w:rsidRPr="00FE045D">
        <w:rPr>
          <w:rFonts w:ascii="Arial" w:hAnsi="Arial" w:cs="Arial"/>
          <w:noProof/>
          <w:kern w:val="0"/>
          <w:sz w:val="22"/>
          <w:szCs w:val="24"/>
        </w:rPr>
        <w:tab/>
        <w:t xml:space="preserve">Wu Y, Xu H, Pan Y, Gao X, Xi J, Zhang J, et al. Expression profile changes of cytochrome P450 genes between thiamethoxam susceptible and resistant strains of </w:t>
      </w:r>
      <w:r w:rsidRPr="00FE045D">
        <w:rPr>
          <w:rFonts w:ascii="Arial" w:hAnsi="Arial" w:cs="Arial"/>
          <w:noProof/>
          <w:kern w:val="0"/>
          <w:sz w:val="22"/>
          <w:szCs w:val="24"/>
        </w:rPr>
        <w:lastRenderedPageBreak/>
        <w:t>Aphis gossypii Glover. Pestic Biochem Physiol [Internet]. 2018;149(February):1–7. Available from: https://doi.org/10.1016/j.pestbp.2018.05.007</w:t>
      </w:r>
    </w:p>
    <w:p w14:paraId="33E0D35E" w14:textId="77777777" w:rsidR="00FE045D" w:rsidRPr="00FE045D" w:rsidRDefault="00FE045D" w:rsidP="00FE045D">
      <w:pPr>
        <w:widowControl w:val="0"/>
        <w:autoSpaceDE w:val="0"/>
        <w:autoSpaceDN w:val="0"/>
        <w:adjustRightInd w:val="0"/>
        <w:ind w:left="640" w:hanging="640"/>
        <w:rPr>
          <w:rFonts w:ascii="Arial" w:hAnsi="Arial" w:cs="Arial"/>
          <w:noProof/>
          <w:sz w:val="22"/>
        </w:rPr>
      </w:pPr>
      <w:r w:rsidRPr="00FE045D">
        <w:rPr>
          <w:rFonts w:ascii="Arial" w:hAnsi="Arial" w:cs="Arial"/>
          <w:noProof/>
          <w:kern w:val="0"/>
          <w:sz w:val="22"/>
          <w:szCs w:val="24"/>
        </w:rPr>
        <w:t>9.</w:t>
      </w:r>
      <w:r w:rsidRPr="00FE045D">
        <w:rPr>
          <w:rFonts w:ascii="Arial" w:hAnsi="Arial" w:cs="Arial"/>
          <w:noProof/>
          <w:kern w:val="0"/>
          <w:sz w:val="22"/>
          <w:szCs w:val="24"/>
        </w:rPr>
        <w:tab/>
        <w:t xml:space="preserve">Christen V, Grossar D, Charrière JD, Eyer M, Jeker L. Correlation Between Increased Homing Flight Duration and Altered Gene Expression in the Brain of Honey Bee Foragers After Acute Oral Exposure to Thiacloprid and Thiamethoxam. Front Insect Sci. 2021;1(December):1–15. </w:t>
      </w:r>
    </w:p>
    <w:p w14:paraId="48E108F0" w14:textId="53198381" w:rsidR="006B3625" w:rsidRPr="00FB4329" w:rsidRDefault="006B3625" w:rsidP="00FE045D">
      <w:pPr>
        <w:widowControl w:val="0"/>
        <w:autoSpaceDE w:val="0"/>
        <w:autoSpaceDN w:val="0"/>
        <w:adjustRightInd w:val="0"/>
        <w:ind w:left="480" w:hanging="480"/>
        <w:rPr>
          <w:rFonts w:ascii="Arial" w:hAnsi="Arial" w:cs="Arial"/>
          <w:b/>
          <w:bCs/>
          <w:sz w:val="22"/>
          <w:szCs w:val="22"/>
        </w:rPr>
      </w:pPr>
      <w:r w:rsidRPr="004E03B0">
        <w:rPr>
          <w:rFonts w:ascii="Arial" w:hAnsi="Arial" w:cs="Arial"/>
          <w:b/>
          <w:bCs/>
          <w:sz w:val="22"/>
          <w:szCs w:val="22"/>
        </w:rPr>
        <w:fldChar w:fldCharType="end"/>
      </w:r>
    </w:p>
    <w:sectPr w:rsidR="006B3625" w:rsidRPr="00FB4329" w:rsidSect="009132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owallia New">
    <w:panose1 w:val="020B06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4C3C83"/>
    <w:multiLevelType w:val="multilevel"/>
    <w:tmpl w:val="02C0E9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CB43E47"/>
    <w:multiLevelType w:val="hybridMultilevel"/>
    <w:tmpl w:val="088C38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1"/>
    <w:rsid w:val="00012ABA"/>
    <w:rsid w:val="00026F6C"/>
    <w:rsid w:val="00037511"/>
    <w:rsid w:val="00072C02"/>
    <w:rsid w:val="00072DE9"/>
    <w:rsid w:val="00095C2F"/>
    <w:rsid w:val="000C16E0"/>
    <w:rsid w:val="000C1EBE"/>
    <w:rsid w:val="000C74DE"/>
    <w:rsid w:val="000F7617"/>
    <w:rsid w:val="001426E3"/>
    <w:rsid w:val="001535D0"/>
    <w:rsid w:val="0018453F"/>
    <w:rsid w:val="00186646"/>
    <w:rsid w:val="001B3027"/>
    <w:rsid w:val="001B785F"/>
    <w:rsid w:val="001E36AE"/>
    <w:rsid w:val="00203BC1"/>
    <w:rsid w:val="00213BF7"/>
    <w:rsid w:val="00223BCA"/>
    <w:rsid w:val="00233489"/>
    <w:rsid w:val="002568D0"/>
    <w:rsid w:val="00296CAD"/>
    <w:rsid w:val="002E251C"/>
    <w:rsid w:val="003364DF"/>
    <w:rsid w:val="00345A09"/>
    <w:rsid w:val="00351EF1"/>
    <w:rsid w:val="003628E7"/>
    <w:rsid w:val="00363A37"/>
    <w:rsid w:val="003810D8"/>
    <w:rsid w:val="003F38D8"/>
    <w:rsid w:val="00460EF9"/>
    <w:rsid w:val="004658A6"/>
    <w:rsid w:val="00480866"/>
    <w:rsid w:val="004913EE"/>
    <w:rsid w:val="004B5DA3"/>
    <w:rsid w:val="004D27FF"/>
    <w:rsid w:val="004E03B0"/>
    <w:rsid w:val="00511986"/>
    <w:rsid w:val="00521DC5"/>
    <w:rsid w:val="00551917"/>
    <w:rsid w:val="00557C5E"/>
    <w:rsid w:val="005659E7"/>
    <w:rsid w:val="00586E6C"/>
    <w:rsid w:val="005901BD"/>
    <w:rsid w:val="00594398"/>
    <w:rsid w:val="005A6B1D"/>
    <w:rsid w:val="005B49F1"/>
    <w:rsid w:val="005C546A"/>
    <w:rsid w:val="005E5DAE"/>
    <w:rsid w:val="005F42E5"/>
    <w:rsid w:val="00647EB4"/>
    <w:rsid w:val="00653579"/>
    <w:rsid w:val="00656E11"/>
    <w:rsid w:val="00680F0E"/>
    <w:rsid w:val="006837AC"/>
    <w:rsid w:val="006B3625"/>
    <w:rsid w:val="006B4551"/>
    <w:rsid w:val="00710EB7"/>
    <w:rsid w:val="00723BDC"/>
    <w:rsid w:val="00744B9E"/>
    <w:rsid w:val="0076508C"/>
    <w:rsid w:val="007A2FC8"/>
    <w:rsid w:val="007B1C83"/>
    <w:rsid w:val="007F246E"/>
    <w:rsid w:val="00822C28"/>
    <w:rsid w:val="008377D5"/>
    <w:rsid w:val="008579B4"/>
    <w:rsid w:val="008727AD"/>
    <w:rsid w:val="008A7498"/>
    <w:rsid w:val="008B2671"/>
    <w:rsid w:val="008E3C91"/>
    <w:rsid w:val="0090071D"/>
    <w:rsid w:val="0091328F"/>
    <w:rsid w:val="0097576C"/>
    <w:rsid w:val="009B1994"/>
    <w:rsid w:val="009C471F"/>
    <w:rsid w:val="00A25F37"/>
    <w:rsid w:val="00A56FB7"/>
    <w:rsid w:val="00A649E5"/>
    <w:rsid w:val="00A74211"/>
    <w:rsid w:val="00AA159C"/>
    <w:rsid w:val="00AD0F34"/>
    <w:rsid w:val="00AE37F5"/>
    <w:rsid w:val="00AE4888"/>
    <w:rsid w:val="00AE5FF4"/>
    <w:rsid w:val="00AF48E1"/>
    <w:rsid w:val="00B06CA0"/>
    <w:rsid w:val="00B06E66"/>
    <w:rsid w:val="00B26CDD"/>
    <w:rsid w:val="00B36679"/>
    <w:rsid w:val="00B72B33"/>
    <w:rsid w:val="00BB0581"/>
    <w:rsid w:val="00BE638F"/>
    <w:rsid w:val="00BF2315"/>
    <w:rsid w:val="00BF4E1B"/>
    <w:rsid w:val="00C04C7A"/>
    <w:rsid w:val="00C21091"/>
    <w:rsid w:val="00C52581"/>
    <w:rsid w:val="00CA6CB7"/>
    <w:rsid w:val="00CB6B89"/>
    <w:rsid w:val="00CD46EF"/>
    <w:rsid w:val="00CE0A63"/>
    <w:rsid w:val="00CF057C"/>
    <w:rsid w:val="00D303CA"/>
    <w:rsid w:val="00D76F86"/>
    <w:rsid w:val="00D94303"/>
    <w:rsid w:val="00DB1632"/>
    <w:rsid w:val="00DF6108"/>
    <w:rsid w:val="00DF76EE"/>
    <w:rsid w:val="00E048B4"/>
    <w:rsid w:val="00E57B03"/>
    <w:rsid w:val="00E808D7"/>
    <w:rsid w:val="00E848A2"/>
    <w:rsid w:val="00ED7F27"/>
    <w:rsid w:val="00EF05AC"/>
    <w:rsid w:val="00F06DF1"/>
    <w:rsid w:val="00F27889"/>
    <w:rsid w:val="00FB4329"/>
    <w:rsid w:val="00FB6FBD"/>
    <w:rsid w:val="00FB7D4D"/>
    <w:rsid w:val="00FD36EF"/>
    <w:rsid w:val="00FE045D"/>
    <w:rsid w:val="00FE70B8"/>
    <w:rsid w:val="00FE7CFB"/>
    <w:rsid w:val="00FF534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5D27"/>
  <w15:chartTrackingRefBased/>
  <w15:docId w15:val="{50672340-07A6-D347-B2C6-45F5DA05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30"/>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basedOn w:val="Normal"/>
    <w:next w:val="Normal"/>
    <w:link w:val="Heading1Char"/>
    <w:uiPriority w:val="9"/>
    <w:qFormat/>
    <w:rsid w:val="00203BC1"/>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03BC1"/>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03BC1"/>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203B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B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B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B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B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B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BC1"/>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03BC1"/>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03BC1"/>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203B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B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BC1"/>
    <w:rPr>
      <w:rFonts w:eastAsiaTheme="majorEastAsia" w:cstheme="majorBidi"/>
      <w:color w:val="272727" w:themeColor="text1" w:themeTint="D8"/>
    </w:rPr>
  </w:style>
  <w:style w:type="paragraph" w:styleId="Title">
    <w:name w:val="Title"/>
    <w:basedOn w:val="Normal"/>
    <w:next w:val="Normal"/>
    <w:link w:val="TitleChar"/>
    <w:uiPriority w:val="10"/>
    <w:qFormat/>
    <w:rsid w:val="00203BC1"/>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03BC1"/>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03BC1"/>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03BC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03B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3BC1"/>
    <w:rPr>
      <w:rFonts w:cs="Angsana New"/>
      <w:i/>
      <w:iCs/>
      <w:color w:val="404040" w:themeColor="text1" w:themeTint="BF"/>
    </w:rPr>
  </w:style>
  <w:style w:type="paragraph" w:styleId="ListParagraph">
    <w:name w:val="List Paragraph"/>
    <w:basedOn w:val="Normal"/>
    <w:uiPriority w:val="34"/>
    <w:qFormat/>
    <w:rsid w:val="00203BC1"/>
    <w:pPr>
      <w:ind w:left="720"/>
      <w:contextualSpacing/>
    </w:pPr>
  </w:style>
  <w:style w:type="character" w:styleId="IntenseEmphasis">
    <w:name w:val="Intense Emphasis"/>
    <w:basedOn w:val="DefaultParagraphFont"/>
    <w:uiPriority w:val="21"/>
    <w:qFormat/>
    <w:rsid w:val="00203BC1"/>
    <w:rPr>
      <w:i/>
      <w:iCs/>
      <w:color w:val="0F4761" w:themeColor="accent1" w:themeShade="BF"/>
    </w:rPr>
  </w:style>
  <w:style w:type="paragraph" w:styleId="IntenseQuote">
    <w:name w:val="Intense Quote"/>
    <w:basedOn w:val="Normal"/>
    <w:next w:val="Normal"/>
    <w:link w:val="IntenseQuoteChar"/>
    <w:uiPriority w:val="30"/>
    <w:qFormat/>
    <w:rsid w:val="00203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BC1"/>
    <w:rPr>
      <w:rFonts w:cs="Angsana New"/>
      <w:i/>
      <w:iCs/>
      <w:color w:val="0F4761" w:themeColor="accent1" w:themeShade="BF"/>
    </w:rPr>
  </w:style>
  <w:style w:type="character" w:styleId="IntenseReference">
    <w:name w:val="Intense Reference"/>
    <w:basedOn w:val="DefaultParagraphFont"/>
    <w:uiPriority w:val="32"/>
    <w:qFormat/>
    <w:rsid w:val="00203BC1"/>
    <w:rPr>
      <w:b/>
      <w:bCs/>
      <w:smallCaps/>
      <w:color w:val="0F4761" w:themeColor="accent1" w:themeShade="BF"/>
      <w:spacing w:val="5"/>
    </w:rPr>
  </w:style>
  <w:style w:type="table" w:styleId="TableGrid">
    <w:name w:val="Table Grid"/>
    <w:basedOn w:val="TableNormal"/>
    <w:uiPriority w:val="39"/>
    <w:rsid w:val="001426E3"/>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0F34"/>
    <w:rPr>
      <w:sz w:val="16"/>
      <w:szCs w:val="16"/>
    </w:rPr>
  </w:style>
  <w:style w:type="paragraph" w:styleId="CommentText">
    <w:name w:val="annotation text"/>
    <w:basedOn w:val="Normal"/>
    <w:link w:val="CommentTextChar"/>
    <w:uiPriority w:val="99"/>
    <w:semiHidden/>
    <w:unhideWhenUsed/>
    <w:rsid w:val="00AD0F34"/>
    <w:pPr>
      <w:spacing w:after="160"/>
    </w:pPr>
    <w:rPr>
      <w:rFonts w:cstheme="minorBidi"/>
      <w:kern w:val="0"/>
      <w:sz w:val="20"/>
      <w:szCs w:val="25"/>
      <w14:ligatures w14:val="none"/>
    </w:rPr>
  </w:style>
  <w:style w:type="character" w:customStyle="1" w:styleId="CommentTextChar">
    <w:name w:val="Comment Text Char"/>
    <w:basedOn w:val="DefaultParagraphFont"/>
    <w:link w:val="CommentText"/>
    <w:uiPriority w:val="99"/>
    <w:semiHidden/>
    <w:rsid w:val="00AD0F34"/>
    <w:rPr>
      <w:kern w:val="0"/>
      <w:sz w:val="20"/>
      <w:szCs w:val="25"/>
      <w:lang w:val="en-US"/>
      <w14:ligatures w14:val="none"/>
    </w:rPr>
  </w:style>
  <w:style w:type="paragraph" w:styleId="BalloonText">
    <w:name w:val="Balloon Text"/>
    <w:basedOn w:val="Normal"/>
    <w:link w:val="BalloonTextChar"/>
    <w:uiPriority w:val="99"/>
    <w:semiHidden/>
    <w:unhideWhenUsed/>
    <w:rsid w:val="0091328F"/>
    <w:rPr>
      <w:rFonts w:ascii="Segoe UI" w:hAnsi="Segoe UI"/>
      <w:sz w:val="18"/>
      <w:szCs w:val="22"/>
    </w:rPr>
  </w:style>
  <w:style w:type="character" w:customStyle="1" w:styleId="BalloonTextChar">
    <w:name w:val="Balloon Text Char"/>
    <w:basedOn w:val="DefaultParagraphFont"/>
    <w:link w:val="BalloonText"/>
    <w:uiPriority w:val="99"/>
    <w:semiHidden/>
    <w:rsid w:val="0091328F"/>
    <w:rPr>
      <w:rFonts w:ascii="Segoe UI" w:hAnsi="Segoe UI" w:cs="Angsana New"/>
      <w:sz w:val="18"/>
      <w:szCs w:val="22"/>
    </w:rPr>
  </w:style>
  <w:style w:type="character" w:styleId="Hyperlink">
    <w:name w:val="Hyperlink"/>
    <w:basedOn w:val="DefaultParagraphFont"/>
    <w:uiPriority w:val="99"/>
    <w:unhideWhenUsed/>
    <w:rsid w:val="004913EE"/>
    <w:rPr>
      <w:color w:val="467886" w:themeColor="hyperlink"/>
      <w:u w:val="single"/>
    </w:rPr>
  </w:style>
  <w:style w:type="character" w:styleId="FollowedHyperlink">
    <w:name w:val="FollowedHyperlink"/>
    <w:basedOn w:val="DefaultParagraphFont"/>
    <w:uiPriority w:val="99"/>
    <w:semiHidden/>
    <w:unhideWhenUsed/>
    <w:rsid w:val="00B72B33"/>
    <w:rPr>
      <w:color w:val="96607D" w:themeColor="followedHyperlink"/>
      <w:u w:val="single"/>
    </w:rPr>
  </w:style>
  <w:style w:type="character" w:styleId="UnresolvedMention">
    <w:name w:val="Unresolved Mention"/>
    <w:basedOn w:val="DefaultParagraphFont"/>
    <w:uiPriority w:val="99"/>
    <w:semiHidden/>
    <w:unhideWhenUsed/>
    <w:rsid w:val="00A74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79655">
      <w:bodyDiv w:val="1"/>
      <w:marLeft w:val="0"/>
      <w:marRight w:val="0"/>
      <w:marTop w:val="0"/>
      <w:marBottom w:val="0"/>
      <w:divBdr>
        <w:top w:val="none" w:sz="0" w:space="0" w:color="auto"/>
        <w:left w:val="none" w:sz="0" w:space="0" w:color="auto"/>
        <w:bottom w:val="none" w:sz="0" w:space="0" w:color="auto"/>
        <w:right w:val="none" w:sz="0" w:space="0" w:color="auto"/>
      </w:divBdr>
    </w:div>
    <w:div w:id="142085512">
      <w:bodyDiv w:val="1"/>
      <w:marLeft w:val="0"/>
      <w:marRight w:val="0"/>
      <w:marTop w:val="0"/>
      <w:marBottom w:val="0"/>
      <w:divBdr>
        <w:top w:val="none" w:sz="0" w:space="0" w:color="auto"/>
        <w:left w:val="none" w:sz="0" w:space="0" w:color="auto"/>
        <w:bottom w:val="none" w:sz="0" w:space="0" w:color="auto"/>
        <w:right w:val="none" w:sz="0" w:space="0" w:color="auto"/>
      </w:divBdr>
    </w:div>
    <w:div w:id="1163013617">
      <w:bodyDiv w:val="1"/>
      <w:marLeft w:val="0"/>
      <w:marRight w:val="0"/>
      <w:marTop w:val="0"/>
      <w:marBottom w:val="0"/>
      <w:divBdr>
        <w:top w:val="none" w:sz="0" w:space="0" w:color="auto"/>
        <w:left w:val="none" w:sz="0" w:space="0" w:color="auto"/>
        <w:bottom w:val="none" w:sz="0" w:space="0" w:color="auto"/>
        <w:right w:val="none" w:sz="0" w:space="0" w:color="auto"/>
      </w:divBdr>
    </w:div>
    <w:div w:id="164909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thornton-srv/software/PROCHECK/"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https://colab.research.google.com/github/sokrypton/ColabFold/blob/main/AlphaFold2.ipynb" TargetMode="Externa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cbi.nlm.nih.gov/" TargetMode="Externa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tu.biolib.com/DeepTMHMM" TargetMode="External"/><Relationship Id="rId4" Type="http://schemas.openxmlformats.org/officeDocument/2006/relationships/settings" Target="settings.xml"/><Relationship Id="rId9" Type="http://schemas.openxmlformats.org/officeDocument/2006/relationships/hyperlink" Target="https://pubchem.ncbi.nlm.ni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97098-FB9D-4A60-8EBD-E8B2880A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7367</Words>
  <Characters>41993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PACHARA SATTAYAWAT</dc:creator>
  <cp:keywords/>
  <dc:description/>
  <cp:lastModifiedBy>PACHARA SATTAYAWAT</cp:lastModifiedBy>
  <cp:revision>3</cp:revision>
  <dcterms:created xsi:type="dcterms:W3CDTF">2026-04-29T03:20:00Z</dcterms:created>
  <dcterms:modified xsi:type="dcterms:W3CDTF">2026-04-29T03:20:00Z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http://www.zotero.org/styles/multidisciplinary-digital-publishing-institute</vt:lpwstr>
  </property>
  <property fmtid="{D5CDD505-2E9C-101B-9397-08002B2CF9AE}" pid="15" name="Mendeley Recent Style Name 6_1">
    <vt:lpwstr>Multidisciplinary Digital Publishing Institute</vt:lpwstr>
  </property>
  <property fmtid="{D5CDD505-2E9C-101B-9397-08002B2CF9AE}" pid="16" name="Mendeley Recent Style Id 7_1">
    <vt:lpwstr>http://www.zotero.org/styles/plos-one</vt:lpwstr>
  </property>
  <property fmtid="{D5CDD505-2E9C-101B-9397-08002B2CF9AE}" pid="17" name="Mendeley Recent Style Name 7_1">
    <vt:lpwstr>PLOS ONE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http://www.zotero.org/styles/iscience</vt:lpwstr>
  </property>
  <property fmtid="{D5CDD505-2E9C-101B-9397-08002B2CF9AE}" pid="21" name="Mendeley Recent Style Name 9_1">
    <vt:lpwstr>iScience</vt:lpwstr>
  </property>
  <property fmtid="{D5CDD505-2E9C-101B-9397-08002B2CF9AE}" pid="22" name="Mendeley Document_1">
    <vt:lpwstr>True</vt:lpwstr>
  </property>
  <property fmtid="{D5CDD505-2E9C-101B-9397-08002B2CF9AE}" pid="23" name="Mendeley Unique User Id_1">
    <vt:lpwstr>e54a6b61-b761-3ef1-ac1b-6f2b7898c909</vt:lpwstr>
  </property>
  <property fmtid="{D5CDD505-2E9C-101B-9397-08002B2CF9AE}" pid="24" name="Mendeley Citation Style_1">
    <vt:lpwstr>http://www.zotero.org/styles/vancouver</vt:lpwstr>
  </property>
</Properties>
</file>