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5A9" w:rsidRPr="00F55C9F" w:rsidRDefault="005B55A9" w:rsidP="005B55A9">
      <w:pPr>
        <w:rPr>
          <w:rFonts w:ascii="Times New Roman" w:hAnsi="Times New Roman" w:cs="Times New Roman"/>
          <w:b/>
          <w:bCs/>
        </w:rPr>
      </w:pPr>
      <w:r w:rsidRPr="00F55C9F">
        <w:rPr>
          <w:rFonts w:ascii="Times New Roman" w:hAnsi="Times New Roman" w:cs="Times New Roman"/>
          <w:b/>
          <w:bCs/>
        </w:rPr>
        <w:t>Supplemental Materials</w:t>
      </w:r>
    </w:p>
    <w:p w:rsidR="005B55A9" w:rsidRPr="00F55C9F" w:rsidRDefault="005B55A9" w:rsidP="005B55A9">
      <w:pPr>
        <w:rPr>
          <w:rFonts w:ascii="Times New Roman" w:hAnsi="Times New Roman" w:cs="Times New Roman"/>
        </w:rPr>
      </w:pPr>
    </w:p>
    <w:p w:rsidR="005B55A9" w:rsidRPr="00F55C9F" w:rsidRDefault="00E65FEF" w:rsidP="005B55A9">
      <w:pPr>
        <w:adjustRightInd w:val="0"/>
        <w:snapToGrid w:val="0"/>
        <w:spacing w:line="480" w:lineRule="auto"/>
        <w:ind w:rightChars="58" w:right="139"/>
        <w:rPr>
          <w:rFonts w:ascii="Times New Roman" w:eastAsia="標楷體" w:hAnsi="Times New Roman" w:cs="Times New Roman"/>
          <w:bCs/>
          <w:color w:val="000000"/>
          <w:szCs w:val="24"/>
        </w:rPr>
      </w:pPr>
      <w:bookmarkStart w:id="0" w:name="_Hlk55147462"/>
      <w:r w:rsidRPr="00E65FEF">
        <w:rPr>
          <w:rFonts w:ascii="Times New Roman" w:eastAsia="標楷體" w:hAnsi="Times New Roman" w:cs="Times New Roman"/>
          <w:bCs/>
          <w:color w:val="000000"/>
          <w:szCs w:val="24"/>
        </w:rPr>
        <w:t xml:space="preserve">Characteristics of </w:t>
      </w:r>
      <w:proofErr w:type="spellStart"/>
      <w:r w:rsidRPr="00E65FEF">
        <w:rPr>
          <w:rFonts w:ascii="Times New Roman" w:eastAsia="標楷體" w:hAnsi="Times New Roman" w:cs="Times New Roman"/>
          <w:bCs/>
          <w:color w:val="000000"/>
          <w:szCs w:val="24"/>
        </w:rPr>
        <w:t>oligodendroglial</w:t>
      </w:r>
      <w:proofErr w:type="spellEnd"/>
      <w:r w:rsidRPr="00E65FEF">
        <w:rPr>
          <w:rFonts w:ascii="Times New Roman" w:eastAsia="標楷體" w:hAnsi="Times New Roman" w:cs="Times New Roman"/>
          <w:bCs/>
          <w:color w:val="000000"/>
          <w:szCs w:val="24"/>
        </w:rPr>
        <w:t xml:space="preserve"> lineage progression in a novel, non-inducible neuron-tri-glial coculture system.</w:t>
      </w:r>
    </w:p>
    <w:bookmarkEnd w:id="0"/>
    <w:p w:rsidR="005B55A9" w:rsidRPr="00F55C9F" w:rsidRDefault="005B55A9" w:rsidP="005B55A9">
      <w:pPr>
        <w:widowControl/>
        <w:rPr>
          <w:rFonts w:ascii="Times New Roman" w:hAnsi="Times New Roman" w:cs="Times New Roman"/>
        </w:rPr>
      </w:pPr>
    </w:p>
    <w:p w:rsidR="005B55A9" w:rsidRDefault="005B55A9" w:rsidP="005B55A9">
      <w:pPr>
        <w:widowControl/>
        <w:rPr>
          <w:rFonts w:ascii="Times New Roman" w:hAnsi="Times New Roman" w:cs="Times New Roman"/>
        </w:rPr>
      </w:pPr>
      <w:r w:rsidRPr="00F55C9F">
        <w:rPr>
          <w:rFonts w:ascii="Times New Roman" w:hAnsi="Times New Roman" w:cs="Times New Roman"/>
        </w:rPr>
        <w:t xml:space="preserve">The supplementary material comprises </w:t>
      </w:r>
      <w:r>
        <w:rPr>
          <w:rFonts w:ascii="Times New Roman" w:hAnsi="Times New Roman" w:cs="Times New Roman"/>
        </w:rPr>
        <w:t>t</w:t>
      </w:r>
      <w:r w:rsidRPr="005B55A9">
        <w:rPr>
          <w:rFonts w:ascii="Times New Roman" w:hAnsi="Times New Roman" w:cs="Times New Roman"/>
        </w:rPr>
        <w:t xml:space="preserve">he </w:t>
      </w:r>
      <w:r w:rsidR="00E65FEF">
        <w:rPr>
          <w:rFonts w:ascii="Times New Roman" w:hAnsi="Times New Roman" w:cs="Times New Roman"/>
        </w:rPr>
        <w:t xml:space="preserve">Figure S1-S6, </w:t>
      </w:r>
      <w:r w:rsidRPr="005B55A9">
        <w:rPr>
          <w:rFonts w:ascii="Times New Roman" w:hAnsi="Times New Roman" w:cs="Times New Roman"/>
        </w:rPr>
        <w:t>full uncropped Gels and Blots image(s)</w:t>
      </w:r>
      <w:r>
        <w:rPr>
          <w:rFonts w:ascii="Times New Roman" w:hAnsi="Times New Roman" w:cs="Times New Roman"/>
        </w:rPr>
        <w:t xml:space="preserve"> in Figure 2</w:t>
      </w:r>
      <w:r w:rsidR="00E65FEF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. </w:t>
      </w:r>
    </w:p>
    <w:p w:rsidR="005B55A9" w:rsidRDefault="005B55A9" w:rsidP="005B55A9">
      <w:pPr>
        <w:widowControl/>
        <w:rPr>
          <w:rFonts w:ascii="Times New Roman" w:hAnsi="Times New Roman" w:cs="Times New Roman"/>
        </w:rPr>
      </w:pPr>
    </w:p>
    <w:p w:rsidR="00E65FEF" w:rsidRDefault="00E65FEF" w:rsidP="005B55A9">
      <w:pPr>
        <w:widowControl/>
        <w:rPr>
          <w:rFonts w:ascii="Times New Roman" w:hAnsi="Times New Roman" w:cs="Times New Roman"/>
        </w:rPr>
      </w:pPr>
    </w:p>
    <w:p w:rsidR="00E65FEF" w:rsidRDefault="00E65FEF" w:rsidP="005B55A9">
      <w:pPr>
        <w:widowControl/>
        <w:rPr>
          <w:rFonts w:ascii="Times New Roman" w:hAnsi="Times New Roman" w:cs="Times New Roman"/>
        </w:rPr>
      </w:pPr>
    </w:p>
    <w:p w:rsidR="00E65FEF" w:rsidRDefault="00E65FEF" w:rsidP="005B55A9">
      <w:pPr>
        <w:widowControl/>
        <w:rPr>
          <w:rFonts w:ascii="Times New Roman" w:hAnsi="Times New Roman" w:cs="Times New Roman"/>
        </w:rPr>
      </w:pPr>
    </w:p>
    <w:p w:rsidR="00E65FEF" w:rsidRDefault="00E65FEF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65FEF" w:rsidRPr="00E65FEF" w:rsidRDefault="00E65FEF" w:rsidP="00E65FEF">
      <w:pPr>
        <w:widowControl/>
        <w:spacing w:line="360" w:lineRule="auto"/>
        <w:ind w:leftChars="1" w:left="283" w:hangingChars="117" w:hanging="281"/>
        <w:jc w:val="both"/>
        <w:rPr>
          <w:rFonts w:ascii="Times New Roman" w:eastAsia="新細明體" w:hAnsi="Times New Roman" w:cs="Times New Roman"/>
          <w:b/>
          <w:bCs/>
          <w:szCs w:val="24"/>
        </w:rPr>
      </w:pPr>
      <w:r w:rsidRPr="00E65FEF">
        <w:rPr>
          <w:rFonts w:ascii="Times New Roman" w:eastAsia="新細明體" w:hAnsi="Times New Roman" w:cs="Times New Roman"/>
          <w:b/>
          <w:bCs/>
          <w:noProof/>
          <w:szCs w:val="24"/>
          <w14:ligatures w14:val="standardContextual"/>
        </w:rPr>
        <w:lastRenderedPageBreak/>
        <w:drawing>
          <wp:inline distT="0" distB="0" distL="0" distR="0" wp14:anchorId="1314DA8F" wp14:editId="221148DD">
            <wp:extent cx="5278120" cy="3860165"/>
            <wp:effectExtent l="0" t="0" r="0" b="6985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ig. S1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86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FEF" w:rsidRPr="00E65FEF" w:rsidRDefault="00E65FEF" w:rsidP="00E65FEF">
      <w:pPr>
        <w:widowControl/>
        <w:spacing w:line="360" w:lineRule="auto"/>
        <w:jc w:val="both"/>
        <w:rPr>
          <w:rFonts w:ascii="Times New Roman" w:eastAsia="標楷體" w:hAnsi="Times New Roman" w:cs="Times New Roman"/>
          <w:bCs/>
          <w:color w:val="FF0000"/>
          <w:szCs w:val="24"/>
          <w:u w:val="single"/>
        </w:rPr>
      </w:pPr>
      <w:r w:rsidRPr="00E65FEF">
        <w:rPr>
          <w:rFonts w:ascii="Times New Roman" w:eastAsia="新細明體" w:hAnsi="Times New Roman" w:cs="Times New Roman"/>
          <w:b/>
          <w:color w:val="FF0000"/>
          <w:szCs w:val="24"/>
          <w:u w:val="single"/>
        </w:rPr>
        <w:t xml:space="preserve">Figure </w:t>
      </w:r>
      <w:r w:rsidRPr="00E65FEF">
        <w:rPr>
          <w:rFonts w:ascii="Times New Roman" w:eastAsia="新細明體" w:hAnsi="Times New Roman" w:cs="Times New Roman" w:hint="eastAsia"/>
          <w:b/>
          <w:color w:val="FF0000"/>
          <w:szCs w:val="24"/>
          <w:u w:val="single"/>
        </w:rPr>
        <w:t>S</w:t>
      </w:r>
      <w:r w:rsidRPr="00E65FEF">
        <w:rPr>
          <w:rFonts w:ascii="Times New Roman" w:eastAsia="新細明體" w:hAnsi="Times New Roman" w:cs="Times New Roman"/>
          <w:b/>
          <w:color w:val="FF0000"/>
          <w:szCs w:val="24"/>
          <w:u w:val="single"/>
        </w:rPr>
        <w:t>1</w:t>
      </w:r>
      <w:r w:rsidRPr="00E65FEF">
        <w:rPr>
          <w:rFonts w:ascii="Times New Roman" w:eastAsia="標楷體" w:hAnsi="Times New Roman" w:cs="Times New Roman"/>
          <w:b/>
          <w:bCs/>
          <w:color w:val="FF0000"/>
          <w:szCs w:val="24"/>
          <w:u w:val="single"/>
        </w:rPr>
        <w:t xml:space="preserve">. General establishment workflow and overview of the non-inducible neuron-tri-glial coculture system. </w:t>
      </w:r>
      <w:r w:rsidRPr="00E65FEF">
        <w:rPr>
          <w:rFonts w:ascii="Times New Roman" w:eastAsia="標楷體" w:hAnsi="Times New Roman" w:cs="Times New Roman"/>
          <w:bCs/>
          <w:color w:val="FF0000"/>
          <w:szCs w:val="24"/>
          <w:u w:val="single"/>
        </w:rPr>
        <w:t xml:space="preserve">Schematic illustration of the six-step procedure for establishing the </w:t>
      </w:r>
      <w:r w:rsidRPr="00E65FEF">
        <w:rPr>
          <w:rFonts w:ascii="Times New Roman" w:eastAsia="新細明體" w:hAnsi="Times New Roman" w:cs="Times New Roman"/>
          <w:color w:val="FF0000"/>
          <w:szCs w:val="20"/>
          <w:u w:val="single"/>
        </w:rPr>
        <w:t>non-inducible</w:t>
      </w:r>
      <w:r w:rsidRPr="00E65FEF">
        <w:rPr>
          <w:rFonts w:ascii="Times New Roman" w:eastAsia="標楷體" w:hAnsi="Times New Roman" w:cs="Times New Roman"/>
          <w:bCs/>
          <w:color w:val="FF0000"/>
          <w:szCs w:val="24"/>
          <w:u w:val="single"/>
        </w:rPr>
        <w:t xml:space="preserve"> neuron-tri-glial co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>culture system</w:t>
      </w:r>
      <w:r w:rsidRPr="00E65FEF">
        <w:rPr>
          <w:rFonts w:ascii="Times New Roman" w:eastAsia="標楷體" w:hAnsi="Times New Roman" w:cs="Times New Roman"/>
          <w:bCs/>
          <w:color w:val="FF0000"/>
          <w:szCs w:val="24"/>
          <w:u w:val="single"/>
        </w:rPr>
        <w:t>: (1) Embryo collection: following euthanasia and sterilization, the uterine horns were exposed, and embryos were collected by gently squeezing the uterine horns; (2) Ice-cold MEM rinse: embryos were washed twice with ice-cold MEM to remove contaminants; (3) Whole-brain dissection: the meninges were carefully removed, followed by isolation of the mesencephalon and telencephalon; (4) Mechanical dissociation: brain tissues were mechanically dissociated to generate single-cell suspensions; (5) Filtration and centrifugation: cell suspensions were filtered to remove debris and centrifuged at 430 × g for 10 min at 4°C; (6) Cell seeding: cells were seeded at the specified density onto pre-coated 96-well plates (This figure was created with Biorender.com)</w:t>
      </w:r>
    </w:p>
    <w:p w:rsidR="00E65FEF" w:rsidRPr="00E65FEF" w:rsidRDefault="00E65FEF" w:rsidP="00E65FEF">
      <w:pPr>
        <w:widowControl/>
        <w:spacing w:line="360" w:lineRule="auto"/>
        <w:ind w:leftChars="1" w:left="283" w:hangingChars="117" w:hanging="281"/>
        <w:jc w:val="both"/>
        <w:rPr>
          <w:rFonts w:ascii="Times New Roman" w:eastAsia="新細明體" w:hAnsi="Times New Roman" w:cs="Times New Roman"/>
          <w:szCs w:val="24"/>
        </w:rPr>
      </w:pPr>
    </w:p>
    <w:p w:rsidR="00E65FEF" w:rsidRPr="00E65FEF" w:rsidRDefault="00E65FEF" w:rsidP="00E65FEF">
      <w:pPr>
        <w:widowControl/>
        <w:spacing w:after="160" w:line="278" w:lineRule="auto"/>
        <w:rPr>
          <w:rFonts w:ascii="Times New Roman" w:eastAsia="新細明體" w:hAnsi="Times New Roman" w:cs="Times New Roman"/>
          <w:b/>
          <w:szCs w:val="24"/>
        </w:rPr>
      </w:pPr>
      <w:r w:rsidRPr="00E65FEF">
        <w:rPr>
          <w:rFonts w:ascii="Times New Roman" w:eastAsia="新細明體" w:hAnsi="Times New Roman" w:cs="Times New Roman"/>
          <w:b/>
          <w:szCs w:val="24"/>
        </w:rPr>
        <w:br w:type="page"/>
      </w:r>
    </w:p>
    <w:p w:rsidR="00E65FEF" w:rsidRPr="00E65FEF" w:rsidRDefault="003F6F3A" w:rsidP="00E65FEF">
      <w:pPr>
        <w:widowControl/>
        <w:spacing w:line="360" w:lineRule="auto"/>
        <w:ind w:leftChars="1" w:left="283" w:hangingChars="117" w:hanging="281"/>
        <w:jc w:val="both"/>
        <w:rPr>
          <w:rFonts w:ascii="Times New Roman" w:eastAsia="新細明體" w:hAnsi="Times New Roman" w:cs="Times New Roman"/>
          <w:b/>
          <w:szCs w:val="24"/>
        </w:rPr>
      </w:pPr>
      <w:bookmarkStart w:id="1" w:name="_Hlk237858598"/>
      <w:r>
        <w:rPr>
          <w:rFonts w:ascii="Times New Roman" w:eastAsia="新細明體" w:hAnsi="Times New Roman" w:cs="Times New Roman"/>
          <w:b/>
          <w:noProof/>
          <w:szCs w:val="24"/>
        </w:rPr>
        <w:lastRenderedPageBreak/>
        <w:drawing>
          <wp:inline distT="0" distB="0" distL="0" distR="0">
            <wp:extent cx="5274310" cy="5900420"/>
            <wp:effectExtent l="0" t="0" r="2540" b="508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. S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0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FEF" w:rsidRPr="00E65FEF" w:rsidRDefault="00E65FEF" w:rsidP="00E65FEF">
      <w:pPr>
        <w:widowControl/>
        <w:spacing w:line="360" w:lineRule="auto"/>
        <w:jc w:val="both"/>
        <w:rPr>
          <w:rFonts w:ascii="Times New Roman" w:eastAsia="新細明體" w:hAnsi="Times New Roman" w:cs="Times New Roman"/>
          <w:b/>
          <w:color w:val="FF0000"/>
          <w:szCs w:val="24"/>
          <w:u w:val="single"/>
        </w:rPr>
      </w:pPr>
      <w:r w:rsidRPr="00E65FEF">
        <w:rPr>
          <w:rFonts w:ascii="Times New Roman" w:eastAsia="新細明體" w:hAnsi="Times New Roman" w:cs="Times New Roman"/>
          <w:b/>
          <w:color w:val="FF0000"/>
          <w:szCs w:val="24"/>
          <w:u w:val="single"/>
        </w:rPr>
        <w:t xml:space="preserve">Figure </w:t>
      </w:r>
      <w:r w:rsidRPr="00E65FEF">
        <w:rPr>
          <w:rFonts w:ascii="Times New Roman" w:eastAsia="新細明體" w:hAnsi="Times New Roman" w:cs="Times New Roman" w:hint="eastAsia"/>
          <w:b/>
          <w:color w:val="FF0000"/>
          <w:szCs w:val="24"/>
          <w:u w:val="single"/>
        </w:rPr>
        <w:t>S</w:t>
      </w:r>
      <w:r w:rsidRPr="00E65FEF">
        <w:rPr>
          <w:rFonts w:ascii="Times New Roman" w:eastAsia="新細明體" w:hAnsi="Times New Roman" w:cs="Times New Roman"/>
          <w:b/>
          <w:color w:val="FF0000"/>
          <w:szCs w:val="24"/>
          <w:u w:val="single"/>
        </w:rPr>
        <w:t>2</w:t>
      </w:r>
      <w:r w:rsidRPr="00E65FEF">
        <w:rPr>
          <w:rFonts w:ascii="Times New Roman" w:eastAsia="標楷體" w:hAnsi="Times New Roman" w:cs="Times New Roman"/>
          <w:b/>
          <w:bCs/>
          <w:color w:val="FF0000"/>
          <w:szCs w:val="24"/>
          <w:u w:val="single"/>
        </w:rPr>
        <w:t xml:space="preserve">. </w:t>
      </w:r>
      <w:r w:rsidRPr="00E65FEF">
        <w:rPr>
          <w:rFonts w:ascii="Times New Roman" w:eastAsia="新細明體" w:hAnsi="Times New Roman" w:cs="Times New Roman"/>
          <w:b/>
          <w:color w:val="FF0000"/>
          <w:u w:val="single"/>
        </w:rPr>
        <w:t xml:space="preserve">Cellular morphology and growth in the 96-well plates of the non-inducible neuron-tri-glial culture system under different cell-density and incubation-time conditions. 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>Representative bright-field images of high-density groups: 4 × 10⁵ (the 1</w:t>
      </w:r>
      <w:r w:rsidRPr="00E65FEF">
        <w:rPr>
          <w:rFonts w:ascii="Times New Roman" w:eastAsia="新細明體" w:hAnsi="Times New Roman" w:cs="Times New Roman"/>
          <w:color w:val="FF0000"/>
          <w:u w:val="single"/>
          <w:vertAlign w:val="superscript"/>
        </w:rPr>
        <w:t>st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 row), 2 × 10⁵ (the 2</w:t>
      </w:r>
      <w:r w:rsidRPr="00E65FEF">
        <w:rPr>
          <w:rFonts w:ascii="Times New Roman" w:eastAsia="新細明體" w:hAnsi="Times New Roman" w:cs="Times New Roman"/>
          <w:color w:val="FF0000"/>
          <w:u w:val="single"/>
          <w:vertAlign w:val="superscript"/>
        </w:rPr>
        <w:t>nd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 row), and 1 × 10⁵ (the 3</w:t>
      </w:r>
      <w:r w:rsidRPr="00E65FEF">
        <w:rPr>
          <w:rFonts w:ascii="Times New Roman" w:eastAsia="新細明體" w:hAnsi="Times New Roman" w:cs="Times New Roman"/>
          <w:color w:val="FF0000"/>
          <w:u w:val="single"/>
          <w:vertAlign w:val="superscript"/>
        </w:rPr>
        <w:t>rd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 row) cells/well and low-density groups: 5 × 10⁴ (the 4</w:t>
      </w:r>
      <w:r w:rsidRPr="00E65FEF">
        <w:rPr>
          <w:rFonts w:ascii="Times New Roman" w:eastAsia="新細明體" w:hAnsi="Times New Roman" w:cs="Times New Roman"/>
          <w:color w:val="FF0000"/>
          <w:u w:val="single"/>
          <w:vertAlign w:val="superscript"/>
        </w:rPr>
        <w:t>th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 row), 2.5 × 10⁴ (the 5</w:t>
      </w:r>
      <w:r w:rsidRPr="00E65FEF">
        <w:rPr>
          <w:rFonts w:ascii="Times New Roman" w:eastAsia="新細明體" w:hAnsi="Times New Roman" w:cs="Times New Roman"/>
          <w:color w:val="FF0000"/>
          <w:u w:val="single"/>
          <w:vertAlign w:val="superscript"/>
        </w:rPr>
        <w:t>th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 row), and 1.25 × 10⁴ (the 6</w:t>
      </w:r>
      <w:r w:rsidRPr="00E65FEF">
        <w:rPr>
          <w:rFonts w:ascii="Times New Roman" w:eastAsia="新細明體" w:hAnsi="Times New Roman" w:cs="Times New Roman"/>
          <w:color w:val="FF0000"/>
          <w:u w:val="single"/>
          <w:vertAlign w:val="superscript"/>
        </w:rPr>
        <w:t>th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 row) cells/well at different days as indicated after cell seeding. </w:t>
      </w:r>
    </w:p>
    <w:bookmarkEnd w:id="1"/>
    <w:p w:rsidR="00E65FEF" w:rsidRPr="00E65FEF" w:rsidRDefault="00E65FEF" w:rsidP="00E65FEF">
      <w:pPr>
        <w:widowControl/>
        <w:spacing w:after="160" w:line="278" w:lineRule="auto"/>
        <w:rPr>
          <w:rFonts w:ascii="Times New Roman" w:eastAsia="新細明體" w:hAnsi="Times New Roman" w:cs="Times New Roman"/>
          <w:b/>
          <w:szCs w:val="24"/>
        </w:rPr>
      </w:pPr>
      <w:r w:rsidRPr="00E65FEF">
        <w:rPr>
          <w:rFonts w:ascii="Times New Roman" w:eastAsia="新細明體" w:hAnsi="Times New Roman" w:cs="Times New Roman"/>
          <w:b/>
          <w:szCs w:val="24"/>
        </w:rPr>
        <w:br w:type="page"/>
      </w:r>
    </w:p>
    <w:p w:rsidR="00E65FEF" w:rsidRPr="00E65FEF" w:rsidRDefault="00E65FEF" w:rsidP="00E65FEF">
      <w:pPr>
        <w:widowControl/>
        <w:spacing w:line="360" w:lineRule="auto"/>
        <w:ind w:leftChars="1" w:left="283" w:hangingChars="117" w:hanging="281"/>
        <w:jc w:val="both"/>
        <w:rPr>
          <w:rFonts w:ascii="Times New Roman" w:eastAsia="新細明體" w:hAnsi="Times New Roman" w:cs="Times New Roman"/>
          <w:b/>
          <w:szCs w:val="24"/>
        </w:rPr>
      </w:pPr>
      <w:r w:rsidRPr="00E65FEF">
        <w:rPr>
          <w:rFonts w:ascii="Times New Roman" w:eastAsia="新細明體" w:hAnsi="Times New Roman" w:cs="Times New Roman"/>
          <w:b/>
          <w:noProof/>
          <w:szCs w:val="24"/>
          <w14:ligatures w14:val="standardContextual"/>
        </w:rPr>
        <w:lastRenderedPageBreak/>
        <w:drawing>
          <wp:inline distT="0" distB="0" distL="0" distR="0" wp14:anchorId="177FD824" wp14:editId="1E93A6AA">
            <wp:extent cx="5278120" cy="4293235"/>
            <wp:effectExtent l="0" t="0" r="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. S3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29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FEF" w:rsidRPr="00E65FEF" w:rsidRDefault="00E65FEF" w:rsidP="00E65FEF">
      <w:pPr>
        <w:widowControl/>
        <w:spacing w:line="360" w:lineRule="auto"/>
        <w:jc w:val="both"/>
        <w:rPr>
          <w:rFonts w:ascii="Times New Roman" w:eastAsia="標楷體" w:hAnsi="Times New Roman" w:cs="Times New Roman"/>
          <w:b/>
          <w:bCs/>
          <w:color w:val="000000"/>
          <w:szCs w:val="24"/>
          <w:u w:val="single"/>
        </w:rPr>
      </w:pPr>
      <w:bookmarkStart w:id="2" w:name="_Hlk237725518"/>
      <w:r w:rsidRPr="00E65FEF">
        <w:rPr>
          <w:rFonts w:ascii="Times New Roman" w:eastAsia="新細明體" w:hAnsi="Times New Roman" w:cs="Times New Roman"/>
          <w:b/>
          <w:color w:val="FF0000"/>
          <w:szCs w:val="24"/>
          <w:u w:val="single"/>
        </w:rPr>
        <w:t xml:space="preserve">Figure </w:t>
      </w:r>
      <w:r w:rsidRPr="00E65FEF">
        <w:rPr>
          <w:rFonts w:ascii="Times New Roman" w:eastAsia="新細明體" w:hAnsi="Times New Roman" w:cs="Times New Roman" w:hint="eastAsia"/>
          <w:b/>
          <w:color w:val="FF0000"/>
          <w:szCs w:val="24"/>
          <w:u w:val="single"/>
        </w:rPr>
        <w:t>S</w:t>
      </w:r>
      <w:r w:rsidRPr="00E65FEF">
        <w:rPr>
          <w:rFonts w:ascii="Times New Roman" w:eastAsia="新細明體" w:hAnsi="Times New Roman" w:cs="Times New Roman"/>
          <w:b/>
          <w:color w:val="FF0000"/>
          <w:szCs w:val="24"/>
          <w:u w:val="single"/>
        </w:rPr>
        <w:t>3</w:t>
      </w:r>
      <w:r w:rsidRPr="00E65FEF">
        <w:rPr>
          <w:rFonts w:ascii="Times New Roman" w:eastAsia="標楷體" w:hAnsi="Times New Roman" w:cs="Times New Roman"/>
          <w:b/>
          <w:bCs/>
          <w:color w:val="FF0000"/>
          <w:szCs w:val="24"/>
          <w:u w:val="single"/>
        </w:rPr>
        <w:t xml:space="preserve">. Trajectory development of </w:t>
      </w:r>
      <w:proofErr w:type="spellStart"/>
      <w:r w:rsidRPr="00E65FEF">
        <w:rPr>
          <w:rFonts w:ascii="Times New Roman" w:eastAsia="新細明體" w:hAnsi="Times New Roman" w:cs="Times New Roman"/>
          <w:b/>
          <w:bCs/>
          <w:color w:val="FF0000"/>
          <w:szCs w:val="24"/>
          <w:u w:val="single"/>
        </w:rPr>
        <w:t>oligodendroglial</w:t>
      </w:r>
      <w:proofErr w:type="spellEnd"/>
      <w:r w:rsidRPr="00E65FEF">
        <w:rPr>
          <w:rFonts w:ascii="Times New Roman" w:eastAsia="新細明體" w:hAnsi="Times New Roman" w:cs="Times New Roman"/>
          <w:b/>
          <w:bCs/>
          <w:color w:val="FF0000"/>
          <w:szCs w:val="24"/>
          <w:u w:val="single"/>
        </w:rPr>
        <w:t xml:space="preserve"> lineage cells in a 21-day, </w:t>
      </w:r>
      <w:r w:rsidRPr="00E65FEF">
        <w:rPr>
          <w:rFonts w:ascii="Times New Roman" w:eastAsia="新細明體" w:hAnsi="Times New Roman" w:cs="Times New Roman"/>
          <w:b/>
          <w:color w:val="FF0000"/>
          <w:u w:val="single"/>
        </w:rPr>
        <w:t xml:space="preserve">non-inducible neuron-tri-glial coculture system. </w:t>
      </w:r>
      <w:r w:rsidRPr="00E65FEF">
        <w:rPr>
          <w:rFonts w:ascii="Times New Roman" w:eastAsia="標楷體" w:hAnsi="Times New Roman" w:cs="Times New Roman"/>
          <w:b/>
          <w:bCs/>
          <w:color w:val="000000"/>
          <w:szCs w:val="24"/>
        </w:rPr>
        <w:t xml:space="preserve"> </w:t>
      </w:r>
    </w:p>
    <w:p w:rsidR="00E65FEF" w:rsidRPr="00E65FEF" w:rsidRDefault="00E65FEF" w:rsidP="00E65FEF">
      <w:pPr>
        <w:widowControl/>
        <w:spacing w:line="360" w:lineRule="auto"/>
        <w:jc w:val="both"/>
        <w:rPr>
          <w:rFonts w:ascii="Times New Roman" w:eastAsia="新細明體" w:hAnsi="Times New Roman" w:cs="Times New Roman"/>
          <w:color w:val="FF0000"/>
          <w:u w:val="single"/>
        </w:rPr>
      </w:pPr>
      <w:r w:rsidRPr="00E65FEF">
        <w:rPr>
          <w:rFonts w:ascii="Times New Roman" w:eastAsia="新細明體" w:hAnsi="Times New Roman" w:cs="Times New Roman" w:hint="eastAsia"/>
          <w:b/>
          <w:color w:val="FF0000"/>
          <w:szCs w:val="20"/>
          <w:u w:val="single"/>
        </w:rPr>
        <w:t>(</w:t>
      </w:r>
      <w:r w:rsidRPr="00E65FEF">
        <w:rPr>
          <w:rFonts w:ascii="Times New Roman" w:eastAsia="新細明體" w:hAnsi="Times New Roman" w:cs="Times New Roman"/>
          <w:b/>
          <w:color w:val="FF0000"/>
          <w:szCs w:val="20"/>
          <w:u w:val="single"/>
        </w:rPr>
        <w:t>A</w:t>
      </w:r>
      <w:r w:rsidRPr="00E65FEF">
        <w:rPr>
          <w:rFonts w:ascii="Times New Roman" w:eastAsia="新細明體" w:hAnsi="Times New Roman" w:cs="Times New Roman" w:hint="eastAsia"/>
          <w:b/>
          <w:color w:val="FF0000"/>
          <w:szCs w:val="20"/>
          <w:u w:val="single"/>
        </w:rPr>
        <w:t>)</w:t>
      </w:r>
      <w:r w:rsidRPr="00E65FEF">
        <w:rPr>
          <w:rFonts w:ascii="Times New Roman" w:eastAsia="新細明體" w:hAnsi="Times New Roman" w:cs="Times New Roman" w:hint="eastAsia"/>
          <w:color w:val="FF0000"/>
          <w:szCs w:val="20"/>
          <w:u w:val="single"/>
        </w:rPr>
        <w:t xml:space="preserve"> </w:t>
      </w:r>
      <w:r w:rsidRPr="00E65FEF">
        <w:rPr>
          <w:rFonts w:ascii="Times New Roman" w:eastAsia="新細明體" w:hAnsi="Times New Roman" w:cs="Times New Roman"/>
          <w:color w:val="FF0000"/>
          <w:szCs w:val="20"/>
          <w:u w:val="single"/>
        </w:rPr>
        <w:t xml:space="preserve">The 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UMAP image of re-clustered </w:t>
      </w:r>
      <w:proofErr w:type="spellStart"/>
      <w:r w:rsidRPr="00E65FEF">
        <w:rPr>
          <w:rFonts w:ascii="Times New Roman" w:eastAsia="新細明體" w:hAnsi="Times New Roman" w:cs="Times New Roman"/>
          <w:bCs/>
          <w:color w:val="FF0000"/>
          <w:szCs w:val="24"/>
          <w:u w:val="single"/>
        </w:rPr>
        <w:t>oligodendroglial</w:t>
      </w:r>
      <w:proofErr w:type="spellEnd"/>
      <w:r w:rsidRPr="00E65FEF">
        <w:rPr>
          <w:rFonts w:ascii="Times New Roman" w:eastAsia="新細明體" w:hAnsi="Times New Roman" w:cs="Times New Roman"/>
          <w:bCs/>
          <w:color w:val="FF0000"/>
          <w:szCs w:val="24"/>
          <w:u w:val="single"/>
        </w:rPr>
        <w:t xml:space="preserve"> lineage cells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 (Oligodendrocyte progenitor cell (OPC), pre-myelinating oligodendrocyte (OL), mature OL, and unknown) from the SOX-10-positive cluster 3 in Fig. 3A. </w:t>
      </w:r>
    </w:p>
    <w:p w:rsidR="00E65FEF" w:rsidRPr="00E65FEF" w:rsidRDefault="00E65FEF" w:rsidP="00E65FEF">
      <w:pPr>
        <w:spacing w:line="360" w:lineRule="auto"/>
        <w:jc w:val="both"/>
        <w:rPr>
          <w:rFonts w:ascii="Times New Roman" w:eastAsia="標楷體" w:hAnsi="Times New Roman" w:cs="Times New Roman"/>
          <w:color w:val="FF0000"/>
          <w:u w:val="single"/>
        </w:rPr>
      </w:pPr>
      <w:r w:rsidRPr="00E65FEF">
        <w:rPr>
          <w:rFonts w:ascii="Times New Roman" w:eastAsia="標楷體" w:hAnsi="Times New Roman" w:cs="Times New Roman"/>
          <w:b/>
          <w:color w:val="FF0000"/>
          <w:u w:val="single"/>
        </w:rPr>
        <w:t>(B)</w:t>
      </w:r>
      <w:r w:rsidRPr="00E65FEF">
        <w:rPr>
          <w:rFonts w:ascii="Times New Roman" w:eastAsia="標楷體" w:hAnsi="Times New Roman" w:cs="Times New Roman"/>
          <w:color w:val="FF0000"/>
          <w:u w:val="single"/>
        </w:rPr>
        <w:t xml:space="preserve"> Heatmap showing the top 20 differentially expressed genes (DEGs) for each of the four identified clusters.</w:t>
      </w:r>
    </w:p>
    <w:p w:rsidR="00E65FEF" w:rsidRPr="00E65FEF" w:rsidRDefault="00E65FEF" w:rsidP="00E65FEF">
      <w:pPr>
        <w:spacing w:line="360" w:lineRule="auto"/>
        <w:jc w:val="both"/>
        <w:rPr>
          <w:rFonts w:ascii="Times New Roman" w:eastAsia="標楷體" w:hAnsi="Times New Roman" w:cs="Times New Roman"/>
          <w:bCs/>
          <w:color w:val="FF0000"/>
          <w:u w:val="single"/>
        </w:rPr>
      </w:pPr>
      <w:r w:rsidRPr="00E65FEF">
        <w:rPr>
          <w:rFonts w:ascii="Times New Roman" w:eastAsia="標楷體" w:hAnsi="Times New Roman" w:cs="Times New Roman"/>
          <w:b/>
          <w:bCs/>
          <w:color w:val="FF0000"/>
          <w:u w:val="single"/>
        </w:rPr>
        <w:t>(C-G)</w:t>
      </w:r>
      <w:r w:rsidRPr="00E65FEF">
        <w:rPr>
          <w:rFonts w:ascii="Times New Roman" w:eastAsia="標楷體" w:hAnsi="Times New Roman" w:cs="Times New Roman"/>
          <w:bCs/>
          <w:color w:val="FF0000"/>
          <w:u w:val="single"/>
        </w:rPr>
        <w:t xml:space="preserve"> Violin plots (C) and feature plots (D-G) showing the expression levels and patterns of </w:t>
      </w:r>
      <w:proofErr w:type="spellStart"/>
      <w:r w:rsidRPr="00E65FEF">
        <w:rPr>
          <w:rFonts w:ascii="Times New Roman" w:eastAsia="新細明體" w:hAnsi="Times New Roman" w:cs="Times New Roman"/>
          <w:bCs/>
          <w:color w:val="FF0000"/>
          <w:szCs w:val="24"/>
          <w:u w:val="single"/>
        </w:rPr>
        <w:t>oligodendroglial</w:t>
      </w:r>
      <w:proofErr w:type="spellEnd"/>
      <w:r w:rsidRPr="00E65FEF">
        <w:rPr>
          <w:rFonts w:ascii="Times New Roman" w:eastAsia="新細明體" w:hAnsi="Times New Roman" w:cs="Times New Roman"/>
          <w:bCs/>
          <w:color w:val="FF0000"/>
          <w:szCs w:val="24"/>
          <w:u w:val="single"/>
        </w:rPr>
        <w:t xml:space="preserve"> lineage cell-type-specific</w:t>
      </w:r>
      <w:r w:rsidRPr="00E65FEF">
        <w:rPr>
          <w:rFonts w:ascii="Times New Roman" w:eastAsia="標楷體" w:hAnsi="Times New Roman" w:cs="Times New Roman"/>
          <w:bCs/>
          <w:color w:val="FF0000"/>
          <w:u w:val="single"/>
        </w:rPr>
        <w:t xml:space="preserve"> markers across each cluster, including </w:t>
      </w:r>
      <w:proofErr w:type="spellStart"/>
      <w:r w:rsidRPr="00E65FEF">
        <w:rPr>
          <w:rFonts w:ascii="Times New Roman" w:eastAsia="標楷體" w:hAnsi="Times New Roman" w:cs="Times New Roman"/>
          <w:bCs/>
          <w:i/>
          <w:color w:val="FF0000"/>
          <w:u w:val="single"/>
        </w:rPr>
        <w:t>pdgfra</w:t>
      </w:r>
      <w:proofErr w:type="spellEnd"/>
      <w:r w:rsidRPr="00E65FEF">
        <w:rPr>
          <w:rFonts w:ascii="Times New Roman" w:eastAsia="標楷體" w:hAnsi="Times New Roman" w:cs="Times New Roman"/>
          <w:bCs/>
          <w:color w:val="FF0000"/>
          <w:u w:val="single"/>
        </w:rPr>
        <w:t xml:space="preserve"> (OPC), </w:t>
      </w:r>
      <w:r w:rsidRPr="00E65FEF">
        <w:rPr>
          <w:rFonts w:ascii="Times New Roman" w:eastAsia="標楷體" w:hAnsi="Times New Roman" w:cs="Times New Roman"/>
          <w:bCs/>
          <w:i/>
          <w:color w:val="FF0000"/>
          <w:u w:val="single"/>
        </w:rPr>
        <w:t>Tcf7l2</w:t>
      </w:r>
      <w:r w:rsidRPr="00E65FEF">
        <w:rPr>
          <w:rFonts w:ascii="Times New Roman" w:eastAsia="標楷體" w:hAnsi="Times New Roman" w:cs="Times New Roman"/>
          <w:bCs/>
          <w:color w:val="FF0000"/>
          <w:u w:val="single"/>
        </w:rPr>
        <w:t xml:space="preserve"> (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>pre-myelinating OL</w:t>
      </w:r>
      <w:r w:rsidRPr="00E65FEF">
        <w:rPr>
          <w:rFonts w:ascii="Times New Roman" w:eastAsia="標楷體" w:hAnsi="Times New Roman" w:cs="Times New Roman"/>
          <w:bCs/>
          <w:color w:val="FF0000"/>
          <w:u w:val="single"/>
        </w:rPr>
        <w:t xml:space="preserve">), </w:t>
      </w:r>
      <w:proofErr w:type="spellStart"/>
      <w:r w:rsidRPr="00E65FEF">
        <w:rPr>
          <w:rFonts w:ascii="Times New Roman" w:eastAsia="標楷體" w:hAnsi="Times New Roman" w:cs="Times New Roman"/>
          <w:bCs/>
          <w:i/>
          <w:color w:val="FF0000"/>
          <w:u w:val="single"/>
        </w:rPr>
        <w:t>Mobp</w:t>
      </w:r>
      <w:proofErr w:type="spellEnd"/>
      <w:r w:rsidRPr="00E65FEF">
        <w:rPr>
          <w:rFonts w:ascii="Times New Roman" w:eastAsia="標楷體" w:hAnsi="Times New Roman" w:cs="Times New Roman"/>
          <w:bCs/>
          <w:color w:val="FF0000"/>
          <w:u w:val="single"/>
        </w:rPr>
        <w:t xml:space="preserve"> (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>mature OL</w:t>
      </w:r>
      <w:r w:rsidRPr="00E65FEF">
        <w:rPr>
          <w:rFonts w:ascii="Times New Roman" w:eastAsia="標楷體" w:hAnsi="Times New Roman" w:cs="Times New Roman"/>
          <w:bCs/>
          <w:color w:val="FF0000"/>
          <w:u w:val="single"/>
        </w:rPr>
        <w:t xml:space="preserve">), and </w:t>
      </w:r>
      <w:proofErr w:type="spellStart"/>
      <w:r w:rsidRPr="00E65FEF">
        <w:rPr>
          <w:rFonts w:ascii="Times New Roman" w:eastAsia="標楷體" w:hAnsi="Times New Roman" w:cs="Times New Roman"/>
          <w:bCs/>
          <w:i/>
          <w:iCs/>
          <w:color w:val="FF0000"/>
          <w:u w:val="single"/>
        </w:rPr>
        <w:t>Gfap</w:t>
      </w:r>
      <w:proofErr w:type="spellEnd"/>
      <w:r w:rsidRPr="00E65FEF">
        <w:rPr>
          <w:rFonts w:ascii="Times New Roman" w:eastAsia="標楷體" w:hAnsi="Times New Roman" w:cs="Times New Roman"/>
          <w:bCs/>
          <w:color w:val="FF0000"/>
          <w:u w:val="single"/>
        </w:rPr>
        <w:t xml:space="preserve"> (astroglia-like cells). </w:t>
      </w:r>
    </w:p>
    <w:p w:rsidR="00E65FEF" w:rsidRPr="00E65FEF" w:rsidRDefault="00E65FEF" w:rsidP="00E65FEF">
      <w:pPr>
        <w:spacing w:line="360" w:lineRule="auto"/>
        <w:rPr>
          <w:rFonts w:ascii="Times New Roman" w:eastAsia="標楷體" w:hAnsi="Times New Roman" w:cs="Times New Roman"/>
          <w:b/>
          <w:bCs/>
          <w:color w:val="FF0000"/>
          <w:u w:val="single"/>
        </w:rPr>
      </w:pPr>
      <w:r w:rsidRPr="00E65FEF">
        <w:rPr>
          <w:rFonts w:ascii="Times New Roman" w:eastAsia="標楷體" w:hAnsi="Times New Roman" w:cs="Times New Roman"/>
          <w:b/>
          <w:bCs/>
          <w:color w:val="FF0000"/>
          <w:u w:val="single"/>
        </w:rPr>
        <w:t>(H-I)</w:t>
      </w:r>
      <w:r w:rsidRPr="00E65FEF">
        <w:rPr>
          <w:rFonts w:ascii="Times New Roman" w:eastAsia="標楷體" w:hAnsi="Times New Roman" w:cs="Times New Roman"/>
          <w:bCs/>
          <w:color w:val="FF0000"/>
          <w:u w:val="single"/>
        </w:rPr>
        <w:t xml:space="preserve"> Single-cell </w:t>
      </w:r>
      <w:proofErr w:type="spellStart"/>
      <w:r w:rsidRPr="00E65FEF">
        <w:rPr>
          <w:rFonts w:ascii="Times New Roman" w:eastAsia="標楷體" w:hAnsi="Times New Roman" w:cs="Times New Roman"/>
          <w:bCs/>
          <w:color w:val="FF0000"/>
          <w:u w:val="single"/>
        </w:rPr>
        <w:t>pseudotime</w:t>
      </w:r>
      <w:proofErr w:type="spellEnd"/>
      <w:r w:rsidRPr="00E65FEF">
        <w:rPr>
          <w:rFonts w:ascii="Times New Roman" w:eastAsia="標楷體" w:hAnsi="Times New Roman" w:cs="Times New Roman"/>
          <w:bCs/>
          <w:color w:val="FF0000"/>
          <w:u w:val="single"/>
        </w:rPr>
        <w:t xml:space="preserve"> trajectory analysis plot of </w:t>
      </w:r>
      <w:r w:rsidRPr="00E65FEF">
        <w:rPr>
          <w:rFonts w:ascii="Times New Roman" w:eastAsia="新細明體" w:hAnsi="Times New Roman" w:cs="Times New Roman"/>
          <w:color w:val="FF0000"/>
          <w:szCs w:val="24"/>
          <w:u w:val="single"/>
        </w:rPr>
        <w:t xml:space="preserve">re-clustered </w:t>
      </w:r>
      <w:proofErr w:type="spellStart"/>
      <w:r w:rsidRPr="00E65FEF">
        <w:rPr>
          <w:rFonts w:ascii="Times New Roman" w:eastAsia="新細明體" w:hAnsi="Times New Roman" w:cs="Times New Roman"/>
          <w:color w:val="FF0000"/>
          <w:szCs w:val="24"/>
          <w:u w:val="single"/>
        </w:rPr>
        <w:t>oligodendroglial</w:t>
      </w:r>
      <w:proofErr w:type="spellEnd"/>
      <w:r w:rsidRPr="00E65FEF">
        <w:rPr>
          <w:rFonts w:ascii="Times New Roman" w:eastAsia="新細明體" w:hAnsi="Times New Roman" w:cs="Times New Roman"/>
          <w:color w:val="FF0000"/>
          <w:szCs w:val="24"/>
          <w:u w:val="single"/>
        </w:rPr>
        <w:t xml:space="preserve"> lineage cell </w:t>
      </w:r>
      <w:proofErr w:type="spellStart"/>
      <w:r w:rsidRPr="00E65FEF">
        <w:rPr>
          <w:rFonts w:ascii="Times New Roman" w:eastAsia="新細明體" w:hAnsi="Times New Roman" w:cs="Times New Roman"/>
          <w:color w:val="FF0000"/>
          <w:szCs w:val="24"/>
          <w:u w:val="single"/>
        </w:rPr>
        <w:t>subclusters</w:t>
      </w:r>
      <w:proofErr w:type="spellEnd"/>
      <w:r w:rsidRPr="00E65FEF">
        <w:rPr>
          <w:rFonts w:ascii="Times New Roman" w:eastAsia="新細明體" w:hAnsi="Times New Roman" w:cs="Times New Roman"/>
          <w:color w:val="FF0000"/>
          <w:szCs w:val="24"/>
          <w:u w:val="single"/>
        </w:rPr>
        <w:t xml:space="preserve"> (H) from Fig. S3A and their </w:t>
      </w:r>
      <w:proofErr w:type="spellStart"/>
      <w:r w:rsidRPr="00E65FEF">
        <w:rPr>
          <w:rFonts w:ascii="Times New Roman" w:eastAsia="新細明體" w:hAnsi="Times New Roman" w:cs="Times New Roman"/>
          <w:color w:val="FF0000"/>
          <w:szCs w:val="24"/>
          <w:u w:val="single"/>
        </w:rPr>
        <w:t>pseudotime</w:t>
      </w:r>
      <w:proofErr w:type="spellEnd"/>
      <w:r w:rsidRPr="00E65FEF">
        <w:rPr>
          <w:rFonts w:ascii="Times New Roman" w:eastAsia="新細明體" w:hAnsi="Times New Roman" w:cs="Times New Roman"/>
          <w:color w:val="FF0000"/>
          <w:szCs w:val="24"/>
          <w:u w:val="single"/>
        </w:rPr>
        <w:t xml:space="preserve"> view (I).</w:t>
      </w:r>
      <w:bookmarkEnd w:id="2"/>
      <w:r w:rsidRPr="00E65FEF">
        <w:rPr>
          <w:rFonts w:ascii="Times New Roman" w:eastAsia="新細明體" w:hAnsi="Times New Roman" w:cs="Times New Roman"/>
          <w:color w:val="FF0000"/>
          <w:szCs w:val="24"/>
          <w:u w:val="single"/>
        </w:rPr>
        <w:t xml:space="preserve"> </w:t>
      </w:r>
    </w:p>
    <w:p w:rsidR="00E65FEF" w:rsidRPr="00E65FEF" w:rsidRDefault="003F6F3A" w:rsidP="00E65FEF">
      <w:pPr>
        <w:widowControl/>
        <w:spacing w:line="360" w:lineRule="auto"/>
        <w:ind w:leftChars="1" w:left="283" w:hangingChars="117" w:hanging="281"/>
        <w:jc w:val="both"/>
        <w:rPr>
          <w:rFonts w:ascii="Times New Roman" w:eastAsia="新細明體" w:hAnsi="Times New Roman" w:cs="Times New Roman"/>
          <w:b/>
          <w:szCs w:val="24"/>
        </w:rPr>
      </w:pPr>
      <w:r>
        <w:rPr>
          <w:rFonts w:ascii="Times New Roman" w:eastAsia="新細明體" w:hAnsi="Times New Roman" w:cs="Times New Roman"/>
          <w:b/>
          <w:noProof/>
          <w:szCs w:val="24"/>
        </w:rPr>
        <w:lastRenderedPageBreak/>
        <w:drawing>
          <wp:inline distT="0" distB="0" distL="0" distR="0">
            <wp:extent cx="5274310" cy="5469255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. S4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6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FEF" w:rsidRPr="00E65FEF" w:rsidRDefault="00E65FEF" w:rsidP="00E65FEF">
      <w:pPr>
        <w:widowControl/>
        <w:spacing w:line="360" w:lineRule="auto"/>
        <w:jc w:val="both"/>
        <w:rPr>
          <w:rFonts w:ascii="Times New Roman" w:eastAsia="標楷體" w:hAnsi="Times New Roman" w:cs="Times New Roman"/>
          <w:b/>
          <w:bCs/>
          <w:color w:val="000000"/>
          <w:szCs w:val="24"/>
          <w:u w:val="single"/>
        </w:rPr>
      </w:pPr>
      <w:r w:rsidRPr="00E65FEF">
        <w:rPr>
          <w:rFonts w:ascii="Times New Roman" w:eastAsia="新細明體" w:hAnsi="Times New Roman" w:cs="Times New Roman"/>
          <w:b/>
          <w:color w:val="FF0000"/>
          <w:szCs w:val="24"/>
          <w:u w:val="single"/>
        </w:rPr>
        <w:t xml:space="preserve">Figure </w:t>
      </w:r>
      <w:r w:rsidRPr="00E65FEF">
        <w:rPr>
          <w:rFonts w:ascii="Times New Roman" w:eastAsia="新細明體" w:hAnsi="Times New Roman" w:cs="Times New Roman" w:hint="eastAsia"/>
          <w:b/>
          <w:color w:val="FF0000"/>
          <w:szCs w:val="24"/>
          <w:u w:val="single"/>
        </w:rPr>
        <w:t>S</w:t>
      </w:r>
      <w:r w:rsidRPr="00E65FEF">
        <w:rPr>
          <w:rFonts w:ascii="Times New Roman" w:eastAsia="新細明體" w:hAnsi="Times New Roman" w:cs="Times New Roman"/>
          <w:b/>
          <w:color w:val="FF0000"/>
          <w:szCs w:val="24"/>
          <w:u w:val="single"/>
        </w:rPr>
        <w:t>4</w:t>
      </w:r>
      <w:r w:rsidRPr="00E65FEF">
        <w:rPr>
          <w:rFonts w:ascii="Times New Roman" w:eastAsia="標楷體" w:hAnsi="Times New Roman" w:cs="Times New Roman"/>
          <w:b/>
          <w:bCs/>
          <w:color w:val="FF0000"/>
          <w:szCs w:val="24"/>
          <w:u w:val="single"/>
        </w:rPr>
        <w:t xml:space="preserve">. Serum starvation reduces the GFAP- and </w:t>
      </w:r>
      <w:proofErr w:type="spellStart"/>
      <w:r w:rsidRPr="00E65FEF">
        <w:rPr>
          <w:rFonts w:ascii="Times New Roman" w:eastAsia="標楷體" w:hAnsi="Times New Roman" w:cs="Times New Roman"/>
          <w:b/>
          <w:bCs/>
          <w:color w:val="FF0000"/>
          <w:szCs w:val="24"/>
          <w:u w:val="single"/>
        </w:rPr>
        <w:t>NeuN</w:t>
      </w:r>
      <w:proofErr w:type="spellEnd"/>
      <w:r w:rsidRPr="00E65FEF">
        <w:rPr>
          <w:rFonts w:ascii="Times New Roman" w:eastAsia="標楷體" w:hAnsi="Times New Roman" w:cs="Times New Roman"/>
          <w:b/>
          <w:bCs/>
          <w:color w:val="FF0000"/>
          <w:szCs w:val="24"/>
          <w:u w:val="single"/>
        </w:rPr>
        <w:t xml:space="preserve">-positive cells </w:t>
      </w:r>
      <w:r w:rsidRPr="00E65FEF">
        <w:rPr>
          <w:rFonts w:ascii="Times New Roman" w:eastAsia="新細明體" w:hAnsi="Times New Roman" w:cs="Times New Roman"/>
          <w:b/>
          <w:bCs/>
          <w:color w:val="FF0000"/>
          <w:szCs w:val="24"/>
          <w:u w:val="single"/>
        </w:rPr>
        <w:t xml:space="preserve">in the </w:t>
      </w:r>
      <w:r w:rsidRPr="00E65FEF">
        <w:rPr>
          <w:rFonts w:ascii="Times New Roman" w:eastAsia="新細明體" w:hAnsi="Times New Roman" w:cs="Times New Roman"/>
          <w:b/>
          <w:color w:val="FF0000"/>
          <w:u w:val="single"/>
        </w:rPr>
        <w:t xml:space="preserve">non-inducible neuron-tri-glial coculture system. </w:t>
      </w:r>
      <w:r w:rsidRPr="00E65FEF">
        <w:rPr>
          <w:rFonts w:ascii="Times New Roman" w:eastAsia="標楷體" w:hAnsi="Times New Roman" w:cs="Times New Roman"/>
          <w:b/>
          <w:bCs/>
          <w:color w:val="000000"/>
          <w:szCs w:val="24"/>
        </w:rPr>
        <w:t xml:space="preserve"> </w:t>
      </w:r>
    </w:p>
    <w:p w:rsidR="00E65FEF" w:rsidRPr="00E65FEF" w:rsidRDefault="00E65FEF" w:rsidP="00E65FEF">
      <w:pPr>
        <w:spacing w:after="160" w:line="360" w:lineRule="auto"/>
        <w:contextualSpacing/>
        <w:jc w:val="both"/>
        <w:rPr>
          <w:rFonts w:ascii="Times New Roman" w:eastAsia="標楷體" w:hAnsi="Times New Roman" w:cs="Times New Roman"/>
          <w:color w:val="FF0000"/>
          <w:szCs w:val="24"/>
          <w:u w:val="single"/>
          <w14:ligatures w14:val="standardContextual"/>
        </w:rPr>
      </w:pPr>
      <w:r w:rsidRPr="00E65FEF">
        <w:rPr>
          <w:rFonts w:ascii="Times New Roman" w:eastAsia="標楷體" w:hAnsi="Times New Roman" w:cs="Times New Roman"/>
          <w:b/>
          <w:color w:val="FF0000"/>
          <w:szCs w:val="24"/>
          <w:u w:val="single"/>
          <w14:ligatures w14:val="standardContextual"/>
        </w:rPr>
        <w:t>(A)</w:t>
      </w:r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14:ligatures w14:val="standardContextual"/>
        </w:rPr>
        <w:t xml:space="preserve"> Panoramic (the 1</w:t>
      </w:r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:vertAlign w:val="superscript"/>
          <w14:ligatures w14:val="standardContextual"/>
        </w:rPr>
        <w:t>st</w:t>
      </w:r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14:ligatures w14:val="standardContextual"/>
        </w:rPr>
        <w:t xml:space="preserve"> and 3</w:t>
      </w:r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:vertAlign w:val="superscript"/>
          <w14:ligatures w14:val="standardContextual"/>
        </w:rPr>
        <w:t>rd</w:t>
      </w:r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14:ligatures w14:val="standardContextual"/>
        </w:rPr>
        <w:t xml:space="preserve"> rows) and the region-of-interest (the 2</w:t>
      </w:r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:vertAlign w:val="superscript"/>
          <w14:ligatures w14:val="standardContextual"/>
        </w:rPr>
        <w:t>nd</w:t>
      </w:r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14:ligatures w14:val="standardContextual"/>
        </w:rPr>
        <w:t xml:space="preserve"> and 4</w:t>
      </w:r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:vertAlign w:val="superscript"/>
          <w14:ligatures w14:val="standardContextual"/>
        </w:rPr>
        <w:t>th</w:t>
      </w:r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14:ligatures w14:val="standardContextual"/>
        </w:rPr>
        <w:t xml:space="preserve"> rows) views of the </w:t>
      </w:r>
      <w:proofErr w:type="spellStart"/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14:ligatures w14:val="standardContextual"/>
        </w:rPr>
        <w:t>NeuN</w:t>
      </w:r>
      <w:proofErr w:type="spellEnd"/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14:ligatures w14:val="standardContextual"/>
        </w:rPr>
        <w:t xml:space="preserve"> (the 1</w:t>
      </w:r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:vertAlign w:val="superscript"/>
          <w14:ligatures w14:val="standardContextual"/>
        </w:rPr>
        <w:t>st</w:t>
      </w:r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14:ligatures w14:val="standardContextual"/>
        </w:rPr>
        <w:t xml:space="preserve"> column), GFAP (the 2</w:t>
      </w:r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:vertAlign w:val="superscript"/>
          <w14:ligatures w14:val="standardContextual"/>
        </w:rPr>
        <w:t>nd</w:t>
      </w:r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14:ligatures w14:val="standardContextual"/>
        </w:rPr>
        <w:t xml:space="preserve"> column), Iba-1 (the 3</w:t>
      </w:r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:vertAlign w:val="superscript"/>
          <w14:ligatures w14:val="standardContextual"/>
        </w:rPr>
        <w:t>rd</w:t>
      </w:r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14:ligatures w14:val="standardContextual"/>
        </w:rPr>
        <w:t xml:space="preserve"> column), and </w:t>
      </w:r>
      <w:proofErr w:type="spellStart"/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14:ligatures w14:val="standardContextual"/>
        </w:rPr>
        <w:t>NeuN</w:t>
      </w:r>
      <w:proofErr w:type="spellEnd"/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14:ligatures w14:val="standardContextual"/>
        </w:rPr>
        <w:t>/GFAP/Iba-1/DAPI (the 4</w:t>
      </w:r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:vertAlign w:val="superscript"/>
          <w14:ligatures w14:val="standardContextual"/>
        </w:rPr>
        <w:t>th</w:t>
      </w:r>
      <w:r w:rsidRPr="00E65FEF">
        <w:rPr>
          <w:rFonts w:ascii="Times New Roman" w:eastAsia="標楷體" w:hAnsi="Times New Roman" w:cs="Times New Roman"/>
          <w:color w:val="FF0000"/>
          <w:szCs w:val="24"/>
          <w:u w:val="single"/>
          <w14:ligatures w14:val="standardContextual"/>
        </w:rPr>
        <w:t xml:space="preserve"> column) co-IF staining in a well of the 96-well plate of </w:t>
      </w:r>
      <w:r w:rsidRPr="00E65FEF">
        <w:rPr>
          <w:rFonts w:ascii="Times New Roman" w:eastAsia="新細明體" w:hAnsi="Times New Roman" w:cs="Times New Roman"/>
          <w:color w:val="FF0000"/>
          <w:szCs w:val="20"/>
          <w:u w:val="single"/>
          <w14:ligatures w14:val="standardContextual"/>
        </w:rPr>
        <w:t xml:space="preserve">the 21-day </w:t>
      </w:r>
      <w:r w:rsidRPr="00E65FEF">
        <w:rPr>
          <w:rFonts w:ascii="Times New Roman" w:eastAsia="新細明體" w:hAnsi="Times New Roman" w:cs="Times New Roman"/>
          <w:color w:val="FF0000"/>
          <w:szCs w:val="24"/>
          <w:u w:val="single"/>
          <w14:ligatures w14:val="standardContextual"/>
        </w:rPr>
        <w:t xml:space="preserve">non-inducible neuron-tri-glial </w:t>
      </w:r>
      <w:r w:rsidRPr="00E65FEF">
        <w:rPr>
          <w:rFonts w:ascii="Times New Roman" w:eastAsia="新細明體" w:hAnsi="Times New Roman" w:cs="Times New Roman"/>
          <w:color w:val="FF0000"/>
          <w:szCs w:val="20"/>
          <w:u w:val="single"/>
          <w14:ligatures w14:val="standardContextual"/>
        </w:rPr>
        <w:t xml:space="preserve">culture system at 0% and 20% serum concentration, as indicated in Fig. 5A. </w:t>
      </w:r>
      <w:r w:rsidRPr="00E65FEF">
        <w:rPr>
          <w:rFonts w:ascii="Times New Roman" w:eastAsia="標楷體" w:hAnsi="Times New Roman" w:cs="Times New Roman"/>
          <w:color w:val="FF0000"/>
          <w:kern w:val="52"/>
          <w:szCs w:val="24"/>
          <w:u w:val="single"/>
          <w14:ligatures w14:val="standardContextual"/>
        </w:rPr>
        <w:t>DAPI indicates cell nuclei (blue).</w:t>
      </w:r>
    </w:p>
    <w:p w:rsidR="00E65FEF" w:rsidRPr="00E65FEF" w:rsidRDefault="00E65FEF" w:rsidP="00E65FEF">
      <w:pPr>
        <w:widowControl/>
        <w:spacing w:line="360" w:lineRule="auto"/>
        <w:rPr>
          <w:rFonts w:ascii="Times New Roman" w:eastAsia="新細明體" w:hAnsi="Times New Roman" w:cs="Times New Roman"/>
          <w:color w:val="FF0000"/>
          <w:u w:val="single"/>
        </w:rPr>
      </w:pPr>
      <w:r w:rsidRPr="00E65FEF">
        <w:rPr>
          <w:rFonts w:ascii="Times New Roman" w:eastAsia="新細明體" w:hAnsi="Times New Roman" w:cs="Times New Roman"/>
          <w:b/>
          <w:color w:val="FF0000"/>
          <w:u w:val="single"/>
        </w:rPr>
        <w:t xml:space="preserve">(B-E) 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Quantitative analyses of DAPI-positive cell count (B) and </w:t>
      </w:r>
      <w:proofErr w:type="spellStart"/>
      <w:r w:rsidRPr="00E65FEF">
        <w:rPr>
          <w:rFonts w:ascii="Times New Roman" w:eastAsia="新細明體" w:hAnsi="Times New Roman" w:cs="Times New Roman"/>
          <w:color w:val="FF0000"/>
          <w:u w:val="single"/>
        </w:rPr>
        <w:t>NeuN</w:t>
      </w:r>
      <w:proofErr w:type="spellEnd"/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 (C), GFAP (D), and Iba-1 (E) signal-integrated intensity in the </w:t>
      </w:r>
      <w:r w:rsidRPr="00E65FEF">
        <w:rPr>
          <w:rFonts w:ascii="Times New Roman" w:eastAsia="新細明體" w:hAnsi="Times New Roman" w:cs="Times New Roman"/>
          <w:color w:val="FF0000"/>
          <w:szCs w:val="20"/>
          <w:u w:val="single"/>
        </w:rPr>
        <w:t>non-inducible</w:t>
      </w:r>
      <w:r w:rsidRPr="00E65FEF">
        <w:rPr>
          <w:rFonts w:ascii="Times New Roman" w:eastAsia="標楷體" w:hAnsi="Times New Roman" w:cs="Times New Roman"/>
          <w:bCs/>
          <w:color w:val="FF0000"/>
          <w:szCs w:val="24"/>
          <w:u w:val="single"/>
        </w:rPr>
        <w:t xml:space="preserve"> neuron-tri-glial 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culture system at 0% and 20% serum concentrations. Data are presented as mean ± 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lastRenderedPageBreak/>
        <w:t xml:space="preserve">SEM with Student’s t-test from three independent experiments, performed in duplicate. *p &lt; 0.05, **p &lt; 0.01 versus the 0% serum group. NS: no significant differences. </w:t>
      </w:r>
    </w:p>
    <w:p w:rsidR="00E65FEF" w:rsidRPr="00E65FEF" w:rsidRDefault="00E65FEF" w:rsidP="00E65FEF">
      <w:pPr>
        <w:widowControl/>
        <w:spacing w:line="360" w:lineRule="auto"/>
        <w:rPr>
          <w:rFonts w:ascii="Times New Roman" w:eastAsia="新細明體" w:hAnsi="Times New Roman" w:cs="Times New Roman"/>
          <w:color w:val="FF0000"/>
          <w:u w:val="single"/>
        </w:rPr>
      </w:pPr>
    </w:p>
    <w:p w:rsidR="00E65FEF" w:rsidRPr="00E65FEF" w:rsidRDefault="00E65FEF" w:rsidP="00E65FEF">
      <w:pPr>
        <w:widowControl/>
        <w:spacing w:after="160" w:line="278" w:lineRule="auto"/>
        <w:rPr>
          <w:rFonts w:ascii="Times New Roman" w:eastAsia="新細明體" w:hAnsi="Times New Roman" w:cs="Times New Roman"/>
          <w:b/>
          <w:szCs w:val="24"/>
        </w:rPr>
      </w:pPr>
    </w:p>
    <w:p w:rsidR="00E65FEF" w:rsidRPr="00E65FEF" w:rsidRDefault="00E65FEF" w:rsidP="00E65FEF">
      <w:pPr>
        <w:widowControl/>
        <w:spacing w:after="160" w:line="278" w:lineRule="auto"/>
        <w:rPr>
          <w:rFonts w:ascii="Times New Roman" w:eastAsia="新細明體" w:hAnsi="Times New Roman" w:cs="Times New Roman"/>
          <w:b/>
          <w:szCs w:val="24"/>
        </w:rPr>
      </w:pPr>
      <w:r w:rsidRPr="00E65FEF">
        <w:rPr>
          <w:rFonts w:ascii="Times New Roman" w:eastAsia="新細明體" w:hAnsi="Times New Roman" w:cs="Times New Roman"/>
          <w:b/>
          <w:szCs w:val="24"/>
        </w:rPr>
        <w:br w:type="page"/>
      </w:r>
    </w:p>
    <w:p w:rsidR="00E65FEF" w:rsidRPr="00E65FEF" w:rsidRDefault="001C4636" w:rsidP="00E65FEF">
      <w:pPr>
        <w:widowControl/>
        <w:spacing w:line="360" w:lineRule="auto"/>
        <w:jc w:val="both"/>
        <w:rPr>
          <w:rFonts w:ascii="Times New Roman" w:eastAsia="標楷體" w:hAnsi="Times New Roman" w:cs="Times New Roman"/>
          <w:b/>
          <w:bCs/>
          <w:color w:val="000000"/>
          <w:szCs w:val="24"/>
        </w:rPr>
      </w:pPr>
      <w:bookmarkStart w:id="3" w:name="_Hlk237856964"/>
      <w:bookmarkStart w:id="4" w:name="_GoBack"/>
      <w:r>
        <w:rPr>
          <w:rFonts w:ascii="Times New Roman" w:eastAsia="標楷體" w:hAnsi="Times New Roman" w:cs="Times New Roman"/>
          <w:b/>
          <w:bCs/>
          <w:noProof/>
          <w:color w:val="000000"/>
          <w:szCs w:val="24"/>
        </w:rPr>
        <w:lastRenderedPageBreak/>
        <w:drawing>
          <wp:inline distT="0" distB="0" distL="0" distR="0">
            <wp:extent cx="5274310" cy="3564890"/>
            <wp:effectExtent l="0" t="0" r="254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. S5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p w:rsidR="00E65FEF" w:rsidRPr="00E65FEF" w:rsidRDefault="00E65FEF" w:rsidP="00E65FEF">
      <w:pPr>
        <w:widowControl/>
        <w:spacing w:line="360" w:lineRule="auto"/>
        <w:jc w:val="both"/>
        <w:rPr>
          <w:rFonts w:ascii="Times New Roman" w:eastAsia="標楷體" w:hAnsi="Times New Roman" w:cs="Times New Roman"/>
          <w:b/>
          <w:bCs/>
          <w:color w:val="FF0000"/>
          <w:szCs w:val="24"/>
          <w:u w:val="single"/>
        </w:rPr>
      </w:pPr>
      <w:r w:rsidRPr="00E65FEF">
        <w:rPr>
          <w:rFonts w:ascii="Times New Roman" w:eastAsia="新細明體" w:hAnsi="Times New Roman" w:cs="Times New Roman"/>
          <w:b/>
          <w:color w:val="FF0000"/>
          <w:szCs w:val="24"/>
          <w:u w:val="single"/>
        </w:rPr>
        <w:t xml:space="preserve">Figure </w:t>
      </w:r>
      <w:r w:rsidRPr="00E65FEF">
        <w:rPr>
          <w:rFonts w:ascii="Times New Roman" w:eastAsia="新細明體" w:hAnsi="Times New Roman" w:cs="Times New Roman" w:hint="eastAsia"/>
          <w:b/>
          <w:color w:val="FF0000"/>
          <w:szCs w:val="24"/>
          <w:u w:val="single"/>
        </w:rPr>
        <w:t>S</w:t>
      </w:r>
      <w:r w:rsidRPr="00E65FEF">
        <w:rPr>
          <w:rFonts w:ascii="Times New Roman" w:eastAsia="新細明體" w:hAnsi="Times New Roman" w:cs="Times New Roman"/>
          <w:b/>
          <w:color w:val="FF0000"/>
          <w:szCs w:val="24"/>
          <w:u w:val="single"/>
        </w:rPr>
        <w:t>5</w:t>
      </w:r>
      <w:r w:rsidRPr="00E65FEF">
        <w:rPr>
          <w:rFonts w:ascii="Times New Roman" w:eastAsia="標楷體" w:hAnsi="Times New Roman" w:cs="Times New Roman"/>
          <w:b/>
          <w:bCs/>
          <w:color w:val="FF0000"/>
          <w:szCs w:val="24"/>
          <w:u w:val="single"/>
        </w:rPr>
        <w:t xml:space="preserve">. Depletion of microglia by PLX5622 blocks the LPS-induced damage to mature oligodendrocytes. </w:t>
      </w:r>
    </w:p>
    <w:p w:rsidR="00E65FEF" w:rsidRPr="00E65FEF" w:rsidRDefault="00E65FEF" w:rsidP="00E65FEF">
      <w:pPr>
        <w:spacing w:line="360" w:lineRule="auto"/>
        <w:jc w:val="both"/>
        <w:rPr>
          <w:rFonts w:ascii="Times New Roman" w:eastAsia="標楷體" w:hAnsi="Times New Roman" w:cs="Times New Roman"/>
          <w:color w:val="FF0000"/>
          <w:kern w:val="52"/>
          <w:u w:val="single"/>
        </w:rPr>
      </w:pPr>
      <w:r w:rsidRPr="00E65FEF">
        <w:rPr>
          <w:rFonts w:ascii="Times New Roman" w:eastAsia="標楷體" w:hAnsi="Times New Roman" w:cs="Times New Roman"/>
          <w:b/>
          <w:color w:val="FF0000"/>
          <w:kern w:val="52"/>
          <w:u w:val="single"/>
        </w:rPr>
        <w:t xml:space="preserve">(A) </w:t>
      </w:r>
      <w:r w:rsidRPr="00E65FEF">
        <w:rPr>
          <w:rFonts w:ascii="Times New Roman" w:eastAsia="標楷體" w:hAnsi="Times New Roman" w:cs="Times New Roman"/>
          <w:color w:val="FF0000"/>
          <w:kern w:val="52"/>
          <w:u w:val="single"/>
        </w:rPr>
        <w:t xml:space="preserve">Representative IF images of Iba-1 (microglia marker; white) and MBP (mature oligodendrocyte marker; green) in the 21-day non-inducible neuron-tri-glial culture system with or without LPS (2.5 ng/ml) treatment for 96 hours </w:t>
      </w:r>
      <w:bookmarkStart w:id="5" w:name="_Hlk237376170"/>
      <w:r w:rsidRPr="00E65FEF">
        <w:rPr>
          <w:rFonts w:ascii="Times New Roman" w:eastAsia="標楷體" w:hAnsi="Times New Roman" w:cs="Times New Roman"/>
          <w:color w:val="FF0000"/>
          <w:kern w:val="52"/>
          <w:u w:val="single"/>
        </w:rPr>
        <w:t xml:space="preserve">in the presence or absence of 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>PLX5622</w:t>
      </w:r>
      <w:bookmarkEnd w:id="5"/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 (a chemical inhibitor for microglia depletion</w:t>
      </w:r>
      <w:r w:rsidRPr="00E65FEF">
        <w:rPr>
          <w:rFonts w:ascii="Times New Roman" w:eastAsia="新細明體" w:hAnsi="Times New Roman" w:cs="Times New Roman" w:hint="eastAsia"/>
          <w:color w:val="FF0000"/>
          <w:u w:val="single"/>
        </w:rPr>
        <w:t>;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 0.31 </w:t>
      </w:r>
      <w:proofErr w:type="spellStart"/>
      <w:r w:rsidRPr="00E65FEF">
        <w:rPr>
          <w:rFonts w:ascii="Times New Roman" w:eastAsia="新細明體" w:hAnsi="Times New Roman" w:cs="Times New Roman"/>
          <w:color w:val="FF0000"/>
          <w:u w:val="single"/>
        </w:rPr>
        <w:t>μM</w:t>
      </w:r>
      <w:proofErr w:type="spellEnd"/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). </w:t>
      </w:r>
      <w:r w:rsidRPr="00E65FEF">
        <w:rPr>
          <w:rFonts w:ascii="Times New Roman" w:eastAsia="標楷體" w:hAnsi="Times New Roman" w:cs="Times New Roman"/>
          <w:color w:val="FF0000"/>
          <w:kern w:val="52"/>
          <w:u w:val="single"/>
        </w:rPr>
        <w:t xml:space="preserve">DAPI indicates cell nuclei (blue). </w:t>
      </w:r>
    </w:p>
    <w:p w:rsidR="00E65FEF" w:rsidRPr="00E65FEF" w:rsidRDefault="00E65FEF" w:rsidP="00E65FEF">
      <w:pPr>
        <w:widowControl/>
        <w:spacing w:line="360" w:lineRule="auto"/>
        <w:rPr>
          <w:rFonts w:ascii="Times New Roman" w:eastAsia="新細明體" w:hAnsi="Times New Roman" w:cs="Times New Roman"/>
          <w:color w:val="FF0000"/>
          <w:u w:val="single"/>
        </w:rPr>
      </w:pPr>
      <w:r w:rsidRPr="00E65FEF">
        <w:rPr>
          <w:rFonts w:ascii="Times New Roman" w:eastAsia="新細明體" w:hAnsi="Times New Roman" w:cs="Times New Roman" w:hint="eastAsia"/>
          <w:b/>
          <w:color w:val="FF0000"/>
          <w:u w:val="single"/>
        </w:rPr>
        <w:t>(</w:t>
      </w:r>
      <w:r w:rsidRPr="00E65FEF">
        <w:rPr>
          <w:rFonts w:ascii="Times New Roman" w:eastAsia="新細明體" w:hAnsi="Times New Roman" w:cs="Times New Roman"/>
          <w:b/>
          <w:color w:val="FF0000"/>
          <w:u w:val="single"/>
        </w:rPr>
        <w:t>B</w:t>
      </w:r>
      <w:r w:rsidRPr="00E65FEF">
        <w:rPr>
          <w:rFonts w:ascii="Times New Roman" w:eastAsia="新細明體" w:hAnsi="Times New Roman" w:cs="Times New Roman" w:hint="eastAsia"/>
          <w:b/>
          <w:color w:val="FF0000"/>
          <w:u w:val="single"/>
        </w:rPr>
        <w:t>,</w:t>
      </w:r>
      <w:r w:rsidRPr="00E65FEF">
        <w:rPr>
          <w:rFonts w:ascii="Times New Roman" w:eastAsia="新細明體" w:hAnsi="Times New Roman" w:cs="Times New Roman"/>
          <w:b/>
          <w:color w:val="FF0000"/>
          <w:u w:val="single"/>
        </w:rPr>
        <w:t xml:space="preserve"> C) 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Quantitative analyses of </w:t>
      </w:r>
      <w:r w:rsidRPr="00E65FEF">
        <w:rPr>
          <w:rFonts w:ascii="Times New Roman" w:eastAsia="標楷體" w:hAnsi="Times New Roman" w:cs="Times New Roman"/>
          <w:color w:val="FF0000"/>
          <w:u w:val="single"/>
        </w:rPr>
        <w:t>Iba-1 (B) and MBP (C)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 signal-integrated intensity in the</w:t>
      </w:r>
      <w:r w:rsidRPr="00E65FEF">
        <w:rPr>
          <w:rFonts w:ascii="Times New Roman" w:eastAsia="新細明體" w:hAnsi="Times New Roman" w:cs="Times New Roman"/>
          <w:color w:val="FF0000"/>
          <w:szCs w:val="20"/>
          <w:u w:val="single"/>
        </w:rPr>
        <w:t xml:space="preserve"> 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>non-inducible neuron-tri-glial</w:t>
      </w:r>
      <w:r w:rsidRPr="00E65FEF">
        <w:rPr>
          <w:rFonts w:ascii="Times New Roman" w:eastAsia="新細明體" w:hAnsi="Times New Roman" w:cs="Times New Roman"/>
          <w:color w:val="FF0000"/>
          <w:szCs w:val="20"/>
          <w:u w:val="single"/>
        </w:rPr>
        <w:t xml:space="preserve"> co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>culture system with or without 96-hour LPS treatment in the presence or absence of PLX5622. Data are presented as mean ± SEM from</w:t>
      </w:r>
      <w:r w:rsidRPr="00E65FEF">
        <w:rPr>
          <w:rFonts w:ascii="Times New Roman" w:eastAsia="新細明體" w:hAnsi="Times New Roman" w:cs="Times New Roman" w:hint="eastAsia"/>
          <w:color w:val="FF0000"/>
          <w:u w:val="single"/>
        </w:rPr>
        <w:t xml:space="preserve"> 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three independent experiments, performed in duplicate. *p &lt; 0.05, ***p &lt; 0.001 versus the untreated group by one-way ANOVA with Bonferroni's multiple comparisons test. NS: no significant differences. </w:t>
      </w:r>
    </w:p>
    <w:bookmarkEnd w:id="3"/>
    <w:p w:rsidR="00E65FEF" w:rsidRPr="00E65FEF" w:rsidRDefault="00E65FEF" w:rsidP="00E65FEF">
      <w:pPr>
        <w:widowControl/>
        <w:spacing w:after="160" w:line="278" w:lineRule="auto"/>
        <w:rPr>
          <w:rFonts w:ascii="Times New Roman" w:eastAsia="標楷體" w:hAnsi="Times New Roman" w:cs="Times New Roman"/>
          <w:bCs/>
          <w:color w:val="FF0000"/>
          <w:szCs w:val="24"/>
        </w:rPr>
      </w:pPr>
      <w:r w:rsidRPr="00E65FEF">
        <w:rPr>
          <w:rFonts w:ascii="Times New Roman" w:eastAsia="標楷體" w:hAnsi="Times New Roman" w:cs="Times New Roman"/>
          <w:bCs/>
          <w:color w:val="FF0000"/>
          <w:szCs w:val="24"/>
        </w:rPr>
        <w:br w:type="page"/>
      </w:r>
    </w:p>
    <w:p w:rsidR="00E65FEF" w:rsidRPr="00E65FEF" w:rsidRDefault="00C425A9" w:rsidP="00E65FEF">
      <w:pPr>
        <w:widowControl/>
        <w:spacing w:line="360" w:lineRule="auto"/>
        <w:jc w:val="both"/>
        <w:rPr>
          <w:rFonts w:ascii="Times New Roman" w:eastAsia="標楷體" w:hAnsi="Times New Roman" w:cs="Times New Roman"/>
          <w:b/>
          <w:bCs/>
          <w:color w:val="FF0000"/>
          <w:szCs w:val="24"/>
          <w:u w:val="single"/>
        </w:rPr>
      </w:pPr>
      <w:r w:rsidRPr="00C425A9">
        <w:rPr>
          <w:rFonts w:ascii="Times New Roman" w:eastAsia="標楷體" w:hAnsi="Times New Roman" w:cs="Times New Roman"/>
          <w:bCs/>
          <w:noProof/>
          <w:color w:val="FF0000"/>
          <w:szCs w:val="24"/>
        </w:rPr>
        <w:lastRenderedPageBreak/>
        <w:drawing>
          <wp:inline distT="0" distB="0" distL="0" distR="0">
            <wp:extent cx="5274310" cy="5445125"/>
            <wp:effectExtent l="0" t="0" r="2540" b="317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. S5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4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FEF" w:rsidRPr="00E65FEF" w:rsidRDefault="00E65FEF" w:rsidP="00E65FEF">
      <w:pPr>
        <w:widowControl/>
        <w:spacing w:after="160" w:line="278" w:lineRule="auto"/>
        <w:rPr>
          <w:rFonts w:ascii="Times New Roman" w:eastAsia="新細明體" w:hAnsi="Times New Roman" w:cs="Times New Roman"/>
          <w:color w:val="FF0000"/>
          <w:szCs w:val="24"/>
        </w:rPr>
      </w:pPr>
      <w:r w:rsidRPr="00E65FEF">
        <w:rPr>
          <w:rFonts w:ascii="Times New Roman" w:eastAsia="新細明體" w:hAnsi="Times New Roman" w:cs="Times New Roman"/>
          <w:b/>
          <w:color w:val="FF0000"/>
          <w:szCs w:val="24"/>
          <w:u w:val="single"/>
        </w:rPr>
        <w:t>Figure S6. LPS increases apoptosis in mature oligodendrocytes but does not affect progenitors or pre-myelinating oligodendrocytes.</w:t>
      </w:r>
      <w:r w:rsidRPr="00E65FEF">
        <w:rPr>
          <w:rFonts w:ascii="Times New Roman" w:eastAsia="新細明體" w:hAnsi="Times New Roman" w:cs="Times New Roman"/>
          <w:color w:val="FF0000"/>
          <w:szCs w:val="24"/>
        </w:rPr>
        <w:t xml:space="preserve"> </w:t>
      </w:r>
    </w:p>
    <w:p w:rsidR="00E65FEF" w:rsidRPr="00E65FEF" w:rsidRDefault="00E65FEF" w:rsidP="00E65FEF">
      <w:pPr>
        <w:widowControl/>
        <w:spacing w:line="360" w:lineRule="auto"/>
        <w:rPr>
          <w:rFonts w:ascii="Times New Roman" w:eastAsia="標楷體" w:hAnsi="Times New Roman" w:cs="Times New Roman"/>
          <w:color w:val="FF0000"/>
          <w:u w:val="single"/>
        </w:rPr>
      </w:pPr>
      <w:r w:rsidRPr="00E65FEF">
        <w:rPr>
          <w:rFonts w:ascii="Times New Roman" w:eastAsia="標楷體" w:hAnsi="Times New Roman" w:cs="Times New Roman"/>
          <w:b/>
          <w:color w:val="FF0000"/>
          <w:u w:val="single"/>
        </w:rPr>
        <w:t>(A, C)</w:t>
      </w:r>
      <w:r w:rsidRPr="00E65FEF">
        <w:rPr>
          <w:rFonts w:ascii="Times New Roman" w:eastAsia="標楷體" w:hAnsi="Times New Roman" w:cs="Times New Roman"/>
          <w:color w:val="FF0000"/>
          <w:u w:val="single"/>
        </w:rPr>
        <w:t xml:space="preserve"> Panoramic (the 1</w:t>
      </w:r>
      <w:r w:rsidRPr="00E65FEF">
        <w:rPr>
          <w:rFonts w:ascii="Times New Roman" w:eastAsia="標楷體" w:hAnsi="Times New Roman" w:cs="Times New Roman"/>
          <w:color w:val="FF0000"/>
          <w:u w:val="single"/>
          <w:vertAlign w:val="superscript"/>
        </w:rPr>
        <w:t>st</w:t>
      </w:r>
      <w:r w:rsidRPr="00E65FEF">
        <w:rPr>
          <w:rFonts w:ascii="Times New Roman" w:eastAsia="標楷體" w:hAnsi="Times New Roman" w:cs="Times New Roman"/>
          <w:color w:val="FF0000"/>
          <w:u w:val="single"/>
        </w:rPr>
        <w:t xml:space="preserve"> column) and the region-of-interest (the 2</w:t>
      </w:r>
      <w:r w:rsidRPr="00E65FEF">
        <w:rPr>
          <w:rFonts w:ascii="Times New Roman" w:eastAsia="標楷體" w:hAnsi="Times New Roman" w:cs="Times New Roman"/>
          <w:color w:val="FF0000"/>
          <w:u w:val="single"/>
          <w:vertAlign w:val="superscript"/>
        </w:rPr>
        <w:t>nd</w:t>
      </w:r>
      <w:r w:rsidRPr="00E65FEF">
        <w:rPr>
          <w:rFonts w:ascii="Times New Roman" w:eastAsia="標楷體" w:hAnsi="Times New Roman" w:cs="Times New Roman"/>
          <w:color w:val="FF0000"/>
          <w:u w:val="single"/>
        </w:rPr>
        <w:t xml:space="preserve"> and 3</w:t>
      </w:r>
      <w:r w:rsidRPr="00E65FEF">
        <w:rPr>
          <w:rFonts w:ascii="Times New Roman" w:eastAsia="標楷體" w:hAnsi="Times New Roman" w:cs="Times New Roman"/>
          <w:color w:val="FF0000"/>
          <w:u w:val="single"/>
          <w:vertAlign w:val="superscript"/>
        </w:rPr>
        <w:t>rd</w:t>
      </w:r>
      <w:r w:rsidRPr="00E65FEF">
        <w:rPr>
          <w:rFonts w:ascii="Times New Roman" w:eastAsia="標楷體" w:hAnsi="Times New Roman" w:cs="Times New Roman"/>
          <w:color w:val="FF0000"/>
          <w:u w:val="single"/>
        </w:rPr>
        <w:t xml:space="preserve"> columns) views of the PDGFRA (A)/ O4(C) and/or DAPI IF staining in a well of the 96-well plate of </w:t>
      </w:r>
      <w:r w:rsidRPr="00E65FEF">
        <w:rPr>
          <w:rFonts w:ascii="Times New Roman" w:eastAsia="新細明體" w:hAnsi="Times New Roman" w:cs="Times New Roman"/>
          <w:color w:val="FF0000"/>
          <w:szCs w:val="20"/>
          <w:u w:val="single"/>
        </w:rPr>
        <w:t xml:space="preserve">the 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>non-inducible neuron-tri-glial</w:t>
      </w:r>
      <w:r w:rsidRPr="00E65FEF">
        <w:rPr>
          <w:rFonts w:ascii="Times New Roman" w:eastAsia="新細明體" w:hAnsi="Times New Roman" w:cs="Times New Roman"/>
          <w:color w:val="FF0000"/>
          <w:szCs w:val="20"/>
          <w:u w:val="single"/>
        </w:rPr>
        <w:t xml:space="preserve"> coculture system treated with LPS at </w:t>
      </w:r>
      <w:r w:rsidRPr="00E65FEF">
        <w:rPr>
          <w:rFonts w:ascii="Times New Roman" w:eastAsia="標楷體" w:hAnsi="Times New Roman" w:cs="Times New Roman"/>
          <w:color w:val="FF0000"/>
          <w:kern w:val="52"/>
          <w:u w:val="single"/>
        </w:rPr>
        <w:t>0 (the 1</w:t>
      </w:r>
      <w:r w:rsidRPr="00E65FEF">
        <w:rPr>
          <w:rFonts w:ascii="Times New Roman" w:eastAsia="標楷體" w:hAnsi="Times New Roman" w:cs="Times New Roman"/>
          <w:color w:val="FF0000"/>
          <w:kern w:val="52"/>
          <w:u w:val="single"/>
          <w:vertAlign w:val="superscript"/>
        </w:rPr>
        <w:t>st</w:t>
      </w:r>
      <w:r w:rsidRPr="00E65FEF">
        <w:rPr>
          <w:rFonts w:ascii="Times New Roman" w:eastAsia="標楷體" w:hAnsi="Times New Roman" w:cs="Times New Roman"/>
          <w:color w:val="FF0000"/>
          <w:kern w:val="52"/>
          <w:u w:val="single"/>
        </w:rPr>
        <w:t xml:space="preserve"> row) and 2.5 (the 2</w:t>
      </w:r>
      <w:r w:rsidRPr="00E65FEF">
        <w:rPr>
          <w:rFonts w:ascii="Times New Roman" w:eastAsia="標楷體" w:hAnsi="Times New Roman" w:cs="Times New Roman"/>
          <w:color w:val="FF0000"/>
          <w:kern w:val="52"/>
          <w:u w:val="single"/>
          <w:vertAlign w:val="superscript"/>
        </w:rPr>
        <w:t>nd</w:t>
      </w:r>
      <w:r w:rsidRPr="00E65FEF">
        <w:rPr>
          <w:rFonts w:ascii="Times New Roman" w:eastAsia="標楷體" w:hAnsi="Times New Roman" w:cs="Times New Roman"/>
          <w:color w:val="FF0000"/>
          <w:kern w:val="52"/>
          <w:u w:val="single"/>
        </w:rPr>
        <w:t xml:space="preserve"> row) ng/ml </w:t>
      </w:r>
      <w:r w:rsidRPr="00E65FEF">
        <w:rPr>
          <w:rFonts w:ascii="Times New Roman" w:eastAsia="新細明體" w:hAnsi="Times New Roman" w:cs="Times New Roman"/>
          <w:color w:val="FF0000"/>
          <w:szCs w:val="20"/>
          <w:u w:val="single"/>
        </w:rPr>
        <w:t xml:space="preserve">concentrations </w:t>
      </w:r>
      <w:r w:rsidRPr="00E65FEF">
        <w:rPr>
          <w:rFonts w:ascii="Times New Roman" w:eastAsia="標楷體" w:hAnsi="Times New Roman" w:cs="Times New Roman"/>
          <w:color w:val="FF0000"/>
          <w:kern w:val="52"/>
          <w:u w:val="single"/>
        </w:rPr>
        <w:t>for 96 hours, as indicated in Fig. 6A. DAPI indicates cell nuclei (blue).</w:t>
      </w:r>
    </w:p>
    <w:p w:rsidR="00E65FEF" w:rsidRPr="00E65FEF" w:rsidRDefault="00E65FEF" w:rsidP="00E65FEF">
      <w:pPr>
        <w:widowControl/>
        <w:spacing w:line="360" w:lineRule="auto"/>
        <w:rPr>
          <w:rFonts w:ascii="Times New Roman" w:eastAsia="新細明體" w:hAnsi="Times New Roman" w:cs="Times New Roman"/>
          <w:color w:val="FF0000"/>
          <w:u w:val="single"/>
        </w:rPr>
      </w:pPr>
      <w:r w:rsidRPr="00E65FEF">
        <w:rPr>
          <w:rFonts w:ascii="Times New Roman" w:eastAsia="新細明體" w:hAnsi="Times New Roman" w:cs="Times New Roman"/>
          <w:b/>
          <w:color w:val="FF0000"/>
          <w:u w:val="single"/>
        </w:rPr>
        <w:t xml:space="preserve">(B, D) 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Quantitative analyses of </w:t>
      </w:r>
      <w:r w:rsidRPr="00E65FEF">
        <w:rPr>
          <w:rFonts w:ascii="Times New Roman" w:eastAsia="標楷體" w:hAnsi="Times New Roman" w:cs="Times New Roman"/>
          <w:color w:val="FF0000"/>
          <w:u w:val="single"/>
        </w:rPr>
        <w:t>PDGFRA (B) and O4 (D)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 signal-integrated intensity in the</w:t>
      </w:r>
      <w:r w:rsidRPr="00E65FEF">
        <w:rPr>
          <w:rFonts w:ascii="Times New Roman" w:eastAsia="新細明體" w:hAnsi="Times New Roman" w:cs="Times New Roman"/>
          <w:color w:val="FF0000"/>
          <w:szCs w:val="20"/>
          <w:u w:val="single"/>
        </w:rPr>
        <w:t xml:space="preserve"> 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>non-inducible neuron-tri-glial</w:t>
      </w:r>
      <w:r w:rsidRPr="00E65FEF">
        <w:rPr>
          <w:rFonts w:ascii="Times New Roman" w:eastAsia="新細明體" w:hAnsi="Times New Roman" w:cs="Times New Roman"/>
          <w:color w:val="FF0000"/>
          <w:szCs w:val="20"/>
          <w:u w:val="single"/>
        </w:rPr>
        <w:t xml:space="preserve"> co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culture system with or without LPS treatment, as indicated for 96 hours. Data are presented as mean ± SEM with Student’s t-test 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lastRenderedPageBreak/>
        <w:t>from</w:t>
      </w:r>
      <w:r w:rsidRPr="00E65FEF">
        <w:rPr>
          <w:rFonts w:ascii="Times New Roman" w:eastAsia="新細明體" w:hAnsi="Times New Roman" w:cs="Times New Roman" w:hint="eastAsia"/>
          <w:color w:val="FF0000"/>
          <w:u w:val="single"/>
        </w:rPr>
        <w:t xml:space="preserve"> 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three independent experiments, performed in duplicate. NS: no significant differences. </w:t>
      </w:r>
    </w:p>
    <w:p w:rsidR="00E65FEF" w:rsidRPr="00E65FEF" w:rsidRDefault="00E65FEF" w:rsidP="00E65FEF">
      <w:pPr>
        <w:widowControl/>
        <w:spacing w:line="360" w:lineRule="auto"/>
        <w:rPr>
          <w:rFonts w:ascii="Times New Roman" w:eastAsia="標楷體" w:hAnsi="Times New Roman" w:cs="Times New Roman"/>
          <w:color w:val="FF0000"/>
          <w:kern w:val="52"/>
          <w:u w:val="single"/>
        </w:rPr>
      </w:pPr>
      <w:r w:rsidRPr="00E65FEF">
        <w:rPr>
          <w:rFonts w:ascii="Times New Roman" w:eastAsia="標楷體" w:hAnsi="Times New Roman" w:cs="Times New Roman"/>
          <w:b/>
          <w:color w:val="FF0000"/>
          <w:u w:val="single"/>
        </w:rPr>
        <w:t xml:space="preserve">(E) </w:t>
      </w:r>
      <w:r w:rsidRPr="00E65FEF">
        <w:rPr>
          <w:rFonts w:ascii="Times New Roman" w:eastAsia="標楷體" w:hAnsi="Times New Roman" w:cs="Times New Roman"/>
          <w:color w:val="FF0000"/>
          <w:kern w:val="52"/>
          <w:u w:val="single"/>
        </w:rPr>
        <w:t>Representative double MBP (mature oligodendrocyte marker; green, the 1</w:t>
      </w:r>
      <w:r w:rsidRPr="00E65FEF">
        <w:rPr>
          <w:rFonts w:ascii="Times New Roman" w:eastAsia="標楷體" w:hAnsi="Times New Roman" w:cs="Times New Roman"/>
          <w:color w:val="FF0000"/>
          <w:kern w:val="52"/>
          <w:u w:val="single"/>
          <w:vertAlign w:val="superscript"/>
        </w:rPr>
        <w:t>st</w:t>
      </w:r>
      <w:r w:rsidRPr="00E65FEF">
        <w:rPr>
          <w:rFonts w:ascii="Times New Roman" w:eastAsia="標楷體" w:hAnsi="Times New Roman" w:cs="Times New Roman"/>
          <w:color w:val="FF0000"/>
          <w:kern w:val="52"/>
          <w:u w:val="single"/>
        </w:rPr>
        <w:t xml:space="preserve"> and 3</w:t>
      </w:r>
      <w:r w:rsidRPr="00E65FEF">
        <w:rPr>
          <w:rFonts w:ascii="Times New Roman" w:eastAsia="標楷體" w:hAnsi="Times New Roman" w:cs="Times New Roman"/>
          <w:color w:val="FF0000"/>
          <w:kern w:val="52"/>
          <w:u w:val="single"/>
          <w:vertAlign w:val="superscript"/>
        </w:rPr>
        <w:t>rd</w:t>
      </w:r>
      <w:r w:rsidRPr="00E65FEF">
        <w:rPr>
          <w:rFonts w:ascii="Times New Roman" w:eastAsia="標楷體" w:hAnsi="Times New Roman" w:cs="Times New Roman"/>
          <w:color w:val="FF0000"/>
          <w:kern w:val="52"/>
          <w:u w:val="single"/>
        </w:rPr>
        <w:t xml:space="preserve"> columns)-cleaved caspase-3 (cell apoptosis marker; green, the 2</w:t>
      </w:r>
      <w:r w:rsidRPr="00E65FEF">
        <w:rPr>
          <w:rFonts w:ascii="Times New Roman" w:eastAsia="標楷體" w:hAnsi="Times New Roman" w:cs="Times New Roman"/>
          <w:color w:val="FF0000"/>
          <w:kern w:val="52"/>
          <w:u w:val="single"/>
          <w:vertAlign w:val="superscript"/>
        </w:rPr>
        <w:t>nd</w:t>
      </w:r>
      <w:r w:rsidRPr="00E65FEF">
        <w:rPr>
          <w:rFonts w:ascii="Times New Roman" w:eastAsia="標楷體" w:hAnsi="Times New Roman" w:cs="Times New Roman"/>
          <w:color w:val="FF0000"/>
          <w:kern w:val="52"/>
          <w:u w:val="single"/>
        </w:rPr>
        <w:t xml:space="preserve"> and 3</w:t>
      </w:r>
      <w:r w:rsidRPr="00E65FEF">
        <w:rPr>
          <w:rFonts w:ascii="Times New Roman" w:eastAsia="標楷體" w:hAnsi="Times New Roman" w:cs="Times New Roman"/>
          <w:color w:val="FF0000"/>
          <w:kern w:val="52"/>
          <w:u w:val="single"/>
          <w:vertAlign w:val="superscript"/>
        </w:rPr>
        <w:t>rd</w:t>
      </w:r>
      <w:r w:rsidRPr="00E65FEF">
        <w:rPr>
          <w:rFonts w:ascii="Times New Roman" w:eastAsia="標楷體" w:hAnsi="Times New Roman" w:cs="Times New Roman"/>
          <w:color w:val="FF0000"/>
          <w:kern w:val="52"/>
          <w:u w:val="single"/>
        </w:rPr>
        <w:t xml:space="preserve"> columns) IF images of the 21-day non-inducible neuron-tri-glial culture system with or without LPS (2.5 ng/ml) treatment. DAPI indicates cell nuclei (blue).</w:t>
      </w:r>
    </w:p>
    <w:p w:rsidR="00E65FEF" w:rsidRPr="00E65FEF" w:rsidRDefault="00E65FEF" w:rsidP="00E65FEF">
      <w:pPr>
        <w:widowControl/>
        <w:spacing w:line="360" w:lineRule="auto"/>
        <w:rPr>
          <w:rFonts w:ascii="Times New Roman" w:eastAsia="標楷體" w:hAnsi="Times New Roman" w:cs="Times New Roman"/>
          <w:color w:val="FF0000"/>
        </w:rPr>
      </w:pPr>
      <w:r w:rsidRPr="00E65FEF">
        <w:rPr>
          <w:rFonts w:ascii="Times New Roman" w:eastAsia="新細明體" w:hAnsi="Times New Roman" w:cs="Times New Roman"/>
          <w:b/>
          <w:color w:val="FF0000"/>
          <w:u w:val="single"/>
        </w:rPr>
        <w:t xml:space="preserve">(F, G) 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Quantitative analyses of </w:t>
      </w:r>
      <w:r w:rsidRPr="00E65FEF">
        <w:rPr>
          <w:rFonts w:ascii="Times New Roman" w:eastAsia="標楷體" w:hAnsi="Times New Roman" w:cs="Times New Roman"/>
          <w:color w:val="FF0000"/>
          <w:kern w:val="52"/>
          <w:u w:val="single"/>
        </w:rPr>
        <w:t>cleaved caspase-3 integrated intensity (F) and the percentage of cleaved caspase-3 signals within MBP-positive cells (G) in the LPS-treated non-inducible neuron-tri-glial co-culture</w:t>
      </w:r>
      <w:r w:rsidRPr="00E65FEF">
        <w:rPr>
          <w:rFonts w:ascii="Times New Roman" w:eastAsia="新細明體" w:hAnsi="Times New Roman" w:cs="Times New Roman"/>
          <w:color w:val="FF0000"/>
          <w:u w:val="single"/>
        </w:rPr>
        <w:t xml:space="preserve"> system, as indicated for 96 hours. Data are presented as mean ± SEM with Student’s t-test from three independent experiments, performed in duplicate. *p &lt; 0.05 versus the untreated group.</w:t>
      </w:r>
    </w:p>
    <w:p w:rsidR="00E65FEF" w:rsidRPr="00E65FEF" w:rsidRDefault="00E65FEF" w:rsidP="00E65FEF">
      <w:pPr>
        <w:widowControl/>
        <w:spacing w:after="160" w:line="278" w:lineRule="auto"/>
        <w:rPr>
          <w:rFonts w:ascii="Times New Roman" w:eastAsia="標楷體" w:hAnsi="Times New Roman" w:cs="Times New Roman"/>
          <w:bCs/>
          <w:color w:val="FF0000"/>
          <w:szCs w:val="24"/>
        </w:rPr>
      </w:pPr>
    </w:p>
    <w:p w:rsidR="00E65FEF" w:rsidRDefault="00E65FEF" w:rsidP="005B55A9">
      <w:pPr>
        <w:widowControl/>
        <w:rPr>
          <w:rFonts w:ascii="Times New Roman" w:hAnsi="Times New Roman" w:cs="Times New Roman"/>
        </w:rPr>
      </w:pPr>
    </w:p>
    <w:p w:rsidR="005B55A9" w:rsidRDefault="005B55A9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5B55A9" w:rsidRDefault="005B55A9" w:rsidP="005B55A9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The image of the MBP Western blot</w:t>
      </w:r>
    </w:p>
    <w:p w:rsidR="005B55A9" w:rsidRDefault="005B55A9" w:rsidP="005B55A9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>
            <wp:extent cx="5274310" cy="4632325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BP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3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5A9" w:rsidRDefault="005B55A9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5B55A9" w:rsidRPr="005B55A9" w:rsidRDefault="005B55A9" w:rsidP="005B55A9">
      <w:pPr>
        <w:widowControl/>
        <w:rPr>
          <w:rFonts w:ascii="Times New Roman" w:hAnsi="Times New Roman" w:cs="Times New Roman"/>
        </w:rPr>
      </w:pPr>
      <w:r w:rsidRPr="005B55A9">
        <w:rPr>
          <w:rFonts w:ascii="Times New Roman" w:hAnsi="Times New Roman" w:cs="Times New Roman"/>
        </w:rPr>
        <w:lastRenderedPageBreak/>
        <w:t xml:space="preserve">The image of the </w:t>
      </w:r>
      <w:r w:rsidRPr="005B55A9">
        <w:rPr>
          <w:rFonts w:ascii="Times New Roman" w:eastAsia="新細明體" w:hAnsi="Times New Roman" w:cs="Times New Roman"/>
        </w:rPr>
        <w:t>α</w:t>
      </w:r>
      <w:r w:rsidRPr="005B55A9">
        <w:rPr>
          <w:rFonts w:ascii="Times New Roman" w:hAnsi="Times New Roman" w:cs="Times New Roman"/>
        </w:rPr>
        <w:t xml:space="preserve">-tubulin </w:t>
      </w:r>
      <w:r>
        <w:rPr>
          <w:rFonts w:ascii="Times New Roman" w:hAnsi="Times New Roman" w:cs="Times New Roman"/>
        </w:rPr>
        <w:t xml:space="preserve">(For MBP) </w:t>
      </w:r>
      <w:r w:rsidRPr="005B55A9">
        <w:rPr>
          <w:rFonts w:ascii="Times New Roman" w:hAnsi="Times New Roman" w:cs="Times New Roman"/>
        </w:rPr>
        <w:t>Western blot</w:t>
      </w:r>
    </w:p>
    <w:p w:rsidR="005B55A9" w:rsidRDefault="005B55A9" w:rsidP="005B55A9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>
            <wp:extent cx="5274310" cy="4763135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α-tubulin (for MBP)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6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5A9" w:rsidRDefault="005B55A9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5B55A9" w:rsidRDefault="005B55A9" w:rsidP="005B55A9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The image of the </w:t>
      </w:r>
      <w:r w:rsidRPr="005B55A9">
        <w:rPr>
          <w:rFonts w:ascii="Times New Roman" w:hAnsi="Times New Roman" w:cs="Times New Roman"/>
        </w:rPr>
        <w:t>PDGFRA</w:t>
      </w:r>
      <w:r>
        <w:rPr>
          <w:rFonts w:ascii="Times New Roman" w:hAnsi="Times New Roman" w:cs="Times New Roman"/>
        </w:rPr>
        <w:t xml:space="preserve"> Western blot</w:t>
      </w:r>
    </w:p>
    <w:p w:rsidR="005B55A9" w:rsidRDefault="005B55A9" w:rsidP="005B55A9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>
            <wp:extent cx="5274310" cy="6099175"/>
            <wp:effectExtent l="0" t="0" r="254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DGFRA.ti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9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5A9" w:rsidRDefault="005B55A9" w:rsidP="005B55A9">
      <w:pPr>
        <w:widowControl/>
        <w:rPr>
          <w:rFonts w:ascii="Times New Roman" w:hAnsi="Times New Roman" w:cs="Times New Roman"/>
        </w:rPr>
      </w:pPr>
    </w:p>
    <w:p w:rsidR="005B55A9" w:rsidRDefault="005B55A9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5B55A9" w:rsidRDefault="005B55A9" w:rsidP="005B55A9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The image of </w:t>
      </w:r>
      <w:r w:rsidRPr="005B55A9">
        <w:rPr>
          <w:rFonts w:ascii="Times New Roman" w:hAnsi="Times New Roman" w:cs="Times New Roman"/>
        </w:rPr>
        <w:t xml:space="preserve">the α-tubulin (For PDGFRA) </w:t>
      </w:r>
      <w:r>
        <w:rPr>
          <w:rFonts w:ascii="Times New Roman" w:hAnsi="Times New Roman" w:cs="Times New Roman"/>
        </w:rPr>
        <w:t>Western blot</w:t>
      </w:r>
    </w:p>
    <w:p w:rsidR="005B55A9" w:rsidRPr="005B55A9" w:rsidRDefault="005B55A9" w:rsidP="005B55A9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>
            <wp:extent cx="5274310" cy="6298565"/>
            <wp:effectExtent l="0" t="0" r="2540" b="698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α-tubulin (for PDGFRA).t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9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55A9" w:rsidRPr="005B55A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1364" w:rsidRDefault="00521364" w:rsidP="008B738A">
      <w:r>
        <w:separator/>
      </w:r>
    </w:p>
  </w:endnote>
  <w:endnote w:type="continuationSeparator" w:id="0">
    <w:p w:rsidR="00521364" w:rsidRDefault="00521364" w:rsidP="008B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1364" w:rsidRDefault="00521364" w:rsidP="008B738A">
      <w:r>
        <w:separator/>
      </w:r>
    </w:p>
  </w:footnote>
  <w:footnote w:type="continuationSeparator" w:id="0">
    <w:p w:rsidR="00521364" w:rsidRDefault="00521364" w:rsidP="008B73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5A9"/>
    <w:rsid w:val="001C4636"/>
    <w:rsid w:val="003F6F3A"/>
    <w:rsid w:val="004C08D2"/>
    <w:rsid w:val="00521364"/>
    <w:rsid w:val="005A3BB5"/>
    <w:rsid w:val="005B55A9"/>
    <w:rsid w:val="00687F41"/>
    <w:rsid w:val="008B738A"/>
    <w:rsid w:val="00C425A9"/>
    <w:rsid w:val="00CE3805"/>
    <w:rsid w:val="00E6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827EBE"/>
  <w15:chartTrackingRefBased/>
  <w15:docId w15:val="{4AAD9D92-B8F0-4554-9A78-EB98A51C5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55A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73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B738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B73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B738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936</Words>
  <Characters>5340</Characters>
  <Application>Microsoft Office Word</Application>
  <DocSecurity>0</DocSecurity>
  <Lines>44</Lines>
  <Paragraphs>12</Paragraphs>
  <ScaleCrop>false</ScaleCrop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朱俊憲</dc:creator>
  <cp:keywords/>
  <dc:description/>
  <cp:lastModifiedBy>朱俊憲</cp:lastModifiedBy>
  <cp:revision>6</cp:revision>
  <dcterms:created xsi:type="dcterms:W3CDTF">2026-09-03T09:57:00Z</dcterms:created>
  <dcterms:modified xsi:type="dcterms:W3CDTF">2026-09-03T10:28:00Z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6c842a14-1a53-4f3a-b4df-c8fc689bd33a</vt:lpwstr>
  </property>
</Properties>
</file>