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F579F" w14:textId="557B628F" w:rsidR="00442AFA" w:rsidRPr="00EE1D03" w:rsidRDefault="00EE1D03" w:rsidP="00782237">
      <w:pPr>
        <w:ind w:left="-567"/>
        <w:jc w:val="both"/>
        <w:rPr>
          <w:rFonts w:ascii="Arial" w:eastAsia="Arial" w:hAnsi="Arial" w:cs="Arial"/>
          <w:b/>
          <w:bCs/>
          <w:sz w:val="21"/>
          <w:szCs w:val="21"/>
        </w:rPr>
      </w:pPr>
      <w:r w:rsidRPr="00EE1D03">
        <w:rPr>
          <w:rFonts w:ascii="Arial" w:eastAsia="Arial" w:hAnsi="Arial" w:cs="Arial"/>
          <w:b/>
          <w:bCs/>
          <w:sz w:val="21"/>
          <w:szCs w:val="21"/>
        </w:rPr>
        <w:t>Supplementa</w:t>
      </w:r>
      <w:r w:rsidR="00782237">
        <w:rPr>
          <w:rFonts w:ascii="Arial" w:eastAsia="Arial" w:hAnsi="Arial" w:cs="Arial"/>
          <w:b/>
          <w:bCs/>
          <w:sz w:val="21"/>
          <w:szCs w:val="21"/>
        </w:rPr>
        <w:t>ry</w:t>
      </w:r>
      <w:r w:rsidRPr="00EE1D03">
        <w:rPr>
          <w:rFonts w:ascii="Arial" w:eastAsia="Arial" w:hAnsi="Arial" w:cs="Arial"/>
          <w:b/>
          <w:bCs/>
          <w:sz w:val="21"/>
          <w:szCs w:val="21"/>
        </w:rPr>
        <w:t xml:space="preserve"> Table</w:t>
      </w:r>
      <w:r w:rsidR="00782237">
        <w:rPr>
          <w:rFonts w:ascii="Arial" w:eastAsia="Arial" w:hAnsi="Arial" w:cs="Arial"/>
          <w:b/>
          <w:bCs/>
          <w:sz w:val="21"/>
          <w:szCs w:val="21"/>
        </w:rPr>
        <w:t xml:space="preserve"> S</w:t>
      </w:r>
      <w:r w:rsidRPr="00EE1D03">
        <w:rPr>
          <w:rFonts w:ascii="Arial" w:eastAsia="Arial" w:hAnsi="Arial" w:cs="Arial"/>
          <w:b/>
          <w:bCs/>
          <w:sz w:val="21"/>
          <w:szCs w:val="21"/>
        </w:rPr>
        <w:t>1:</w:t>
      </w:r>
      <w:r w:rsidR="006951A8" w:rsidRPr="00EE1D03">
        <w:rPr>
          <w:rFonts w:ascii="Arial" w:eastAsia="Arial" w:hAnsi="Arial" w:cs="Arial"/>
          <w:b/>
          <w:bCs/>
          <w:sz w:val="21"/>
          <w:szCs w:val="21"/>
        </w:rPr>
        <w:t xml:space="preserve"> </w:t>
      </w:r>
      <w:r w:rsidR="006951A8" w:rsidRPr="00782237">
        <w:rPr>
          <w:rFonts w:ascii="Arial" w:eastAsia="Arial" w:hAnsi="Arial" w:cs="Arial"/>
          <w:b/>
          <w:bCs/>
        </w:rPr>
        <w:t>Risk</w:t>
      </w:r>
      <w:r w:rsidR="006951A8" w:rsidRPr="00EE1D03">
        <w:rPr>
          <w:rFonts w:ascii="Arial" w:eastAsia="Arial" w:hAnsi="Arial" w:cs="Arial"/>
          <w:b/>
          <w:bCs/>
          <w:sz w:val="21"/>
          <w:szCs w:val="21"/>
        </w:rPr>
        <w:t xml:space="preserve"> of bias assessment using Newcastle</w:t>
      </w:r>
      <w:r w:rsidRPr="00EE1D03">
        <w:rPr>
          <w:rFonts w:ascii="Arial" w:eastAsia="Arial" w:hAnsi="Arial" w:cs="Arial"/>
          <w:b/>
          <w:bCs/>
          <w:sz w:val="21"/>
          <w:szCs w:val="21"/>
        </w:rPr>
        <w:t>-</w:t>
      </w:r>
      <w:r w:rsidR="006951A8" w:rsidRPr="00EE1D03">
        <w:rPr>
          <w:rFonts w:ascii="Arial" w:eastAsia="Arial" w:hAnsi="Arial" w:cs="Arial"/>
          <w:b/>
          <w:bCs/>
          <w:sz w:val="21"/>
          <w:szCs w:val="21"/>
        </w:rPr>
        <w:t>Ottawa Scale</w:t>
      </w:r>
      <w:r w:rsidRPr="00EE1D03">
        <w:rPr>
          <w:rFonts w:ascii="Arial" w:eastAsia="Arial" w:hAnsi="Arial" w:cs="Arial"/>
          <w:b/>
          <w:bCs/>
          <w:sz w:val="21"/>
          <w:szCs w:val="21"/>
        </w:rPr>
        <w:t xml:space="preserve"> (N</w:t>
      </w:r>
      <w:r w:rsidR="006951A8" w:rsidRPr="00EE1D03">
        <w:rPr>
          <w:rFonts w:ascii="Arial" w:eastAsia="Arial" w:hAnsi="Arial" w:cs="Arial"/>
          <w:b/>
          <w:bCs/>
          <w:sz w:val="21"/>
          <w:szCs w:val="21"/>
        </w:rPr>
        <w:t>OS)</w:t>
      </w:r>
    </w:p>
    <w:tbl>
      <w:tblPr>
        <w:tblW w:w="101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18"/>
        <w:gridCol w:w="1701"/>
        <w:gridCol w:w="1940"/>
        <w:gridCol w:w="1603"/>
        <w:gridCol w:w="1277"/>
        <w:gridCol w:w="1440"/>
      </w:tblGrid>
      <w:tr w:rsidR="00EE1D03" w:rsidRPr="00EE1D03" w14:paraId="64F25BE9" w14:textId="77777777" w:rsidTr="00782237">
        <w:tc>
          <w:tcPr>
            <w:tcW w:w="817" w:type="dxa"/>
          </w:tcPr>
          <w:p w14:paraId="266938F9" w14:textId="03A4C558" w:rsidR="00EE1D03" w:rsidRPr="00EE1D03" w:rsidRDefault="00EE1D03" w:rsidP="00EE1D03">
            <w:pPr>
              <w:rPr>
                <w:rFonts w:ascii="Arial" w:hAnsi="Arial" w:cs="Arial"/>
                <w:sz w:val="18"/>
                <w:szCs w:val="18"/>
              </w:rPr>
            </w:pPr>
            <w:r w:rsidRPr="00EE1D03">
              <w:rPr>
                <w:rFonts w:ascii="Arial" w:eastAsia="Arial" w:hAnsi="Arial" w:cs="Arial"/>
                <w:b/>
                <w:bCs/>
                <w:sz w:val="18"/>
                <w:szCs w:val="18"/>
              </w:rPr>
              <w:t>Nr.</w:t>
            </w:r>
          </w:p>
        </w:tc>
        <w:tc>
          <w:tcPr>
            <w:tcW w:w="1418" w:type="dxa"/>
          </w:tcPr>
          <w:p w14:paraId="2DBB61C7" w14:textId="49A1CC44" w:rsidR="00EE1D03" w:rsidRPr="00EE1D03" w:rsidRDefault="00EE1D03" w:rsidP="00EE1D03">
            <w:pPr>
              <w:rPr>
                <w:rFonts w:ascii="Arial" w:hAnsi="Arial" w:cs="Arial"/>
                <w:sz w:val="18"/>
                <w:szCs w:val="18"/>
              </w:rPr>
            </w:pPr>
            <w:r>
              <w:rPr>
                <w:rFonts w:ascii="Arial" w:eastAsia="Arial" w:hAnsi="Arial" w:cs="Arial"/>
                <w:b/>
                <w:sz w:val="18"/>
                <w:szCs w:val="18"/>
              </w:rPr>
              <w:t>Study</w:t>
            </w:r>
          </w:p>
        </w:tc>
        <w:tc>
          <w:tcPr>
            <w:tcW w:w="1701" w:type="dxa"/>
          </w:tcPr>
          <w:p w14:paraId="1D88CB3C" w14:textId="77777777" w:rsidR="00EE1D03" w:rsidRPr="00EE1D03" w:rsidRDefault="00EE1D03" w:rsidP="00EE1D03">
            <w:pPr>
              <w:rPr>
                <w:rFonts w:ascii="Arial" w:eastAsia="Arial" w:hAnsi="Arial" w:cs="Arial"/>
                <w:b/>
                <w:bCs/>
                <w:sz w:val="18"/>
                <w:szCs w:val="18"/>
              </w:rPr>
            </w:pPr>
            <w:r w:rsidRPr="00EE1D03">
              <w:rPr>
                <w:rFonts w:ascii="Arial" w:eastAsia="Arial" w:hAnsi="Arial" w:cs="Arial"/>
                <w:b/>
                <w:bCs/>
                <w:sz w:val="18"/>
                <w:szCs w:val="18"/>
              </w:rPr>
              <w:t>Selection (0–4)</w:t>
            </w:r>
          </w:p>
        </w:tc>
        <w:tc>
          <w:tcPr>
            <w:tcW w:w="1940" w:type="dxa"/>
          </w:tcPr>
          <w:p w14:paraId="23E986D4" w14:textId="77777777" w:rsidR="00EE1D03" w:rsidRPr="00EE1D03" w:rsidRDefault="00EE1D03" w:rsidP="00EE1D03">
            <w:pPr>
              <w:rPr>
                <w:rFonts w:ascii="Arial" w:eastAsia="Arial" w:hAnsi="Arial" w:cs="Arial"/>
                <w:b/>
                <w:bCs/>
                <w:sz w:val="18"/>
                <w:szCs w:val="18"/>
              </w:rPr>
            </w:pPr>
            <w:r w:rsidRPr="00EE1D03">
              <w:rPr>
                <w:rFonts w:ascii="Arial" w:eastAsia="Arial" w:hAnsi="Arial" w:cs="Arial"/>
                <w:b/>
                <w:bCs/>
                <w:sz w:val="18"/>
                <w:szCs w:val="18"/>
              </w:rPr>
              <w:t>Comparability (0–2)</w:t>
            </w:r>
          </w:p>
        </w:tc>
        <w:tc>
          <w:tcPr>
            <w:tcW w:w="1603" w:type="dxa"/>
          </w:tcPr>
          <w:p w14:paraId="50E6382C" w14:textId="77777777" w:rsidR="00EE1D03" w:rsidRPr="00EE1D03" w:rsidRDefault="00EE1D03" w:rsidP="00EE1D03">
            <w:pPr>
              <w:rPr>
                <w:rFonts w:ascii="Arial" w:eastAsia="Arial" w:hAnsi="Arial" w:cs="Arial"/>
                <w:b/>
                <w:bCs/>
                <w:sz w:val="18"/>
                <w:szCs w:val="18"/>
              </w:rPr>
            </w:pPr>
            <w:r w:rsidRPr="00EE1D03">
              <w:rPr>
                <w:rFonts w:ascii="Arial" w:eastAsia="Arial" w:hAnsi="Arial" w:cs="Arial"/>
                <w:b/>
                <w:bCs/>
                <w:sz w:val="18"/>
                <w:szCs w:val="18"/>
              </w:rPr>
              <w:t>Outcome (0–3)</w:t>
            </w:r>
          </w:p>
        </w:tc>
        <w:tc>
          <w:tcPr>
            <w:tcW w:w="1277" w:type="dxa"/>
          </w:tcPr>
          <w:p w14:paraId="2B05E2ED" w14:textId="77777777" w:rsidR="00EE1D03" w:rsidRPr="00EE1D03" w:rsidRDefault="00EE1D03" w:rsidP="00EE1D03">
            <w:pPr>
              <w:rPr>
                <w:rFonts w:ascii="Arial" w:eastAsia="Arial" w:hAnsi="Arial" w:cs="Arial"/>
                <w:b/>
                <w:bCs/>
                <w:sz w:val="18"/>
                <w:szCs w:val="18"/>
              </w:rPr>
            </w:pPr>
            <w:r w:rsidRPr="00EE1D03">
              <w:rPr>
                <w:rFonts w:ascii="Arial" w:eastAsia="Arial" w:hAnsi="Arial" w:cs="Arial"/>
                <w:b/>
                <w:bCs/>
                <w:sz w:val="18"/>
                <w:szCs w:val="18"/>
              </w:rPr>
              <w:t>Total (0–9)</w:t>
            </w:r>
          </w:p>
        </w:tc>
        <w:tc>
          <w:tcPr>
            <w:tcW w:w="1440" w:type="dxa"/>
          </w:tcPr>
          <w:p w14:paraId="1BDF6A01" w14:textId="77777777" w:rsidR="00EE1D03" w:rsidRPr="00EE1D03" w:rsidRDefault="00EE1D03" w:rsidP="00EE1D03">
            <w:pPr>
              <w:rPr>
                <w:rFonts w:ascii="Arial" w:eastAsia="Arial" w:hAnsi="Arial" w:cs="Arial"/>
                <w:b/>
                <w:bCs/>
                <w:sz w:val="18"/>
                <w:szCs w:val="18"/>
              </w:rPr>
            </w:pPr>
            <w:r w:rsidRPr="00EE1D03">
              <w:rPr>
                <w:rFonts w:ascii="Arial" w:eastAsia="Arial" w:hAnsi="Arial" w:cs="Arial"/>
                <w:b/>
                <w:bCs/>
                <w:sz w:val="18"/>
                <w:szCs w:val="18"/>
              </w:rPr>
              <w:t>Quality</w:t>
            </w:r>
          </w:p>
        </w:tc>
      </w:tr>
      <w:tr w:rsidR="00EE1D03" w:rsidRPr="00EE1D03" w14:paraId="11B8BBF8" w14:textId="77777777" w:rsidTr="00782237">
        <w:tc>
          <w:tcPr>
            <w:tcW w:w="817" w:type="dxa"/>
          </w:tcPr>
          <w:p w14:paraId="6C9471FF" w14:textId="4A2652A5" w:rsidR="00EE1D03" w:rsidRPr="00EE1D03" w:rsidRDefault="00EE1D03" w:rsidP="00EE1D03">
            <w:pPr>
              <w:rPr>
                <w:rFonts w:ascii="Arial" w:hAnsi="Arial" w:cs="Arial"/>
                <w:sz w:val="20"/>
                <w:szCs w:val="20"/>
              </w:rPr>
            </w:pPr>
            <w:r w:rsidRPr="00EE1D03">
              <w:rPr>
                <w:rFonts w:ascii="Arial" w:eastAsia="Arial" w:hAnsi="Arial" w:cs="Arial"/>
                <w:sz w:val="20"/>
                <w:szCs w:val="20"/>
              </w:rPr>
              <w:t>1</w:t>
            </w:r>
          </w:p>
        </w:tc>
        <w:tc>
          <w:tcPr>
            <w:tcW w:w="1418" w:type="dxa"/>
          </w:tcPr>
          <w:p w14:paraId="15E62F16" w14:textId="64D7A276"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Cander et al., 2007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{"citationID":"fCTBcYAF","properties":{"formattedCitation":"[24]","plainCitation":"[24]","noteIndex":0},"citationItems":[{"id":1477,"uris":["http://zotero.org/users/5949282/items/QCV669ZR"],"itemData":{"id":1477,"type":"article-journal","abstract":"Multiple system trauma can occur in accidents, natural disasters, and deliberate attacks, and vital areas of the body, such as the head, chest, and abdomen, may be affected. Investigators in the present study sought to examine morphologic and morphometric alterations of leukocyte responses in patients with multiple trauma during the first 4 h after a traumatic event. Venous blood samples were drawn from 51 patients, 30 male and 21 female, aged 16 to 59 y. The number of leukocytes increased significantly in all patients, but no significant differences were noted between the male and female groups. Complete blood counts revealed normal ratios of leukocyte types. It is suggested that in patients who have experienced multiple trauma, aggressive antibiotic therapy should be initiated to prevent posttraumatic infection and to protect against secondary organ failure.","container-title":"Advances in Therapy","DOI":"10.1007/BF02849999","ISSN":"1865-8652","issue":"1","journalAbbreviation":"Adv Therapy","language":"en","page":"119-122","source":"Springer Link","title":"Morphologic and quantitative analyses of leukocytes in patients with multiple system trauma","volume":"24","author":[{"family":"Cander","given":"Basar"},{"family":"Tosun","given":"Murat"},{"family":"Kalkan","given":"Erdal"}],"issued":{"date-parts":[["2007",1,1]]}}}],"schema":"https://github.com/citation-style-language/schema/raw/master/csl-citation.json"}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[24]</w:t>
            </w:r>
            <w:r w:rsidRPr="00EE1D03">
              <w:rPr>
                <w:rFonts w:ascii="Arial" w:eastAsia="Arial" w:hAnsi="Arial" w:cs="Arial"/>
                <w:sz w:val="20"/>
                <w:szCs w:val="20"/>
              </w:rPr>
              <w:fldChar w:fldCharType="end"/>
            </w:r>
          </w:p>
        </w:tc>
        <w:tc>
          <w:tcPr>
            <w:tcW w:w="1701" w:type="dxa"/>
          </w:tcPr>
          <w:p w14:paraId="2C9BCD93"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940" w:type="dxa"/>
          </w:tcPr>
          <w:p w14:paraId="702A4F00"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0</w:t>
            </w:r>
          </w:p>
        </w:tc>
        <w:tc>
          <w:tcPr>
            <w:tcW w:w="1603" w:type="dxa"/>
          </w:tcPr>
          <w:p w14:paraId="2225A19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277" w:type="dxa"/>
          </w:tcPr>
          <w:p w14:paraId="18B521F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4</w:t>
            </w:r>
          </w:p>
        </w:tc>
        <w:tc>
          <w:tcPr>
            <w:tcW w:w="1440" w:type="dxa"/>
          </w:tcPr>
          <w:p w14:paraId="77E4706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Low</w:t>
            </w:r>
          </w:p>
        </w:tc>
      </w:tr>
      <w:tr w:rsidR="00EE1D03" w:rsidRPr="00EE1D03" w14:paraId="390632E0" w14:textId="77777777" w:rsidTr="00782237">
        <w:tc>
          <w:tcPr>
            <w:tcW w:w="817" w:type="dxa"/>
          </w:tcPr>
          <w:p w14:paraId="05EDF7F9" w14:textId="3A74C826" w:rsidR="00EE1D03" w:rsidRPr="00EE1D03" w:rsidRDefault="00EE1D03" w:rsidP="00EE1D03">
            <w:pPr>
              <w:rPr>
                <w:rFonts w:ascii="Arial" w:hAnsi="Arial" w:cs="Arial"/>
                <w:sz w:val="20"/>
                <w:szCs w:val="20"/>
              </w:rPr>
            </w:pPr>
            <w:r w:rsidRPr="00EE1D03">
              <w:rPr>
                <w:rFonts w:ascii="Arial" w:eastAsia="Arial" w:hAnsi="Arial" w:cs="Arial"/>
                <w:sz w:val="20"/>
                <w:szCs w:val="20"/>
              </w:rPr>
              <w:t>2</w:t>
            </w:r>
          </w:p>
        </w:tc>
        <w:tc>
          <w:tcPr>
            <w:tcW w:w="1418" w:type="dxa"/>
          </w:tcPr>
          <w:p w14:paraId="154EBEA3" w14:textId="5B53F946"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Chang et al., 2003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{"citationID":"2ghdIGWX","properties":{"formattedCitation":"[18]","plainCitation":"[18]","noteIndex":0},"citationItems":[{"id":1419,"uris":["http://zotero.org/users/5949282/items/9B5VZ9RQ"],"itemData":{"id":1419,"type":"article-journal","abstract":"Objective\nTo determine the association of the admission white blood cell count in trauma patients with demographics, severity and mechanism of injury, and need for therapeutic intervention.\nMethods\nEvaluation of prospectively collected registry data (admissions to a Level I trauma center in 2001). Differences in mean white blood cell count on admission were evaluated with t tests. Multiple linear regressions were performed with forward stepwise selection of variables.\nResults\nOf the 882 patients admitted for greater than 24 hours, white blood cell count was available for 786. Variations in white blood cell count were noted on bivariate analysis among different races, injury mechanisms and severities, Glascow Coma Scores, blood pressures, and between patients requiring early transfusions versus those who did not. No difference was noted between patients who went to the operating room in the first 24 hours versus those who did not, or for patients who died in the hospital. On multiple linear regression analyses, only ISS greater than 15, GCS less than or equal to 8, and white race were associated with increases in white blood cell count. Leukocytosis was found not to be associated with mechanism of injury, specific organ injury, shock on admission, or the need for transfusion or surgery.\nConclusion\nVariations in white blood cell count in trauma patients are associated with race and injury severity, but they are not beneficial in predicting the need for volume resuscitation, transfusion, or surgery.","container-title":"Current Surgery","DOI":"10.1016/j.cursur.2003.07.011","ISSN":"0149-7944","issue":"6","journalAbbreviation":"Current Surgery","page":"632-635","source":"ScienceDirect","title":"Early leukocytosis in trauma patients: what difference does it make?","title-short":"Early leukocytosis in trauma patients","volume":"60","author":[{"family":"Chang","given":"David C"},{"family":"Cornwell","given":"Edward E"},{"family":"Phillips","given":"Judith"},{"family":"Paradise","given":"Jane"},{"family":"Campbell","given":"Kurtis"}],"issued":{"date-parts":[["2003",11,1]]}}}],"schema":"https://github.com/citation-style-language/schema/raw/master/csl-citation.json"}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[18]</w:t>
            </w:r>
            <w:r w:rsidRPr="00EE1D03">
              <w:rPr>
                <w:rFonts w:ascii="Arial" w:eastAsia="Arial" w:hAnsi="Arial" w:cs="Arial"/>
                <w:sz w:val="20"/>
                <w:szCs w:val="20"/>
              </w:rPr>
              <w:fldChar w:fldCharType="end"/>
            </w:r>
          </w:p>
        </w:tc>
        <w:tc>
          <w:tcPr>
            <w:tcW w:w="1701" w:type="dxa"/>
          </w:tcPr>
          <w:p w14:paraId="3558810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4</w:t>
            </w:r>
          </w:p>
        </w:tc>
        <w:tc>
          <w:tcPr>
            <w:tcW w:w="1940" w:type="dxa"/>
          </w:tcPr>
          <w:p w14:paraId="1F59CDEB"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533D7FF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79623D0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9</w:t>
            </w:r>
          </w:p>
        </w:tc>
        <w:tc>
          <w:tcPr>
            <w:tcW w:w="1440" w:type="dxa"/>
          </w:tcPr>
          <w:p w14:paraId="48CB4440"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1AA79B25" w14:textId="77777777" w:rsidTr="00782237">
        <w:tc>
          <w:tcPr>
            <w:tcW w:w="817" w:type="dxa"/>
          </w:tcPr>
          <w:p w14:paraId="19D641F7" w14:textId="087DDFDD" w:rsidR="00EE1D03" w:rsidRPr="00EE1D03" w:rsidRDefault="00EE1D03" w:rsidP="00EE1D03">
            <w:pPr>
              <w:rPr>
                <w:rFonts w:ascii="Arial" w:hAnsi="Arial" w:cs="Arial"/>
                <w:sz w:val="20"/>
                <w:szCs w:val="20"/>
              </w:rPr>
            </w:pPr>
            <w:r w:rsidRPr="00EE1D03">
              <w:rPr>
                <w:rFonts w:ascii="Arial" w:eastAsia="Arial" w:hAnsi="Arial" w:cs="Arial"/>
                <w:sz w:val="20"/>
                <w:szCs w:val="20"/>
              </w:rPr>
              <w:t>3</w:t>
            </w:r>
          </w:p>
        </w:tc>
        <w:tc>
          <w:tcPr>
            <w:tcW w:w="1418" w:type="dxa"/>
          </w:tcPr>
          <w:p w14:paraId="4BAD6D75" w14:textId="55EC3607" w:rsidR="00EE1D03" w:rsidRPr="00EE1D03" w:rsidRDefault="00EE1D03" w:rsidP="00EE1D03">
            <w:pPr>
              <w:rPr>
                <w:rFonts w:ascii="Arial" w:hAnsi="Arial" w:cs="Arial"/>
                <w:sz w:val="20"/>
                <w:szCs w:val="20"/>
              </w:rPr>
            </w:pPr>
            <w:r w:rsidRPr="00EE1D03">
              <w:rPr>
                <w:rFonts w:ascii="Arial" w:eastAsia="Arial" w:hAnsi="Arial" w:cs="Arial"/>
                <w:sz w:val="20"/>
                <w:szCs w:val="20"/>
              </w:rPr>
              <w:t>De</w:t>
            </w:r>
            <w:r w:rsidRPr="00EE1D03">
              <w:rPr>
                <w:rFonts w:ascii="Arial" w:eastAsia="Arial" w:hAnsi="Arial" w:cs="Arial"/>
                <w:sz w:val="10"/>
                <w:szCs w:val="10"/>
              </w:rPr>
              <w:t xml:space="preserve"> </w:t>
            </w:r>
            <w:r w:rsidRPr="00EE1D03">
              <w:rPr>
                <w:rFonts w:ascii="Arial" w:eastAsia="Arial" w:hAnsi="Arial" w:cs="Arial"/>
                <w:sz w:val="20"/>
                <w:szCs w:val="20"/>
              </w:rPr>
              <w:t>Dios</w:t>
            </w:r>
            <w:r w:rsidRPr="00EE1D03">
              <w:rPr>
                <w:rFonts w:ascii="Arial" w:eastAsia="Arial" w:hAnsi="Arial" w:cs="Arial"/>
                <w:sz w:val="10"/>
                <w:szCs w:val="10"/>
              </w:rPr>
              <w:t xml:space="preserve"> </w:t>
            </w:r>
            <w:r w:rsidRPr="00EE1D03">
              <w:rPr>
                <w:rFonts w:ascii="Arial" w:eastAsia="Arial" w:hAnsi="Arial" w:cs="Arial"/>
                <w:sz w:val="20"/>
                <w:szCs w:val="20"/>
              </w:rPr>
              <w:t>Díaz-Rosales</w:t>
            </w:r>
            <w:r w:rsidRPr="00EE1D03">
              <w:rPr>
                <w:rFonts w:ascii="Arial" w:eastAsia="Arial" w:hAnsi="Arial" w:cs="Arial"/>
                <w:sz w:val="10"/>
                <w:szCs w:val="10"/>
              </w:rPr>
              <w:t xml:space="preserve"> </w:t>
            </w:r>
            <w:r w:rsidRPr="00EE1D03">
              <w:rPr>
                <w:rFonts w:ascii="Arial" w:eastAsia="Arial" w:hAnsi="Arial" w:cs="Arial"/>
                <w:sz w:val="20"/>
                <w:szCs w:val="20"/>
              </w:rPr>
              <w:t>et</w:t>
            </w:r>
            <w:r w:rsidRPr="00EE1D03">
              <w:rPr>
                <w:rFonts w:ascii="Arial" w:eastAsia="Arial" w:hAnsi="Arial" w:cs="Arial"/>
                <w:sz w:val="6"/>
                <w:szCs w:val="6"/>
              </w:rPr>
              <w:t xml:space="preserve"> </w:t>
            </w:r>
            <w:r w:rsidRPr="00EE1D03">
              <w:rPr>
                <w:rFonts w:ascii="Arial" w:eastAsia="Arial" w:hAnsi="Arial" w:cs="Arial"/>
                <w:sz w:val="20"/>
                <w:szCs w:val="20"/>
              </w:rPr>
              <w:t xml:space="preserve">al., 2013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{"citationID":"QqN0dI9z","properties":{"formattedCitation":"[10]","plainCitation":"[10]","noteIndex":0},"citationItems":[{"id":1481,"uris":["http://zotero.org/users/5949282/items/JKGK7ST6"],"itemData":{"id":1481,"type":"article-journal","abstract":"Objective:  the objective of this study is to compare white blood cells (WBC) count  in patients with penetrating abdominal trauma isolated and associated with osseous  and/or thoracic injury.  Material and methods:  cross-sectional study that compares  the WBC count as factor associated with major injury in two groups of patients with  abdominal penetrating trauma; group patients with penetrating abdominal trauma  isolated (PATI) versus group patients with penetrating abdominal trauma associated  with osseous and or thoracic injury (PAT/OT).  Results:  one hundred and eighty six  patients are included. Ninety five (87.2%) patients in PATI group have leukocytosis  vs 67 (87%) patients in PAT/OT have leukocytosis. The mean of WBC for PATI group  is 14,200 per mm 3  (±3.500); whereas, whereas the mean of WBC for PAT/OT group  is 16,400 per mm 3  (±4.700). This study shown a statistically significance difference in  mean of leukocytosis between groups (p=0.01).  Conclusion:  a significant elevation  of WBC count in patients with PAT/OT is observed in comparison with PATI patients.","container-title":"Archivos de Medicina (Col)","ISSN":", 2339-3874","issue":"2","language":"Inglés","page":"220-225","publisher":"Universidad de Manizales","source":"www.redalyc.org","title":"Leukocytosis in penetrating trauma (abdominal and osseous/thoracic): a cross sectional study in Juárez, México","title-short":"Leukocytosis in penetrating trauma (abdominal and osseous/thoracic)","volume":"15","author":[{"family":"Díaz-Rosales","given":"Juan de Dios"},{"family":"Enríquez-Domínguez","given":"Lenin"},{"family":"Aguayo-Muñoz","given":"Baltazar"},{"family":"Romo-Martínez","given":"Jesús E."},{"family":"Díaz-Apodaca","given":"Beatriz"}],"issued":{"date-parts":[["2015"]]}}}],"schema":"https://github.com/citation-style-language/schema/raw/master/csl-citation.json"}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[10]</w:t>
            </w:r>
            <w:r w:rsidRPr="00EE1D03">
              <w:rPr>
                <w:rFonts w:ascii="Arial" w:eastAsia="Arial" w:hAnsi="Arial" w:cs="Arial"/>
                <w:sz w:val="20"/>
                <w:szCs w:val="20"/>
              </w:rPr>
              <w:fldChar w:fldCharType="end"/>
            </w:r>
          </w:p>
        </w:tc>
        <w:tc>
          <w:tcPr>
            <w:tcW w:w="1701" w:type="dxa"/>
          </w:tcPr>
          <w:p w14:paraId="06CEC2D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940" w:type="dxa"/>
          </w:tcPr>
          <w:p w14:paraId="4514925C"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0</w:t>
            </w:r>
          </w:p>
        </w:tc>
        <w:tc>
          <w:tcPr>
            <w:tcW w:w="1603" w:type="dxa"/>
          </w:tcPr>
          <w:p w14:paraId="413FA35F"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277" w:type="dxa"/>
          </w:tcPr>
          <w:p w14:paraId="416B461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4</w:t>
            </w:r>
          </w:p>
        </w:tc>
        <w:tc>
          <w:tcPr>
            <w:tcW w:w="1440" w:type="dxa"/>
          </w:tcPr>
          <w:p w14:paraId="4B6C73E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Low</w:t>
            </w:r>
          </w:p>
        </w:tc>
      </w:tr>
      <w:tr w:rsidR="00EE1D03" w:rsidRPr="00EE1D03" w14:paraId="22D276B7" w14:textId="77777777" w:rsidTr="00782237">
        <w:tc>
          <w:tcPr>
            <w:tcW w:w="817" w:type="dxa"/>
          </w:tcPr>
          <w:p w14:paraId="3F5330A4" w14:textId="43AA9339" w:rsidR="00EE1D03" w:rsidRPr="00EE1D03" w:rsidRDefault="00EE1D03" w:rsidP="00EE1D03">
            <w:pPr>
              <w:rPr>
                <w:rFonts w:ascii="Arial" w:hAnsi="Arial" w:cs="Arial"/>
                <w:sz w:val="20"/>
                <w:szCs w:val="20"/>
              </w:rPr>
            </w:pPr>
            <w:r w:rsidRPr="00EE1D03">
              <w:rPr>
                <w:rFonts w:ascii="Arial" w:eastAsia="Arial" w:hAnsi="Arial" w:cs="Arial"/>
                <w:sz w:val="20"/>
                <w:szCs w:val="20"/>
              </w:rPr>
              <w:t>4</w:t>
            </w:r>
          </w:p>
        </w:tc>
        <w:tc>
          <w:tcPr>
            <w:tcW w:w="1418" w:type="dxa"/>
          </w:tcPr>
          <w:p w14:paraId="757DDCF7" w14:textId="3C86CD23" w:rsidR="00EE1D03" w:rsidRPr="00EE1D03" w:rsidRDefault="00EE1D03" w:rsidP="00EE1D03">
            <w:pPr>
              <w:rPr>
                <w:rFonts w:ascii="Arial" w:hAnsi="Arial" w:cs="Arial"/>
                <w:sz w:val="20"/>
                <w:szCs w:val="20"/>
              </w:rPr>
            </w:pPr>
            <w:proofErr w:type="spellStart"/>
            <w:r w:rsidRPr="00EE1D03">
              <w:rPr>
                <w:rFonts w:ascii="Arial" w:eastAsia="Arial" w:hAnsi="Arial" w:cs="Arial"/>
                <w:sz w:val="20"/>
                <w:szCs w:val="20"/>
              </w:rPr>
              <w:t>Hasjim</w:t>
            </w:r>
            <w:proofErr w:type="spellEnd"/>
            <w:r w:rsidRPr="00EE1D03">
              <w:rPr>
                <w:rFonts w:ascii="Arial" w:eastAsia="Arial" w:hAnsi="Arial" w:cs="Arial"/>
                <w:sz w:val="20"/>
                <w:szCs w:val="20"/>
              </w:rPr>
              <w:t xml:space="preserve"> et al., 2022</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{"citationID":"mMNx8YWs","properties":{"formattedCitation":"[11]","plainCitation":"[11]","noteIndex":0},"citationItems":[{"id":1463,"uris":["http://zotero.org/users/5949282/items/PNKDXQC6"],"itemData":{"id":1463,"type":"article-journal","abstract":"Background\nLeukocytosis is a rise in white blood cell (WBC) count and clinical outcomes of moderate to severe leukocytosis in trauma patients have not been described. We hypothesized that trauma patients with severe leukocytosis (SL; ≥40.0 × 109 leukocytes/L) have higher rates of in-hospital complications and mortality than those with moderate leukocytosis (ML; 25.0–39 × 109 leukocytes/L).\nMethods\nWe performed a retrospective analysis (2010-2017) on trauma patients developing ML or SL at a single Level-I trauma center. A multivariable logistic regression analysis for risk factors were performed.\nResults\nFrom 15,807 trauma admissions, 332 (2.1%) had ML or SL. Of these, 308 (92.8%) were ML and 24 (7.2%) were SL. Patients with ML and SL reached their peak WBC count in 1 and 10 days after admission respectively (p &lt; 0.001). SL patients suffered higher rates of in-hospital complications (p &lt; 0.05) and mortality compared to those without ML or SL (14.5% vs. 3.3%, p &lt; 0.001). Between ML and SL, mortality rates rose with leukocytosis severity (13.3% vs. 29.2%, p = 0.03). Among all patients with ML or SL, vasopressor use was the strongest independent risk factor for mortality (OR 12.61, p &lt; 0.001).\nConclusion\nClinicians should be weary of the increased mortality rates and in-hospital complications in SL patients. Among patients with ML or SL, vasopressor use, rather than SL, was the strongest predictor of mortality. Patients with ML had a quicker time course to peak leukocytosis compared to SL, suggesting these two entities to be distinct in etiology and outcome, warranting future research.","container-title":"Journal of the Intensive Care Society","DOI":"10.1177/1751143720975316","ISSN":"1751-1437","issue":"2","language":"EN","page":"117-123","publisher":"SAGE Publications","source":"SAGE Journals","title":"Moderate to severe leukocytosis with vasopressor use is associated with increased mortality in trauma patients","volume":"23","author":[{"family":"Hasjim","given":"Bima J"},{"family":"Grigorian","given":"Areg"},{"family":"Stopenski","given":"Stephen"},{"family":"Swentek","given":"Lourdes"},{"family":"Sun","given":"Beatrice"},{"family":"Livingston","given":"Joshua K"},{"family":"Williams","given":"Barbara"},{"family":"Nastanski","given":"Frank"},{"family":"Nahmias","given":"Jeffry"}],"issued":{"date-parts":[["2022",5,1]]}}}],"schema":"https://github.com/citation-style-language/schema/raw/master/csl-citation.json"}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[11]</w:t>
            </w:r>
            <w:r w:rsidRPr="00EE1D03">
              <w:rPr>
                <w:rFonts w:ascii="Arial" w:eastAsia="Arial" w:hAnsi="Arial" w:cs="Arial"/>
                <w:sz w:val="20"/>
                <w:szCs w:val="20"/>
              </w:rPr>
              <w:fldChar w:fldCharType="end"/>
            </w:r>
          </w:p>
        </w:tc>
        <w:tc>
          <w:tcPr>
            <w:tcW w:w="1701" w:type="dxa"/>
          </w:tcPr>
          <w:p w14:paraId="7A5C106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38ED4F67"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030BE72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7AAEA61D"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8</w:t>
            </w:r>
          </w:p>
        </w:tc>
        <w:tc>
          <w:tcPr>
            <w:tcW w:w="1440" w:type="dxa"/>
          </w:tcPr>
          <w:p w14:paraId="1927B188"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4E0D92F0" w14:textId="77777777" w:rsidTr="00782237">
        <w:tc>
          <w:tcPr>
            <w:tcW w:w="817" w:type="dxa"/>
          </w:tcPr>
          <w:p w14:paraId="364DE98B" w14:textId="5D0DD631" w:rsidR="00EE1D03" w:rsidRPr="00EE1D03" w:rsidRDefault="00EE1D03" w:rsidP="00EE1D03">
            <w:pPr>
              <w:rPr>
                <w:rFonts w:ascii="Arial" w:hAnsi="Arial" w:cs="Arial"/>
                <w:sz w:val="20"/>
                <w:szCs w:val="20"/>
              </w:rPr>
            </w:pPr>
            <w:r w:rsidRPr="00EE1D03">
              <w:rPr>
                <w:rFonts w:ascii="Arial" w:eastAsia="Arial" w:hAnsi="Arial" w:cs="Arial"/>
                <w:sz w:val="20"/>
                <w:szCs w:val="20"/>
              </w:rPr>
              <w:t>5</w:t>
            </w:r>
          </w:p>
        </w:tc>
        <w:tc>
          <w:tcPr>
            <w:tcW w:w="1418" w:type="dxa"/>
          </w:tcPr>
          <w:p w14:paraId="6605458C" w14:textId="67916AEA"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Heffernan et al., 2012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{"citationID":"wB6EUs8D","properties":{"formattedCitation":"[7]","plainCitation":"[7]","noteIndex":0},"citationItems":[{"id":1460,"uris":["http://zotero.org/users/5949282/items/LE3QSTCA"],"itemData":{"id":1460,"type":"article-journal","abstract":"INTRODUCTION: Following trauma and systemic inflammatory response syndrome (SIRS), the typical response is an elevation of the total complete blood count (CBC) and a reduction of the lymphocyte count. This leukocytosis typically returns to normal within 48 hours. The persistence of a leukocytosis following trauma is associated with adverse outcomes. Although lymphocyte anergy and dysfunction following trauma is associated with increased risk for infection and sepsis, there is a paucity of data regarding the impact of a persistence of a low lymphocyte count in trauma patients.\nMETHODS: This is a retrospective review of prospectively collected data from trauma patients collected over the 5 years of September 2003 to September 2008. Patients were included if the injury severity score (ISS) was &gt;or=15, and they survived at least 3 days. Demographic data, mechanism and injury severity score, mortality, and length of stay were collected from the medical record. Laboratory values for the first 4 hospital days were collected. Leukocyte, neutrophil and lymphocyte counts were extracted from the daily complete blood count (CBC). Patients were then grouped based on response (elevation/depression) of each component of the CBC, and their return, or failure thereof, to normal. Proportional hazards regression with time-varying covariates as well as Kaplan-Meier curves were used to predict risk of death, time to death and time to healthy discharge based on fluctuations of the individual components of the CBC.\nRESULTS: There were 2448 patients admitted over the 5 years included in the analysis. When adjusting for age, gender and ISS the relative risk of death was elevated with a persistent leukocytosis (2.501 (95% CI=1.477-4.235)) or failure to normalize lymphopenia (1.639 (95% CI=10.17-2.643)) within the first 4 days following admission. Similar results were seen when Kaplan-Meier curves were created. Persistent lymphopenia was associated with shortest time to death. Paradoxically in survivors persistent lymphopenia was associated with the shortest time to discharge.\nCONCLUSIONS: Persistently abnormal CBC responses are associated with a higher mortality following trauma. This is the first report noting that a failure to normalize lymphopenia in severely injured patients is associated with significantly higher mortality.","container-title":"Critical Care (London, England)","DOI":"10.1186/cc11157","ISSN":"1466-609X","issue":"1","journalAbbreviation":"Crit Care","language":"eng","page":"R12","PMID":"22264310","PMCID":"PMC3396248","source":"PubMed","title":"Failure to normalize lymphopenia following trauma is associated with increased mortality, independent of the leukocytosis pattern","volume":"16","author":[{"family":"Heffernan","given":"Daithi S."},{"family":"Monaghan","given":"Sean F."},{"family":"Thakkar","given":"Rajan K."},{"family":"Machan","given":"Jason T."},{"family":"Cioffi","given":"William G."},{"family":"Ayala","given":"Alfred"}],"issued":{"date-parts":[["2012",1,20]]}}}],"schema":"https://github.com/citation-style-language/schema/raw/master/csl-citation.json"}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[7]</w:t>
            </w:r>
            <w:r w:rsidRPr="00EE1D03">
              <w:rPr>
                <w:rFonts w:ascii="Arial" w:eastAsia="Arial" w:hAnsi="Arial" w:cs="Arial"/>
                <w:sz w:val="20"/>
                <w:szCs w:val="20"/>
              </w:rPr>
              <w:fldChar w:fldCharType="end"/>
            </w:r>
          </w:p>
        </w:tc>
        <w:tc>
          <w:tcPr>
            <w:tcW w:w="1701" w:type="dxa"/>
          </w:tcPr>
          <w:p w14:paraId="315C3EED"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3AE6CD7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4364E6A8"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10F19D1E"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8</w:t>
            </w:r>
          </w:p>
        </w:tc>
        <w:tc>
          <w:tcPr>
            <w:tcW w:w="1440" w:type="dxa"/>
          </w:tcPr>
          <w:p w14:paraId="20253276"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0AAC716F" w14:textId="77777777" w:rsidTr="00782237">
        <w:tc>
          <w:tcPr>
            <w:tcW w:w="817" w:type="dxa"/>
          </w:tcPr>
          <w:p w14:paraId="77175D83" w14:textId="63205DCB" w:rsidR="00EE1D03" w:rsidRPr="00EE1D03" w:rsidRDefault="00EE1D03" w:rsidP="00EE1D03">
            <w:pPr>
              <w:rPr>
                <w:rFonts w:ascii="Arial" w:hAnsi="Arial" w:cs="Arial"/>
                <w:sz w:val="20"/>
                <w:szCs w:val="20"/>
              </w:rPr>
            </w:pPr>
            <w:r w:rsidRPr="00EE1D03">
              <w:rPr>
                <w:rFonts w:ascii="Arial" w:eastAsia="Arial" w:hAnsi="Arial" w:cs="Arial"/>
                <w:sz w:val="20"/>
                <w:szCs w:val="20"/>
              </w:rPr>
              <w:t>6</w:t>
            </w:r>
          </w:p>
        </w:tc>
        <w:tc>
          <w:tcPr>
            <w:tcW w:w="1418" w:type="dxa"/>
          </w:tcPr>
          <w:p w14:paraId="566B670B" w14:textId="6BEEC573"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Jol et al., 2017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{"citationID":"E2zqNML1","properties":{"formattedCitation":"[12]","plainCitation":"[12]","noteIndex":0},"citationItems":[{"id":1425,"uris":["http://zotero.org/users/5949282/items/2SE58L4B"],"itemData":{"id":1425,"type":"article-journal","abstract":"Background Septic shock is a severe complication in polytrauma patients. Early identification of patients at risk can guide future prevention strategies. Platelets (PLTs) and leucocytes presumably play an important role in the post-injury inflammatory response. The role of early changes in PLT and leucocyte counts was investigated in search for the aetiology of the development of septic complications. Methods Polytrauma patients (aged 16–80 years) admitted to the intensive care unit with an expected stay of at least 3 days were included. PLT and leucocyte counts were measured on a daily basis for 14 days. Results A total of 41 patients were included, of whom nine (22%) developed septic shock. There was no difference in (New) Injury Severity Score or Acute Physiology and Chronic Health Evaluation II scores between patients who developed septic shock and patients who did not. Three patients died, one of them in septic shock. Patients who developed septic shock during hospital stay had lower PLTs and a slower recovery to normal PLT counts than patients without septic shock. Patients who developed either a decrease in both PLTs and leucocytes or an increase in PLTs and leucocytes in the first 24 h after trauma were more likely to develop septic shock. This correlation was not found in patients who did not develop septic shock. Conclusion A similar change in PLT and leucocyte counts in the first 24 h after trauma is associated with the development of septic shock after a week. This indicates an early interaction between PLTs and leucocytes, which needs further investigation to gain more insight in the aetiology of post-injury septic complications.","container-title":"ANZ Journal of Surgery","DOI":"10.1111/ans.13861","ISSN":"1445-2197","issue":"3","language":"en","license":"© 2017 Royal Australasian College of Surgeons","note":"_eprint: https://onlinelibrary.wiley.com/doi/pdf/10.1111/ans.13861","page":"190-194","source":"Wiley Online Library","title":"Similar change in platelets and leucocytes 24 h after injury is associated with septic shock a week later","volume":"87","author":[{"family":"Jol","given":"Saskia"},{"family":"Hietbrink","given":"Falco"},{"family":"Leenen","given":"Luke P. H."},{"family":"Koenderman","given":"Leo"},{"family":"Wessem","given":"Karlijn J. P.","non-dropping-particle":"van"}],"issued":{"date-parts":[["2017"]]}}}],"schema":"https://github.com/citation-style-language/schema/raw/master/csl-citation.json"}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[12]</w:t>
            </w:r>
            <w:r w:rsidRPr="00EE1D03">
              <w:rPr>
                <w:rFonts w:ascii="Arial" w:eastAsia="Arial" w:hAnsi="Arial" w:cs="Arial"/>
                <w:sz w:val="20"/>
                <w:szCs w:val="20"/>
              </w:rPr>
              <w:fldChar w:fldCharType="end"/>
            </w:r>
          </w:p>
        </w:tc>
        <w:tc>
          <w:tcPr>
            <w:tcW w:w="1701" w:type="dxa"/>
          </w:tcPr>
          <w:p w14:paraId="74F11C58"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940" w:type="dxa"/>
          </w:tcPr>
          <w:p w14:paraId="60D94B3C"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1</w:t>
            </w:r>
          </w:p>
        </w:tc>
        <w:tc>
          <w:tcPr>
            <w:tcW w:w="1603" w:type="dxa"/>
          </w:tcPr>
          <w:p w14:paraId="0B2832F6"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277" w:type="dxa"/>
          </w:tcPr>
          <w:p w14:paraId="2037CC0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5</w:t>
            </w:r>
          </w:p>
        </w:tc>
        <w:tc>
          <w:tcPr>
            <w:tcW w:w="1440" w:type="dxa"/>
          </w:tcPr>
          <w:p w14:paraId="179A0487"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Moderate</w:t>
            </w:r>
          </w:p>
        </w:tc>
      </w:tr>
      <w:tr w:rsidR="00EE1D03" w:rsidRPr="00EE1D03" w14:paraId="552AB903" w14:textId="77777777" w:rsidTr="00782237">
        <w:tc>
          <w:tcPr>
            <w:tcW w:w="817" w:type="dxa"/>
          </w:tcPr>
          <w:p w14:paraId="18BA769A" w14:textId="039B519D" w:rsidR="00EE1D03" w:rsidRPr="00EE1D03" w:rsidRDefault="00EE1D03" w:rsidP="00EE1D03">
            <w:pPr>
              <w:rPr>
                <w:rFonts w:ascii="Arial" w:hAnsi="Arial" w:cs="Arial"/>
                <w:sz w:val="20"/>
                <w:szCs w:val="20"/>
              </w:rPr>
            </w:pPr>
            <w:r w:rsidRPr="00EE1D03">
              <w:rPr>
                <w:rFonts w:ascii="Arial" w:eastAsia="Arial" w:hAnsi="Arial" w:cs="Arial"/>
                <w:sz w:val="20"/>
                <w:szCs w:val="20"/>
              </w:rPr>
              <w:t>7</w:t>
            </w:r>
          </w:p>
        </w:tc>
        <w:tc>
          <w:tcPr>
            <w:tcW w:w="1418" w:type="dxa"/>
          </w:tcPr>
          <w:p w14:paraId="4464A951" w14:textId="1CA80A57"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Niggli et al., 2025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{"citationID":"ekyapEAU","properties":{"formattedCitation":"[13]","plainCitation":"[13]","noteIndex":0},"citationItems":[{"id":1472,"uris":["http://zotero.org/users/5949282/items/WRUZFPGK"],"itemData":{"id":1472,"type":"article-journal","abstract":"Sepsis is a major cause of death in polytrauma patients, with delayed antibiotics increasing mortality. Although biological sex influences immune function and disease outcomes, gender-specific differences in inflammatory response and sepsis progression remain underexplored. This study examined the time-dependent behavior of C-reactive protein (CRP), procalcitonin (PCT), and white blood cell count (WBC) in male and female polytrauma patients to evaluate their predictive value for sepsis. Additionally, it compared infection sources between genders. This retrospective cohort study at University Hospital Zurich included polytrauma patients aged ≥ 16 years with an Injury Severity Score (ISS) ≥ 16 who developed sepsis within 31 days of admission. Patients were grouped by sepsis status and gender. Time-dependent inflammatory markers (CRP, PCT, WBC) were analyzed using the Mann-Whitney U-test and binary logistic regression. The Closest Top-Left Threshold Method determined time-specific sepsis thresholds. The study included 3059 polytrauma patients (26% females, 74% males), with a median age of 43 and a median ISS of 27. CRP levels were higher in sepsis cases from 24 h in females and 48 h in males, peaking at 122.5 mmol/L (females, 4 days) and 136.5 mmol/L (males, 48 h). PCT differences were significant only in males from 12 h, with a threshold of 1.55 µg/L. WBC levels became significant from day 3 in males and day 4 in females, peaking at 12.82 counts/µL (males) and 13.16 counts/µL (females) on day 10. Pneumonia was the most common infection (70% males, 65% females). Females had more wound infections (27% vs. 18%, p = 0.042) and borderline higher urinary tract infections (22% vs. 14%, p = 0.059). CRP and PCT are standard sepsis markers, but PCT's predictive value varies by gender, and women may show different CRP kinetics. Gender-specific differences in inflammatory markers suggest tailored approaches to enhance diagnostic accuracy and improve sepsis management. Further research is needed to evaluate hormonal and genetic influences on immune responses in polytrauma patients.","container-title":"Scientific Reports","DOI":"10.1038/s41598-025-86495-w","ISSN":"2045-2322","issue":"1","journalAbbreviation":"Sci Rep","language":"eng","page":"2398","PMID":"39827304","PMCID":"PMC11742873","source":"PubMed","title":"Sex differences in the time trends of sepsis biomarkers following polytrauma","volume":"15","author":[{"family":"Niggli","given":"Cédric"},{"family":"Vetter","given":"Philipp"},{"family":"Hambrecht","given":"Jan"},{"family":"Pape","given":"Hans-Christoph"},{"family":"Mica","given":"Ladislav"}],"issued":{"date-parts":[["2025",1,18]]}}}],"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[13]</w:t>
            </w:r>
            <w:r w:rsidRPr="00EE1D03">
              <w:rPr>
                <w:rFonts w:ascii="Arial" w:eastAsia="Arial" w:hAnsi="Arial" w:cs="Arial"/>
                <w:sz w:val="20"/>
                <w:szCs w:val="20"/>
              </w:rPr>
              <w:fldChar w:fldCharType="end"/>
            </w:r>
          </w:p>
        </w:tc>
        <w:tc>
          <w:tcPr>
            <w:tcW w:w="1701" w:type="dxa"/>
          </w:tcPr>
          <w:p w14:paraId="4EE1688A"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3874688D"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64DBAAB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5A30D884"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8</w:t>
            </w:r>
          </w:p>
        </w:tc>
        <w:tc>
          <w:tcPr>
            <w:tcW w:w="1440" w:type="dxa"/>
          </w:tcPr>
          <w:p w14:paraId="1EEF15F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523E7D67" w14:textId="77777777" w:rsidTr="00782237">
        <w:tc>
          <w:tcPr>
            <w:tcW w:w="817" w:type="dxa"/>
          </w:tcPr>
          <w:p w14:paraId="44DCACFC" w14:textId="4803CE7C" w:rsidR="00EE1D03" w:rsidRPr="00EE1D03" w:rsidRDefault="00EE1D03" w:rsidP="00EE1D03">
            <w:pPr>
              <w:rPr>
                <w:rFonts w:ascii="Arial" w:hAnsi="Arial" w:cs="Arial"/>
                <w:sz w:val="20"/>
                <w:szCs w:val="20"/>
              </w:rPr>
            </w:pPr>
            <w:r w:rsidRPr="00EE1D03">
              <w:rPr>
                <w:rFonts w:ascii="Arial" w:eastAsia="Arial" w:hAnsi="Arial" w:cs="Arial"/>
                <w:sz w:val="20"/>
                <w:szCs w:val="20"/>
              </w:rPr>
              <w:t>8</w:t>
            </w:r>
          </w:p>
        </w:tc>
        <w:tc>
          <w:tcPr>
            <w:tcW w:w="1418" w:type="dxa"/>
          </w:tcPr>
          <w:p w14:paraId="60E52140" w14:textId="3CDBC20E"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Paladino et al., 2010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{"citationID":"cgbqrB2B","properties":{"formattedCitation":"[17]","plainCitation":"[17]","noteIndex":0},"citationItems":[{"id":1428,"uris":["http://zotero.org/users/5949282/items/6I9DWTSZ"],"itemData":{"id":1428,"type":"article-journal","abstract":"Objective\nTo test the diagnostic use of the triage white blood cell (WBC) count in differentiating major from minor injuries.\n\nMethods\nWe conducted a retrospective study of a prospectively collected database of trauma patients 13 years of age or older at a Level I trauma center from January 2005 through December 2008. We excluded all patients with obvious life-threatening injuries requiring immediate surgery, isolated head trauma, transferred from another institution or dead on arrival. We recorded age, sex, injury mechanism, vital signs, WBC, base deficit (BD), lactate (LAC) and calculated injury severity scores (ISS). Major injury was defined as either a change in hematocrit &gt;10 points or blood transfused within 24 hours, or ISS &gt;15.\n\nResults\n805 patients were included in the study with an average age of 38.6 years (Range 13–95 yrs) years. 75.3% of patients were male, 45.6% had blunt and 34.4% had penetrating trauma. For vital signs, blood pressure was not significantly different between major and minor injury patients. Major compared to minor injury patients had a statistically but not clinically significant higher heart rate. Major injury patients had significantly (p &lt; 0.0001) higher WBC count (10.53 K/μl, 95% CI: 9.7–11.3) compared to patients with minor injuries (8.92 K/μl, 95% CI: 8.7–9.2), but both were in the normal range. Patients with major compared to minor injury had significantly (p &lt; 0.0001) higher BD (−3.1 versus −0.027 mmol/L) and higher LAC (3.9 versus 2.48 mmol/L). Areas under the curve for WBC count (0.60, 95% CI: 0.54–0.66) are similar to BD (0.69, 95% CI: 0.63–0.74) and LAC (0.66, 95% CI: 0.60–0.71).\n\nConclusion\nWBC count is not a useful addition as a diagnostic indicator of major trauma in our study population.","container-title":"Western Journal of Emergency Medicine","ISSN":"1936-900X","issue":"5","journalAbbreviation":"West J Emerg Med","page":"450-455","PMID":"21293764","PMCID":"PMC3027437","source":"PubMed Central","title":"Leukocytosis as Prognostic Indicator of Major Injury","volume":"11","author":[{"family":"Paladino","given":"Lorenzo"},{"family":"Subramanian","given":"Ramanand A."},{"family":"Bonilla","given":"Elisabeth"},{"family":"Sinert","given":"Richard H."}],"issued":{"date-parts":[["2010",12]]}}}],"schema":"https://github.com/citation-style-language/schema/raw/master/csl-citation.json"}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[17]</w:t>
            </w:r>
            <w:r w:rsidRPr="00EE1D03">
              <w:rPr>
                <w:rFonts w:ascii="Arial" w:eastAsia="Arial" w:hAnsi="Arial" w:cs="Arial"/>
                <w:sz w:val="20"/>
                <w:szCs w:val="20"/>
              </w:rPr>
              <w:fldChar w:fldCharType="end"/>
            </w:r>
          </w:p>
        </w:tc>
        <w:tc>
          <w:tcPr>
            <w:tcW w:w="1701" w:type="dxa"/>
          </w:tcPr>
          <w:p w14:paraId="5B1C5A3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69BE229B"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1</w:t>
            </w:r>
          </w:p>
        </w:tc>
        <w:tc>
          <w:tcPr>
            <w:tcW w:w="1603" w:type="dxa"/>
          </w:tcPr>
          <w:p w14:paraId="3E4295B6"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277" w:type="dxa"/>
          </w:tcPr>
          <w:p w14:paraId="1B76353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6</w:t>
            </w:r>
          </w:p>
        </w:tc>
        <w:tc>
          <w:tcPr>
            <w:tcW w:w="1440" w:type="dxa"/>
          </w:tcPr>
          <w:p w14:paraId="20E37CFB"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Moderate</w:t>
            </w:r>
          </w:p>
        </w:tc>
      </w:tr>
      <w:tr w:rsidR="00EE1D03" w:rsidRPr="00EE1D03" w14:paraId="5EEAFD89" w14:textId="77777777" w:rsidTr="00782237">
        <w:tc>
          <w:tcPr>
            <w:tcW w:w="817" w:type="dxa"/>
          </w:tcPr>
          <w:p w14:paraId="28320120" w14:textId="2B5411E6" w:rsidR="00EE1D03" w:rsidRPr="00EE1D03" w:rsidRDefault="00EE1D03" w:rsidP="00EE1D03">
            <w:pPr>
              <w:rPr>
                <w:rFonts w:ascii="Arial" w:hAnsi="Arial" w:cs="Arial"/>
                <w:sz w:val="20"/>
                <w:szCs w:val="20"/>
              </w:rPr>
            </w:pPr>
            <w:r w:rsidRPr="00EE1D03">
              <w:rPr>
                <w:rFonts w:ascii="Arial" w:eastAsia="Arial" w:hAnsi="Arial" w:cs="Arial"/>
                <w:sz w:val="20"/>
                <w:szCs w:val="20"/>
              </w:rPr>
              <w:t>9</w:t>
            </w:r>
          </w:p>
        </w:tc>
        <w:tc>
          <w:tcPr>
            <w:tcW w:w="1418" w:type="dxa"/>
          </w:tcPr>
          <w:p w14:paraId="2161F7D4" w14:textId="1734D49D" w:rsidR="00EE1D03" w:rsidRPr="00EE1D03" w:rsidRDefault="00EE1D03" w:rsidP="00EE1D03">
            <w:pPr>
              <w:rPr>
                <w:rFonts w:ascii="Arial" w:hAnsi="Arial" w:cs="Arial"/>
                <w:sz w:val="20"/>
                <w:szCs w:val="20"/>
              </w:rPr>
            </w:pPr>
            <w:r w:rsidRPr="00EE1D03">
              <w:rPr>
                <w:rFonts w:ascii="Arial" w:eastAsia="Arial" w:hAnsi="Arial" w:cs="Arial"/>
                <w:sz w:val="20"/>
                <w:szCs w:val="20"/>
              </w:rPr>
              <w:t xml:space="preserve">Santucci et al., 2008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{"citationID":"hpJErhZw","properties":{"formattedCitation":"[19]","plainCitation":"[19]","noteIndex":0},"citationItems":[{"id":1465,"uris":["http://zotero.org/users/5949282/items/ZX24QMGF"],"itemData":{"id":1465,"type":"article-journal","abstract":"Objective\nThe objective of this study was to determine if the white blood cell count can predict severity of injury in blunt trauma victims.\n\nMethods\nThis was a retrospective study comparing two groups of blunt trauma victims by severity of injury, one with significant injury and one without significant injury, and comparing their initial WBC in the emergency department (ED). We also examined if WBC correlates with degree of injury using Injury Severity Score (ISS) in both groups combined. Further, we examined the WBC as a predictor of serious injury.\n\nResults\nOur study showed a difference in mean WBC between the two groups that was statistically significant (p&lt;0.001). A positive relationship between ISS and WBC was found, although the association was weak (correlation coefficient = 0.369). While the WBC had moderate discriminatory capability for serious injury, it could not, in isolation, reliably rule in or out serious injury. Nevertheless, this study supports using WBC on presentation to the ED as an adjunct for making disposition decisions.\n\nConclusion\nA significant elevation in WBC in a blunt trauma patient, even with minimal initial signs of severe injury, should heighten suspicion for occult injury.","container-title":"Western Journal of Emergency Medicine","ISSN":"1936-900X","issue":"2","journalAbbreviation":"West J Emerg Med","page":"81-85","PMID":"19561712","PMCID":"PMC2672249","source":"PubMed Central","title":"Leukocytosis as a Predictor of Severe Injury in Blunt Trauma","volume":"9","author":[{"family":"Santucci","given":"Claudia A."},{"family":"Purcell","given":"Thomas B."},{"family":"Mejia","given":"Carlo"}],"issued":{"date-parts":[["2008",5]]}}}],"schema":"https://github.com/citation-style-language/schema/raw/master/csl-citation.json"}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[19]</w:t>
            </w:r>
            <w:r w:rsidRPr="00EE1D03">
              <w:rPr>
                <w:rFonts w:ascii="Arial" w:eastAsia="Arial" w:hAnsi="Arial" w:cs="Arial"/>
                <w:sz w:val="20"/>
                <w:szCs w:val="20"/>
              </w:rPr>
              <w:fldChar w:fldCharType="end"/>
            </w:r>
          </w:p>
        </w:tc>
        <w:tc>
          <w:tcPr>
            <w:tcW w:w="1701" w:type="dxa"/>
          </w:tcPr>
          <w:p w14:paraId="207DD4CA"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1658FB83"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1</w:t>
            </w:r>
          </w:p>
        </w:tc>
        <w:tc>
          <w:tcPr>
            <w:tcW w:w="1603" w:type="dxa"/>
          </w:tcPr>
          <w:p w14:paraId="6EB597EB"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277" w:type="dxa"/>
          </w:tcPr>
          <w:p w14:paraId="47920F93"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6</w:t>
            </w:r>
          </w:p>
        </w:tc>
        <w:tc>
          <w:tcPr>
            <w:tcW w:w="1440" w:type="dxa"/>
          </w:tcPr>
          <w:p w14:paraId="496C685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Moderate</w:t>
            </w:r>
          </w:p>
        </w:tc>
      </w:tr>
      <w:tr w:rsidR="00EE1D03" w:rsidRPr="00EE1D03" w14:paraId="4F0EA13C" w14:textId="77777777" w:rsidTr="00782237">
        <w:tc>
          <w:tcPr>
            <w:tcW w:w="817" w:type="dxa"/>
          </w:tcPr>
          <w:p w14:paraId="66549AD5" w14:textId="429F1FDE" w:rsidR="00EE1D03" w:rsidRPr="00EE1D03" w:rsidRDefault="00EE1D03" w:rsidP="00EE1D03">
            <w:pPr>
              <w:rPr>
                <w:rFonts w:ascii="Arial" w:hAnsi="Arial" w:cs="Arial"/>
                <w:sz w:val="20"/>
                <w:szCs w:val="20"/>
              </w:rPr>
            </w:pPr>
            <w:r w:rsidRPr="00EE1D03">
              <w:rPr>
                <w:rFonts w:ascii="Arial" w:eastAsia="Arial" w:hAnsi="Arial" w:cs="Arial"/>
                <w:sz w:val="20"/>
                <w:szCs w:val="20"/>
              </w:rPr>
              <w:t>10</w:t>
            </w:r>
          </w:p>
        </w:tc>
        <w:tc>
          <w:tcPr>
            <w:tcW w:w="1418" w:type="dxa"/>
          </w:tcPr>
          <w:p w14:paraId="56C4C321" w14:textId="1A789DB2" w:rsidR="00EE1D03" w:rsidRPr="00EE1D03" w:rsidRDefault="00EE1D03" w:rsidP="00EE1D03">
            <w:pPr>
              <w:rPr>
                <w:rFonts w:ascii="Arial" w:hAnsi="Arial" w:cs="Arial"/>
                <w:sz w:val="20"/>
                <w:szCs w:val="20"/>
              </w:rPr>
            </w:pPr>
            <w:proofErr w:type="spellStart"/>
            <w:r w:rsidRPr="00EE1D03">
              <w:rPr>
                <w:rFonts w:ascii="Arial" w:eastAsia="Arial" w:hAnsi="Arial" w:cs="Arial"/>
                <w:sz w:val="20"/>
                <w:szCs w:val="20"/>
              </w:rPr>
              <w:t>Schnüriger</w:t>
            </w:r>
            <w:proofErr w:type="spellEnd"/>
            <w:r w:rsidRPr="00EE1D03">
              <w:rPr>
                <w:rFonts w:ascii="Arial" w:eastAsia="Arial" w:hAnsi="Arial" w:cs="Arial"/>
                <w:sz w:val="20"/>
                <w:szCs w:val="20"/>
              </w:rPr>
              <w:t xml:space="preserve"> et al., 2010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{"citationID":"Ji5o08a4","properties":{"formattedCitation":"[14]","plainCitation":"[14]","noteIndex":0},"citationItems":[{"id":1468,"uris":["http://zotero.org/users/5949282/items/STHSY82V"],"itemData":{"id":1468,"type":"article-journal","abstract":"Background: \n          The significance of serial white blood cell (WBC) counts in trauma patients with a suspected hollow viscus injury (HVI) is unknown. The purpose of this study was to examine the role of serial WBC counts in the diagnosis of a HVI.\n          Methods: \n          After institutional review board approval, all injured patients admitted to a Level I trauma center from January 2003 to December 2007 with at least one WBC measurement were included in a retrospective analysis. The WBC profiles for patients with a HVI were compared against those without HVI. All WBC counts are reported as [×103/μL].\n          Results: \n          The mean WBC count of the overall study population (n = 5,950) on admission was 11.6 ± 5.3. Overall, 59.2% had an elevated WBC count on admission. A significant relationship between increasing Injury Severity Score and increasing WBC count on admission was found by linear regression. When comparing patients with HVI (n = 267) with patients without HVI (n = 5,683), no significant difference was found for admission WBC count. The highest WBC count within the first 24 hours for patients with HVI was 16.7 ± 4.7. This was significantly higher than that for the 4,520 patients without any intraabdominal injury (13.0 ± 5.2, adjusted p &lt; 0.001). Penetrating injury, a concomitant severe thoracic trauma (chest Abbreviated Injury Scale value ≥3), and highest WBC count ≥20.0 in the first 24 hours were independent risk factors for HVI. A maximal WBC count ≤12.5 in the first 24 hours was independently associated with a lower incidence of HVI. The area under the receiver operating characteristic curve for the highest WBC count in the first 24 hours for predicting HVI was 0.723 (95% CI: 0.656–0.790).\n          Conclusion: \n          Multiple variables likely impact the WBC count in trauma patients. WBC count elevation on admission is nonspecific and does not predict the presence of a HVI. With serial measurements, WBC counts ≥20.0 are independently associated with a HVI, whereas counts ≤12.5 rule against the presence of HVI. However, the sensitivity of these cutoff values to predict a HVI is poor. The diagnostic value of serial WBC counts for predicting a HVI within the first 24 hours after trauma is very limited.","container-title":"Journal of Trauma and Acute Care Surgery","DOI":"10.1097/TA.0b013e3181bdcfaf","ISSN":"2163-0755","issue":"2","language":"en-US","page":"302","source":"journals.lww.com","title":"Serial White Blood Cell Counts in Trauma: Do They Predict a Hollow Viscus Injury?","title-short":"Serial White Blood Cell Counts in Trauma","volume":"69","author":[{"family":"Schnüriger","given":"Beat"},{"family":"Inaba","given":"Kenji"},{"family":"Barmparas","given":"Galinos"},{"family":"Eberle","given":"Barbara M."},{"family":"Lustenberger","given":"Thomas"},{"family":"Lam","given":"Lydia"},{"family":"Talving","given":"Peep"},{"family":"Demetriades","given":"Demetrios"}],"issued":{"date-parts":[["2010",8]]}}}],"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[14]</w:t>
            </w:r>
            <w:r w:rsidRPr="00EE1D03">
              <w:rPr>
                <w:rFonts w:ascii="Arial" w:eastAsia="Arial" w:hAnsi="Arial" w:cs="Arial"/>
                <w:sz w:val="20"/>
                <w:szCs w:val="20"/>
              </w:rPr>
              <w:fldChar w:fldCharType="end"/>
            </w:r>
          </w:p>
        </w:tc>
        <w:tc>
          <w:tcPr>
            <w:tcW w:w="1701" w:type="dxa"/>
          </w:tcPr>
          <w:p w14:paraId="32194727"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0ECB7E36"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2FB58555"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61C8CBB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8</w:t>
            </w:r>
          </w:p>
        </w:tc>
        <w:tc>
          <w:tcPr>
            <w:tcW w:w="1440" w:type="dxa"/>
          </w:tcPr>
          <w:p w14:paraId="6F3B3FE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05ACBFE0" w14:textId="77777777" w:rsidTr="00782237">
        <w:tc>
          <w:tcPr>
            <w:tcW w:w="817" w:type="dxa"/>
          </w:tcPr>
          <w:p w14:paraId="7A108474" w14:textId="3DF5C0C5" w:rsidR="00EE1D03" w:rsidRPr="00EE1D03" w:rsidRDefault="00EE1D03" w:rsidP="00EE1D03">
            <w:pPr>
              <w:rPr>
                <w:rFonts w:ascii="Arial" w:hAnsi="Arial" w:cs="Arial"/>
                <w:sz w:val="20"/>
                <w:szCs w:val="20"/>
              </w:rPr>
            </w:pPr>
            <w:r w:rsidRPr="00EE1D03">
              <w:rPr>
                <w:rFonts w:ascii="Arial" w:eastAsia="Arial" w:hAnsi="Arial" w:cs="Arial"/>
                <w:sz w:val="20"/>
                <w:szCs w:val="20"/>
              </w:rPr>
              <w:t>11</w:t>
            </w:r>
          </w:p>
        </w:tc>
        <w:tc>
          <w:tcPr>
            <w:tcW w:w="1418" w:type="dxa"/>
          </w:tcPr>
          <w:p w14:paraId="66B65FEF" w14:textId="7F337E24" w:rsidR="00EE1D03" w:rsidRPr="00EE1D03" w:rsidRDefault="00EE1D03" w:rsidP="00EE1D03">
            <w:pPr>
              <w:rPr>
                <w:rFonts w:ascii="Arial" w:hAnsi="Arial" w:cs="Arial"/>
                <w:sz w:val="20"/>
                <w:szCs w:val="20"/>
              </w:rPr>
            </w:pPr>
            <w:proofErr w:type="spellStart"/>
            <w:r w:rsidRPr="00EE1D03">
              <w:rPr>
                <w:rFonts w:ascii="Arial" w:eastAsia="Arial" w:hAnsi="Arial" w:cs="Arial"/>
                <w:sz w:val="20"/>
                <w:szCs w:val="20"/>
              </w:rPr>
              <w:t>Teuben</w:t>
            </w:r>
            <w:proofErr w:type="spellEnd"/>
            <w:r w:rsidRPr="00EE1D03">
              <w:rPr>
                <w:rFonts w:ascii="Arial" w:eastAsia="Arial" w:hAnsi="Arial" w:cs="Arial"/>
                <w:sz w:val="20"/>
                <w:szCs w:val="20"/>
              </w:rPr>
              <w:t xml:space="preserve"> et al., 2021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{"citationID":"jQzXTBZT","properties":{"formattedCitation":"[16]","plainCitation":"[16]","noteIndex":0},"citationItems":[{"id":1485,"uris":["http://zotero.org/users/5949282/items/P6NUFP27"],"itemData":{"id":1485,"type":"article-journal","abstract":"Inadequate activation of the innate immune system after trauma can lead to severe complications such as Acute Respiratory Distress Syndrome and Multiple Organ Dysfunction Syndrome. The spleen is thought to modulate the cellular immune system. Furthermore, splenectomy is associated with improved outcome in severely injured trauma patients. We hypothesized that a splenectomy alters the cellular immune response in polytrauma.","container-title":"European Journal of Medical Research","DOI":"10.1186/s40001-021-00497-8","ISSN":"2047-783X","issue":"1","journalAbbreviation":"European Journal of Medical Research","page":"26","source":"BioMed Central","title":"Splenectomy is associated with altered leukocyte kinetics after severe trauma","volume":"26","author":[{"family":"Teuben","given":"Michel Paul Johan"},{"family":"Hollman","given":"Arne"},{"family":"Blokhuis","given":"Taco"},{"family":"Pfeifer","given":"Roman"},{"family":"Spijkerman","given":"Roy"},{"family":"Teuber","given":"Henrik"},{"family":"Pape","given":"Hans-Christoph"},{"family":"Leenen","given":"Luke Petrus Hendrikus"}],"issued":{"date-parts":[["2021",3,15]]}}}],"schema":"https://github.com/citation-style-language/schema/raw/master/csl-citation.json"}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[16]</w:t>
            </w:r>
            <w:r w:rsidRPr="00EE1D03">
              <w:rPr>
                <w:rFonts w:ascii="Arial" w:eastAsia="Arial" w:hAnsi="Arial" w:cs="Arial"/>
                <w:sz w:val="20"/>
                <w:szCs w:val="20"/>
              </w:rPr>
              <w:fldChar w:fldCharType="end"/>
            </w:r>
          </w:p>
        </w:tc>
        <w:tc>
          <w:tcPr>
            <w:tcW w:w="1701" w:type="dxa"/>
          </w:tcPr>
          <w:p w14:paraId="2E9CBFC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940" w:type="dxa"/>
          </w:tcPr>
          <w:p w14:paraId="4E76453B"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2A4ABFA7"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10A72DA2"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8</w:t>
            </w:r>
          </w:p>
        </w:tc>
        <w:tc>
          <w:tcPr>
            <w:tcW w:w="1440" w:type="dxa"/>
          </w:tcPr>
          <w:p w14:paraId="788E49A9"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r w:rsidR="00EE1D03" w:rsidRPr="00EE1D03" w14:paraId="2E57E05C" w14:textId="77777777" w:rsidTr="00782237">
        <w:tc>
          <w:tcPr>
            <w:tcW w:w="817" w:type="dxa"/>
          </w:tcPr>
          <w:p w14:paraId="5F9D21D7" w14:textId="19C459A5" w:rsidR="00EE1D03" w:rsidRPr="00EE1D03" w:rsidRDefault="00EE1D03" w:rsidP="00EE1D03">
            <w:pPr>
              <w:rPr>
                <w:rFonts w:ascii="Arial" w:hAnsi="Arial" w:cs="Arial"/>
                <w:sz w:val="20"/>
                <w:szCs w:val="20"/>
              </w:rPr>
            </w:pPr>
            <w:r w:rsidRPr="00EE1D03">
              <w:rPr>
                <w:rFonts w:ascii="Arial" w:eastAsia="Arial" w:hAnsi="Arial" w:cs="Arial"/>
                <w:sz w:val="20"/>
                <w:szCs w:val="20"/>
              </w:rPr>
              <w:t>12</w:t>
            </w:r>
          </w:p>
        </w:tc>
        <w:tc>
          <w:tcPr>
            <w:tcW w:w="1418" w:type="dxa"/>
          </w:tcPr>
          <w:p w14:paraId="2A282F2A" w14:textId="0853CE1F" w:rsidR="00EE1D03" w:rsidRPr="00EE1D03" w:rsidRDefault="00EE1D03" w:rsidP="00EE1D03">
            <w:pPr>
              <w:rPr>
                <w:rFonts w:ascii="Arial" w:hAnsi="Arial" w:cs="Arial"/>
                <w:sz w:val="20"/>
                <w:szCs w:val="20"/>
              </w:rPr>
            </w:pPr>
            <w:proofErr w:type="spellStart"/>
            <w:r w:rsidRPr="00EE1D03">
              <w:rPr>
                <w:rFonts w:ascii="Arial" w:eastAsia="Arial" w:hAnsi="Arial" w:cs="Arial"/>
                <w:sz w:val="20"/>
                <w:szCs w:val="20"/>
              </w:rPr>
              <w:t>Teuben</w:t>
            </w:r>
            <w:proofErr w:type="spellEnd"/>
            <w:r w:rsidRPr="00EE1D03">
              <w:rPr>
                <w:rFonts w:ascii="Arial" w:eastAsia="Arial" w:hAnsi="Arial" w:cs="Arial"/>
                <w:sz w:val="20"/>
                <w:szCs w:val="20"/>
              </w:rPr>
              <w:t xml:space="preserve"> et al., 2025 </w:t>
            </w:r>
            <w:r w:rsidRPr="00EE1D03">
              <w:rPr>
                <w:rFonts w:ascii="Arial" w:eastAsia="Arial" w:hAnsi="Arial" w:cs="Arial"/>
                <w:sz w:val="20"/>
                <w:szCs w:val="20"/>
              </w:rPr>
              <w:fldChar w:fldCharType="begin"/>
            </w:r>
            <w:r w:rsidRPr="00EE1D03">
              <w:rPr>
                <w:rFonts w:ascii="Arial" w:eastAsia="Arial" w:hAnsi="Arial" w:cs="Arial"/>
                <w:sz w:val="20"/>
                <w:szCs w:val="20"/>
              </w:rPr>
              <w:instrText xml:space="preserve"> ADDIN ZOTERO_ITEM CSL_CITATION {"citationID":"MzlH1jWO","properties":{"formattedCitation":"[15]","plainCitation":"[15]","noteIndex":0},"citationItems":[{"id":1470,"uris":["http://zotero.org/users/5949282/items/3XY654LU"],"itemData":{"id":1470,"type":"article-journal","abstract":"Predicting the likelihood of developing sepsis following severe trauma remains a challenge. As the incidence of sepsis is associated with early post-traumatic episodes of both leukopenia and leukocytosis, various static markers have been trailed in order to help identify and risk stratify patients, nevertheless these have not proven reliable. The goal of this study was to develop and test a novel dynamic immune parameter that could help predict the risk of developing sepsis, the 24-hour leukocyte gap (24 h-LCG), defined as the difference between blood leukocyte numbers on admission and after 24 h.","container-title":"Langenbeck's Archives of Surgery","DOI":"10.1007/s00423-025-03728-2","ISSN":"1435-2451","issue":"1","journalAbbreviation":"Langenbecks Arch Surg","language":"en","page":"176","source":"Springer Link","title":"The 24-Hour Leukocyte Gap as a novel predictor for sepsis in adult severe blunt trauma","volume":"410","author":[{"family":"Teuben","given":"Michel Paul Johan"},{"family":"Shehu","given":"Alba"},{"family":"Mikova","given":"Ester"},{"family":"Groven","given":"Rald"},{"family":"Huebner","given":"Christian"},{"family":"Klingebiel","given":"Felix Karl-Ludwig"},{"family":"Pfeifer","given":"Roman"},{"family":"Pape","given":"Hans-Christoph"}],"issued":{"date-parts":[["2025",6,5]]}}}],"schema":"https://github.com/citation-style-language/schema/raw/master/csl-citation.json"} </w:instrText>
            </w:r>
            <w:r w:rsidRPr="00EE1D03">
              <w:rPr>
                <w:rFonts w:ascii="Arial" w:eastAsia="Arial" w:hAnsi="Arial" w:cs="Arial"/>
                <w:sz w:val="20"/>
                <w:szCs w:val="20"/>
              </w:rPr>
              <w:fldChar w:fldCharType="separate"/>
            </w:r>
            <w:r w:rsidRPr="00EE1D03">
              <w:rPr>
                <w:rFonts w:ascii="Arial" w:eastAsia="Arial" w:hAnsi="Arial" w:cs="Arial"/>
                <w:noProof/>
                <w:sz w:val="20"/>
                <w:szCs w:val="20"/>
              </w:rPr>
              <w:t>[15]</w:t>
            </w:r>
            <w:r w:rsidRPr="00EE1D03">
              <w:rPr>
                <w:rFonts w:ascii="Arial" w:eastAsia="Arial" w:hAnsi="Arial" w:cs="Arial"/>
                <w:sz w:val="20"/>
                <w:szCs w:val="20"/>
              </w:rPr>
              <w:fldChar w:fldCharType="end"/>
            </w:r>
          </w:p>
        </w:tc>
        <w:tc>
          <w:tcPr>
            <w:tcW w:w="1701" w:type="dxa"/>
          </w:tcPr>
          <w:p w14:paraId="56D8F1F4"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4</w:t>
            </w:r>
          </w:p>
        </w:tc>
        <w:tc>
          <w:tcPr>
            <w:tcW w:w="1940" w:type="dxa"/>
          </w:tcPr>
          <w:p w14:paraId="5BC70591"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2</w:t>
            </w:r>
          </w:p>
        </w:tc>
        <w:tc>
          <w:tcPr>
            <w:tcW w:w="1603" w:type="dxa"/>
          </w:tcPr>
          <w:p w14:paraId="7D2D630A"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3</w:t>
            </w:r>
          </w:p>
        </w:tc>
        <w:tc>
          <w:tcPr>
            <w:tcW w:w="1277" w:type="dxa"/>
          </w:tcPr>
          <w:p w14:paraId="513D6EE4"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9</w:t>
            </w:r>
          </w:p>
        </w:tc>
        <w:tc>
          <w:tcPr>
            <w:tcW w:w="1440" w:type="dxa"/>
          </w:tcPr>
          <w:p w14:paraId="3CD40F33" w14:textId="77777777" w:rsidR="00EE1D03" w:rsidRPr="00EE1D03" w:rsidRDefault="00EE1D03" w:rsidP="00EE1D03">
            <w:pPr>
              <w:rPr>
                <w:rFonts w:ascii="Arial" w:eastAsia="Arial" w:hAnsi="Arial" w:cs="Arial"/>
                <w:sz w:val="20"/>
                <w:szCs w:val="20"/>
              </w:rPr>
            </w:pPr>
            <w:r w:rsidRPr="00EE1D03">
              <w:rPr>
                <w:rFonts w:ascii="Arial" w:eastAsia="Arial" w:hAnsi="Arial" w:cs="Arial"/>
                <w:sz w:val="20"/>
                <w:szCs w:val="20"/>
              </w:rPr>
              <w:t>High</w:t>
            </w:r>
          </w:p>
        </w:tc>
      </w:tr>
    </w:tbl>
    <w:p w14:paraId="7C46F22D" w14:textId="77777777" w:rsidR="00442AFA" w:rsidRPr="00EE1D03" w:rsidRDefault="006951A8" w:rsidP="00782237">
      <w:pPr>
        <w:ind w:left="-567"/>
        <w:rPr>
          <w:rFonts w:ascii="Arial" w:hAnsi="Arial" w:cs="Arial"/>
        </w:rPr>
      </w:pPr>
      <w:r w:rsidRPr="00EE1D03">
        <w:rPr>
          <w:rFonts w:ascii="Arial" w:hAnsi="Arial" w:cs="Arial"/>
        </w:rPr>
        <w:t>Studies were categorized as high (7–9), moderate (5–6), or low (&lt;5) quality.</w:t>
      </w:r>
    </w:p>
    <w:sectPr w:rsidR="00442AFA" w:rsidRPr="00EE1D03"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8706C" w14:textId="77777777" w:rsidR="00256B12" w:rsidRDefault="00256B12" w:rsidP="00EE1D03">
      <w:pPr>
        <w:spacing w:after="0" w:line="240" w:lineRule="auto"/>
      </w:pPr>
      <w:r>
        <w:separator/>
      </w:r>
    </w:p>
  </w:endnote>
  <w:endnote w:type="continuationSeparator" w:id="0">
    <w:p w14:paraId="445C8BBC" w14:textId="77777777" w:rsidR="00256B12" w:rsidRDefault="00256B12" w:rsidP="00EE1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AFAA" w14:textId="77777777" w:rsidR="00256B12" w:rsidRDefault="00256B12" w:rsidP="00EE1D03">
      <w:pPr>
        <w:spacing w:after="0" w:line="240" w:lineRule="auto"/>
      </w:pPr>
      <w:r>
        <w:separator/>
      </w:r>
    </w:p>
  </w:footnote>
  <w:footnote w:type="continuationSeparator" w:id="0">
    <w:p w14:paraId="380D5CE3" w14:textId="77777777" w:rsidR="00256B12" w:rsidRDefault="00256B12" w:rsidP="00EE1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0591924">
    <w:abstractNumId w:val="8"/>
  </w:num>
  <w:num w:numId="2" w16cid:durableId="572816710">
    <w:abstractNumId w:val="6"/>
  </w:num>
  <w:num w:numId="3" w16cid:durableId="1378777735">
    <w:abstractNumId w:val="5"/>
  </w:num>
  <w:num w:numId="4" w16cid:durableId="902790413">
    <w:abstractNumId w:val="4"/>
  </w:num>
  <w:num w:numId="5" w16cid:durableId="885946451">
    <w:abstractNumId w:val="7"/>
  </w:num>
  <w:num w:numId="6" w16cid:durableId="484669564">
    <w:abstractNumId w:val="3"/>
  </w:num>
  <w:num w:numId="7" w16cid:durableId="1664820278">
    <w:abstractNumId w:val="2"/>
  </w:num>
  <w:num w:numId="8" w16cid:durableId="1819760549">
    <w:abstractNumId w:val="1"/>
  </w:num>
  <w:num w:numId="9" w16cid:durableId="192252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B12"/>
    <w:rsid w:val="0029639D"/>
    <w:rsid w:val="00326F90"/>
    <w:rsid w:val="00442AFA"/>
    <w:rsid w:val="006951A8"/>
    <w:rsid w:val="00705BF1"/>
    <w:rsid w:val="00782237"/>
    <w:rsid w:val="00AA1D8D"/>
    <w:rsid w:val="00B47730"/>
    <w:rsid w:val="00CB0664"/>
    <w:rsid w:val="00EE1D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3E1D45"/>
  <w14:defaultImageDpi w14:val="300"/>
  <w15:docId w15:val="{43A07179-5291-E64E-B9D3-B705586C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4160</Words>
  <Characters>26215</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Hübner Christian Thomas</cp:lastModifiedBy>
  <cp:revision>3</cp:revision>
  <dcterms:created xsi:type="dcterms:W3CDTF">2026-03-18T16:34:00Z</dcterms:created>
  <dcterms:modified xsi:type="dcterms:W3CDTF">2026-03-18T16:36:00Z</dcterms:modified>
  <cp:category/>
</cp:coreProperties>
</file>