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30"/>
          <w:szCs w:val="30"/>
        </w:rPr>
        <w:t>Supplementary material</w:t>
      </w:r>
    </w:p>
    <w:p>
      <w:pPr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Table 1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6"/>
          <w:szCs w:val="26"/>
        </w:rPr>
        <w:t>The NIPT results of SCA between AMA and non-AMA groups.</w:t>
      </w:r>
    </w:p>
    <w:p/>
    <w:tbl>
      <w:tblPr>
        <w:tblStyle w:val="3"/>
        <w:tblpPr w:leftFromText="180" w:rightFromText="180" w:vertAnchor="page" w:horzAnchor="page" w:tblpX="1362" w:tblpY="3184"/>
        <w:tblW w:w="9294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276"/>
        <w:gridCol w:w="2126"/>
        <w:gridCol w:w="2552"/>
        <w:gridCol w:w="1417"/>
      </w:tblGrid>
      <w:tr>
        <w:trPr>
          <w:cantSplit/>
          <w:trHeight w:val="907" w:hRule="atLeast"/>
        </w:trPr>
        <w:tc>
          <w:tcPr>
            <w:tcW w:w="1923" w:type="dxa"/>
            <w:tcBorders>
              <w:bottom w:val="single" w:color="000000" w:sz="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bottom w:val="single" w:color="000000" w:sz="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SCA</w:t>
            </w:r>
          </w:p>
        </w:tc>
        <w:tc>
          <w:tcPr>
            <w:tcW w:w="2126" w:type="dxa"/>
            <w:tcBorders>
              <w:bottom w:val="single" w:color="000000" w:sz="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Non-SCA</w:t>
            </w:r>
          </w:p>
        </w:tc>
        <w:tc>
          <w:tcPr>
            <w:tcW w:w="2552" w:type="dxa"/>
            <w:tcBorders>
              <w:bottom w:val="single" w:color="000000" w:sz="2" w:space="0"/>
            </w:tcBorders>
            <w:vAlign w:val="center"/>
          </w:tcPr>
          <w:p>
            <w:pPr>
              <w:pStyle w:val="5"/>
              <w:widowControl w:val="0"/>
              <w:spacing w:line="240" w:lineRule="exact"/>
              <w:ind w:firstLine="980" w:firstLineChars="35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Total</w:t>
            </w:r>
          </w:p>
          <w:p>
            <w:pPr>
              <w:pStyle w:val="5"/>
              <w:widowControl w:val="0"/>
              <w:spacing w:line="240" w:lineRule="exact"/>
              <w:ind w:firstLine="1120" w:firstLineChars="40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(N)</w:t>
            </w:r>
          </w:p>
        </w:tc>
        <w:tc>
          <w:tcPr>
            <w:tcW w:w="1417" w:type="dxa"/>
            <w:tcBorders>
              <w:bottom w:val="single" w:color="000000" w:sz="2" w:space="0"/>
            </w:tcBorders>
            <w:vAlign w:val="center"/>
          </w:tcPr>
          <w:p>
            <w:pPr>
              <w:pStyle w:val="5"/>
              <w:widowControl w:val="0"/>
              <w:spacing w:line="2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Frequency</w:t>
            </w:r>
          </w:p>
          <w:p>
            <w:pPr>
              <w:pStyle w:val="5"/>
              <w:widowControl w:val="0"/>
              <w:spacing w:line="240" w:lineRule="exact"/>
              <w:ind w:firstLine="280" w:firstLineChars="10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2" w:space="0"/>
            <w:insideV w:val="none" w:color="auto" w:sz="0" w:space="0"/>
          </w:tblBorders>
        </w:tblPrEx>
        <w:trPr>
          <w:cantSplit/>
          <w:trHeight w:val="980" w:hRule="atLeast"/>
        </w:trPr>
        <w:tc>
          <w:tcPr>
            <w:tcW w:w="1923" w:type="dxa"/>
            <w:tcBorders>
              <w:top w:val="single" w:color="000000" w:sz="2" w:space="0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AMA</w:t>
            </w:r>
          </w:p>
        </w:tc>
        <w:tc>
          <w:tcPr>
            <w:tcW w:w="1276" w:type="dxa"/>
            <w:tcBorders>
              <w:top w:val="single" w:color="000000" w:sz="2" w:space="0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32</w:t>
            </w:r>
          </w:p>
        </w:tc>
        <w:tc>
          <w:tcPr>
            <w:tcW w:w="2126" w:type="dxa"/>
            <w:tcBorders>
              <w:top w:val="single" w:color="000000" w:sz="2" w:space="0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16840</w:t>
            </w:r>
          </w:p>
        </w:tc>
        <w:tc>
          <w:tcPr>
            <w:tcW w:w="2552" w:type="dxa"/>
            <w:tcBorders>
              <w:top w:val="single" w:color="000000" w:sz="2" w:space="0"/>
              <w:bottom w:val="nil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16872</w:t>
            </w:r>
          </w:p>
        </w:tc>
        <w:tc>
          <w:tcPr>
            <w:tcW w:w="1417" w:type="dxa"/>
            <w:tcBorders>
              <w:top w:val="single" w:color="000000" w:sz="2" w:space="0"/>
              <w:bottom w:val="nil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1.90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2" w:space="0"/>
            <w:insideV w:val="none" w:color="auto" w:sz="0" w:space="0"/>
          </w:tblBorders>
        </w:tblPrEx>
        <w:trPr>
          <w:cantSplit/>
          <w:trHeight w:val="1051" w:hRule="atLeast"/>
        </w:trPr>
        <w:tc>
          <w:tcPr>
            <w:tcW w:w="1923" w:type="dxa"/>
            <w:tcBorders>
              <w:top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396875</wp:posOffset>
                      </wp:positionV>
                      <wp:extent cx="5911850" cy="2540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11850" cy="254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5pt;margin-top:31.25pt;height:2pt;width:465.5pt;z-index:251672576;mso-width-relative:page;mso-height-relative:page;" filled="f" stroked="t" coordsize="21600,21600" o:gfxdata="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BYAAABkcnMvUEsBAhQAFAAAAAgAh07iQECAXVnaAAAACQEAAA8A&#10;AAAAAAAAAQAgAAAAOAAAAGRycy9kb3ducmV2LnhtbFBLAQIUABQAAAAIAIdO4kAb2+3txgEAAFoD&#10;AAAOAAAAAAAAAAEAIAAAAD8BAABkcnMvZTJvRG9jLnhtbFBLBQYAAAAABgAGAFkBAAB3BQAAAAA=&#10;">
                      <v:fill on="f" focussize="0,0"/>
                      <v:stroke weight="0.5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Non-AMA</w:t>
            </w:r>
          </w:p>
          <w:p>
            <w:pPr>
              <w:pStyle w:val="6"/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26  </w:t>
            </w:r>
          </w:p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28704</w:t>
            </w:r>
          </w:p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45544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FFFFFF"/>
          </w:tcPr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28730</w:t>
            </w:r>
          </w:p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45602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/>
          </w:tcPr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0.90</w:t>
            </w:r>
          </w:p>
          <w:p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1.27</w:t>
            </w:r>
          </w:p>
        </w:tc>
      </w:tr>
    </w:tbl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>Supplementary Table 2</w:t>
      </w:r>
      <w:r>
        <w:rPr>
          <w:rFonts w:hint="default" w:ascii="Times New Roman" w:hAnsi="Times New Roman" w:cs="Times New Roman"/>
          <w:sz w:val="26"/>
          <w:szCs w:val="26"/>
        </w:rPr>
        <w:t>. Maternal age of total and unverified pregnant women who underwent NIPT.</w:t>
      </w:r>
    </w:p>
    <w:p>
      <w:pPr>
        <w:rPr>
          <w:rFonts w:ascii="Arial" w:hAnsi="Arial" w:cs="Arial"/>
          <w:sz w:val="24"/>
          <w:szCs w:val="24"/>
        </w:rPr>
      </w:pPr>
    </w:p>
    <w:tbl>
      <w:tblPr>
        <w:tblStyle w:val="3"/>
        <w:tblW w:w="92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2"/>
        <w:gridCol w:w="3083"/>
      </w:tblGrid>
      <w:tr>
        <w:trPr>
          <w:cantSplit/>
          <w:trHeight w:val="742" w:hRule="atLeast"/>
          <w:jc w:val="center"/>
        </w:trPr>
        <w:tc>
          <w:tcPr>
            <w:tcW w:w="6212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Total maternal age (years)</w:t>
            </w:r>
          </w:p>
        </w:tc>
        <w:tc>
          <w:tcPr>
            <w:tcW w:w="3083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Cases </w:t>
            </w:r>
          </w:p>
        </w:tc>
      </w:tr>
      <w:tr>
        <w:trPr>
          <w:cantSplit/>
          <w:trHeight w:val="537" w:hRule="atLeast"/>
          <w:jc w:val="center"/>
        </w:trPr>
        <w:tc>
          <w:tcPr>
            <w:tcW w:w="62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&lt;30</w:t>
            </w:r>
          </w:p>
        </w:tc>
        <w:tc>
          <w:tcPr>
            <w:tcW w:w="30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17449</w:t>
            </w:r>
          </w:p>
        </w:tc>
      </w:tr>
      <w:tr>
        <w:trPr>
          <w:cantSplit/>
          <w:trHeight w:val="537" w:hRule="atLeast"/>
          <w:jc w:val="center"/>
        </w:trPr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30≤year≤34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11403 </w:t>
            </w:r>
          </w:p>
        </w:tc>
      </w:tr>
      <w:tr>
        <w:trPr>
          <w:cantSplit/>
          <w:trHeight w:val="537" w:hRule="atLeast"/>
          <w:jc w:val="center"/>
        </w:trPr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35≤year≤39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14353 </w:t>
            </w:r>
          </w:p>
        </w:tc>
      </w:tr>
      <w:tr>
        <w:trPr>
          <w:cantSplit/>
          <w:trHeight w:val="537" w:hRule="atLeast"/>
          <w:jc w:val="center"/>
        </w:trPr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&gt;39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2568 </w:t>
            </w:r>
          </w:p>
        </w:tc>
      </w:tr>
      <w:tr>
        <w:trPr>
          <w:cantSplit/>
          <w:trHeight w:val="537" w:hRule="atLeast"/>
          <w:jc w:val="center"/>
        </w:trPr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Unverified maternal age (years)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rPr>
          <w:cantSplit/>
          <w:trHeight w:val="537" w:hRule="atLeast"/>
          <w:jc w:val="center"/>
        </w:trPr>
        <w:tc>
          <w:tcPr>
            <w:tcW w:w="621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&lt;30</w:t>
            </w:r>
          </w:p>
        </w:tc>
        <w:tc>
          <w:tcPr>
            <w:tcW w:w="3083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78 </w:t>
            </w:r>
          </w:p>
        </w:tc>
      </w:tr>
      <w:tr>
        <w:trPr>
          <w:cantSplit/>
          <w:trHeight w:val="488" w:hRule="atLeast"/>
          <w:jc w:val="center"/>
        </w:trPr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30≤year≤34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44 </w:t>
            </w:r>
          </w:p>
        </w:tc>
      </w:tr>
      <w:tr>
        <w:trPr>
          <w:cantSplit/>
          <w:trHeight w:val="488" w:hRule="atLeast"/>
          <w:jc w:val="center"/>
        </w:trPr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35≤year≤39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40 </w:t>
            </w:r>
          </w:p>
        </w:tc>
      </w:tr>
      <w:tr>
        <w:trPr>
          <w:cantSplit/>
          <w:trHeight w:val="563" w:hRule="atLeast"/>
          <w:jc w:val="center"/>
        </w:trPr>
        <w:tc>
          <w:tcPr>
            <w:tcW w:w="6212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GB"/>
              </w:rPr>
              <w:t>&gt;39</w:t>
            </w:r>
          </w:p>
        </w:tc>
        <w:tc>
          <w:tcPr>
            <w:tcW w:w="3083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GB"/>
              </w:rPr>
              <w:t xml:space="preserve">9 </w:t>
            </w:r>
          </w:p>
        </w:tc>
      </w:tr>
    </w:tbl>
    <w:p/>
    <w:p>
      <w:pPr>
        <w:rPr>
          <w:rFonts w:ascii="Arial" w:hAnsi="Arial" w:cs="Arial"/>
          <w:sz w:val="24"/>
          <w:szCs w:val="24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>Supplementary Table 3</w:t>
      </w:r>
      <w:r>
        <w:rPr>
          <w:rFonts w:hint="default" w:ascii="Times New Roman" w:hAnsi="Times New Roman" w:cs="Times New Roman"/>
          <w:sz w:val="26"/>
          <w:szCs w:val="26"/>
        </w:rPr>
        <w:t>. NIPT results for SCA screening in pregnant women of different age groups.</w:t>
      </w:r>
      <w:r>
        <w:rPr>
          <w:rFonts w:hint="eastAsia" w:ascii="Arial" w:hAnsi="Arial" w:cs="Arial"/>
          <w:sz w:val="24"/>
          <w:szCs w:val="24"/>
        </w:rPr>
        <w:t xml:space="preserve"> </w:t>
      </w:r>
    </w:p>
    <w:p>
      <w:pPr>
        <w:rPr>
          <w:rFonts w:ascii="Arial" w:hAnsi="Arial" w:cs="Arial"/>
          <w:sz w:val="24"/>
          <w:szCs w:val="24"/>
        </w:rPr>
      </w:pPr>
    </w:p>
    <w:tbl>
      <w:tblPr>
        <w:tblStyle w:val="3"/>
        <w:tblW w:w="93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038"/>
        <w:gridCol w:w="1200"/>
        <w:gridCol w:w="1250"/>
        <w:gridCol w:w="1600"/>
        <w:gridCol w:w="1625"/>
        <w:gridCol w:w="1362"/>
      </w:tblGrid>
      <w:tr>
        <w:trPr>
          <w:cantSplit/>
          <w:trHeight w:val="1124" w:hRule="atLeast"/>
          <w:jc w:val="center"/>
        </w:trPr>
        <w:tc>
          <w:tcPr>
            <w:tcW w:w="1245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NIPT results</w:t>
            </w:r>
          </w:p>
        </w:tc>
        <w:tc>
          <w:tcPr>
            <w:tcW w:w="1038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All cases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(N)</w:t>
            </w:r>
          </w:p>
        </w:tc>
        <w:tc>
          <w:tcPr>
            <w:tcW w:w="1200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widowControl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>AMA cases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color w:val="auto"/>
                <w:sz w:val="28"/>
                <w:szCs w:val="28"/>
              </w:rPr>
              <w:t>(N)</w:t>
            </w:r>
          </w:p>
        </w:tc>
        <w:tc>
          <w:tcPr>
            <w:tcW w:w="1250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Age&lt;30 years</w:t>
            </w:r>
          </w:p>
        </w:tc>
        <w:tc>
          <w:tcPr>
            <w:tcW w:w="1600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30≤age≤34 years</w:t>
            </w:r>
          </w:p>
        </w:tc>
        <w:tc>
          <w:tcPr>
            <w:tcW w:w="1625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35≤age≤39 years</w:t>
            </w:r>
          </w:p>
        </w:tc>
        <w:tc>
          <w:tcPr>
            <w:tcW w:w="1362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Age&gt;39 years</w:t>
            </w:r>
          </w:p>
        </w:tc>
      </w:tr>
      <w:tr>
        <w:trPr>
          <w:cantSplit/>
          <w:trHeight w:val="874" w:hRule="atLeast"/>
          <w:jc w:val="center"/>
        </w:trPr>
        <w:tc>
          <w:tcPr>
            <w:tcW w:w="12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45,X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7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>
        <w:trPr>
          <w:cantSplit/>
          <w:trHeight w:val="950" w:hRule="atLeast"/>
          <w:jc w:val="center"/>
        </w:trPr>
        <w:tc>
          <w:tcPr>
            <w:tcW w:w="124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47,XXX</w:t>
            </w:r>
          </w:p>
        </w:tc>
        <w:tc>
          <w:tcPr>
            <w:tcW w:w="10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15</w:t>
            </w:r>
          </w:p>
        </w:tc>
        <w:tc>
          <w:tcPr>
            <w:tcW w:w="12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6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>
        <w:trPr>
          <w:cantSplit/>
          <w:trHeight w:val="950" w:hRule="atLeast"/>
          <w:jc w:val="center"/>
        </w:trPr>
        <w:tc>
          <w:tcPr>
            <w:tcW w:w="124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47,XXY</w:t>
            </w:r>
          </w:p>
        </w:tc>
        <w:tc>
          <w:tcPr>
            <w:tcW w:w="1038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26</w:t>
            </w:r>
          </w:p>
        </w:tc>
        <w:tc>
          <w:tcPr>
            <w:tcW w:w="12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6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36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>
        <w:trPr>
          <w:cantSplit/>
          <w:trHeight w:val="980" w:hRule="atLeast"/>
          <w:jc w:val="center"/>
        </w:trPr>
        <w:tc>
          <w:tcPr>
            <w:tcW w:w="1245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47,XYY</w:t>
            </w:r>
          </w:p>
        </w:tc>
        <w:tc>
          <w:tcPr>
            <w:tcW w:w="1038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10</w:t>
            </w:r>
          </w:p>
        </w:tc>
        <w:tc>
          <w:tcPr>
            <w:tcW w:w="1200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50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00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25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62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</w:tbl>
    <w:p/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>Supplementary Table 4</w:t>
      </w:r>
      <w:r>
        <w:rPr>
          <w:rFonts w:hint="default" w:ascii="Times New Roman" w:hAnsi="Times New Roman" w:cs="Times New Roman"/>
          <w:sz w:val="26"/>
          <w:szCs w:val="26"/>
        </w:rPr>
        <w:t>. Maternal age of unverified pregnant women who underwent NIPT.</w:t>
      </w:r>
    </w:p>
    <w:p>
      <w:pPr>
        <w:rPr>
          <w:rFonts w:ascii="Arial" w:hAnsi="Arial" w:cs="Arial"/>
          <w:sz w:val="24"/>
          <w:szCs w:val="24"/>
        </w:rPr>
      </w:pPr>
    </w:p>
    <w:tbl>
      <w:tblPr>
        <w:tblStyle w:val="3"/>
        <w:tblW w:w="89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2"/>
        <w:gridCol w:w="2727"/>
      </w:tblGrid>
      <w:tr>
        <w:trPr>
          <w:cantSplit/>
          <w:trHeight w:val="742" w:hRule="atLeast"/>
          <w:jc w:val="center"/>
        </w:trPr>
        <w:tc>
          <w:tcPr>
            <w:tcW w:w="6212" w:type="dxa"/>
            <w:tcBorders>
              <w:top w:val="single" w:color="000000" w:sz="12" w:space="0"/>
              <w:left w:val="single" w:color="FFFFFF" w:sz="8" w:space="0"/>
              <w:bottom w:val="single" w:color="000000" w:sz="6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Unverified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aternal age (years)</w:t>
            </w:r>
          </w:p>
        </w:tc>
        <w:tc>
          <w:tcPr>
            <w:tcW w:w="2727" w:type="dxa"/>
            <w:tcBorders>
              <w:top w:val="single" w:color="000000" w:sz="12" w:space="0"/>
              <w:left w:val="single" w:color="FFFFFF" w:sz="8" w:space="0"/>
              <w:bottom w:val="single" w:color="000000" w:sz="6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5"/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Cases</w:t>
            </w:r>
          </w:p>
        </w:tc>
      </w:tr>
      <w:tr>
        <w:trPr>
          <w:cantSplit/>
          <w:trHeight w:val="537" w:hRule="atLeast"/>
          <w:jc w:val="center"/>
        </w:trPr>
        <w:tc>
          <w:tcPr>
            <w:tcW w:w="6212" w:type="dxa"/>
            <w:tcBorders>
              <w:top w:val="single" w:color="000000" w:sz="6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&lt;30</w:t>
            </w:r>
          </w:p>
        </w:tc>
        <w:tc>
          <w:tcPr>
            <w:tcW w:w="2727" w:type="dxa"/>
            <w:tcBorders>
              <w:top w:val="single" w:color="000000" w:sz="6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488" w:hRule="atLeast"/>
          <w:jc w:val="center"/>
        </w:trPr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30≤year≤34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rPr>
          <w:cantSplit/>
          <w:trHeight w:val="488" w:hRule="atLeast"/>
          <w:jc w:val="center"/>
        </w:trPr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35≤year≤39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40 </w:t>
            </w:r>
          </w:p>
        </w:tc>
      </w:tr>
      <w:tr>
        <w:trPr>
          <w:cantSplit/>
          <w:trHeight w:val="563" w:hRule="atLeast"/>
          <w:jc w:val="center"/>
        </w:trPr>
        <w:tc>
          <w:tcPr>
            <w:tcW w:w="6212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&gt;39</w:t>
            </w:r>
          </w:p>
        </w:tc>
        <w:tc>
          <w:tcPr>
            <w:tcW w:w="2727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Supplementary Table 5. </w:t>
      </w:r>
      <w:r>
        <w:rPr>
          <w:rFonts w:hint="default" w:ascii="Times New Roman" w:hAnsi="Times New Roman" w:cs="Times New Roman"/>
          <w:sz w:val="26"/>
          <w:szCs w:val="26"/>
        </w:rPr>
        <w:t>The results between NIPT performed in predicting sex chromosome trisomies and monosomy.</w:t>
      </w:r>
    </w:p>
    <w:p>
      <w:pPr>
        <w:rPr>
          <w:rFonts w:ascii="Arial" w:hAnsi="Arial" w:cs="Arial"/>
          <w:sz w:val="24"/>
          <w:szCs w:val="24"/>
        </w:rPr>
      </w:pPr>
    </w:p>
    <w:tbl>
      <w:tblPr>
        <w:tblStyle w:val="3"/>
        <w:tblW w:w="93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1752"/>
        <w:gridCol w:w="1417"/>
        <w:gridCol w:w="2015"/>
        <w:gridCol w:w="2015"/>
      </w:tblGrid>
      <w:tr>
        <w:trPr>
          <w:cantSplit/>
          <w:trHeight w:val="1124" w:hRule="atLeast"/>
          <w:jc w:val="center"/>
        </w:trPr>
        <w:tc>
          <w:tcPr>
            <w:tcW w:w="2165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560" w:firstLineChars="200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SCA</w:t>
            </w:r>
          </w:p>
        </w:tc>
        <w:tc>
          <w:tcPr>
            <w:tcW w:w="1417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Non-SCA</w:t>
            </w:r>
          </w:p>
        </w:tc>
        <w:tc>
          <w:tcPr>
            <w:tcW w:w="2015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2015" w:type="dxa"/>
            <w:tcBorders>
              <w:top w:val="single" w:color="000000" w:sz="12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</w:tcPr>
          <w:p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Detection rate</w:t>
            </w:r>
          </w:p>
        </w:tc>
      </w:tr>
      <w:tr>
        <w:trPr>
          <w:cantSplit/>
          <w:trHeight w:val="874" w:hRule="atLeast"/>
          <w:jc w:val="center"/>
        </w:trPr>
        <w:tc>
          <w:tcPr>
            <w:tcW w:w="21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Sex chromosome trisom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ies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jc w:val="center"/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63.75</w:t>
            </w:r>
          </w:p>
        </w:tc>
      </w:tr>
      <w:tr>
        <w:trPr>
          <w:cantSplit/>
          <w:trHeight w:val="950" w:hRule="atLeast"/>
          <w:jc w:val="center"/>
        </w:trPr>
        <w:tc>
          <w:tcPr>
            <w:tcW w:w="21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Sex chromosome monosomy</w:t>
            </w:r>
          </w:p>
        </w:tc>
        <w:tc>
          <w:tcPr>
            <w:tcW w:w="1752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01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201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pStyle w:val="6"/>
              <w:jc w:val="center"/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12.5</w:t>
            </w:r>
          </w:p>
        </w:tc>
      </w:tr>
      <w:tr>
        <w:trPr>
          <w:cantSplit/>
          <w:trHeight w:val="980" w:hRule="atLeast"/>
          <w:jc w:val="center"/>
        </w:trPr>
        <w:tc>
          <w:tcPr>
            <w:tcW w:w="2165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-33020</wp:posOffset>
                      </wp:positionV>
                      <wp:extent cx="5956300" cy="12700"/>
                      <wp:effectExtent l="0" t="0" r="25400" b="2540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56300" cy="127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5pt;margin-top:-2.6pt;height:1pt;width:469pt;z-index:251666432;mso-width-relative:page;mso-height-relative:page;" filled="f" stroked="t" coordsize="21600,21600" o:gfxdata="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BYAAABkcnMvUEsBAhQAFAAAAAgAh07iQNtUSKrVAAAACQEAAA8AAAAA&#10;AAAAAQAgAAAAOAAAAGRycy9kb3ducmV2LnhtbFBLAQIUABQAAAAIAIdO4kBkUNKnyAEAAFoDAAAO&#10;AAAAAAAAAAEAIAAAADoBAABkcnMvZTJvRG9jLnhtbFBLBQYAAAAABgAGAFkBAAB0BQAAAAA=&#10;">
                      <v:fill on="f" focussize="0,0"/>
                      <v:stroke weight="0.25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752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417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2015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015" w:type="dxa"/>
            <w:tcBorders>
              <w:top w:val="single" w:color="FFFFFF" w:sz="8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pStyle w:val="6"/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42.65</w:t>
            </w:r>
          </w:p>
        </w:tc>
      </w:tr>
    </w:tbl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  <w:font w:name="Tamil Sangam MN">
    <w:panose1 w:val="02000400000000000000"/>
    <w:charset w:val="00"/>
    <w:family w:val="auto"/>
    <w:pitch w:val="default"/>
    <w:sig w:usb0="80100003" w:usb1="00000000" w:usb2="00000000" w:usb3="00000000" w:csb0="00000001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1D"/>
    <w:rsid w:val="0001370B"/>
    <w:rsid w:val="00065F98"/>
    <w:rsid w:val="00085DC8"/>
    <w:rsid w:val="000F7CF1"/>
    <w:rsid w:val="001047BD"/>
    <w:rsid w:val="0017532A"/>
    <w:rsid w:val="001E77CF"/>
    <w:rsid w:val="001F4721"/>
    <w:rsid w:val="002232A6"/>
    <w:rsid w:val="0026033A"/>
    <w:rsid w:val="00262BB1"/>
    <w:rsid w:val="0027293C"/>
    <w:rsid w:val="002F688E"/>
    <w:rsid w:val="00306239"/>
    <w:rsid w:val="00362A79"/>
    <w:rsid w:val="00384ED8"/>
    <w:rsid w:val="003876DC"/>
    <w:rsid w:val="003C1C76"/>
    <w:rsid w:val="00404734"/>
    <w:rsid w:val="004B5B99"/>
    <w:rsid w:val="00594D99"/>
    <w:rsid w:val="005A0F76"/>
    <w:rsid w:val="006A0D30"/>
    <w:rsid w:val="007B3F70"/>
    <w:rsid w:val="007C5ECD"/>
    <w:rsid w:val="0080517B"/>
    <w:rsid w:val="008579EC"/>
    <w:rsid w:val="008954EF"/>
    <w:rsid w:val="008B3C1D"/>
    <w:rsid w:val="00942F68"/>
    <w:rsid w:val="009B3EFE"/>
    <w:rsid w:val="009D784E"/>
    <w:rsid w:val="00A06885"/>
    <w:rsid w:val="00A25F60"/>
    <w:rsid w:val="00A91FBE"/>
    <w:rsid w:val="00AA7DED"/>
    <w:rsid w:val="00B46CE0"/>
    <w:rsid w:val="00B81DD7"/>
    <w:rsid w:val="00C0543C"/>
    <w:rsid w:val="00C432C8"/>
    <w:rsid w:val="00C60826"/>
    <w:rsid w:val="00D92AC1"/>
    <w:rsid w:val="00DA3447"/>
    <w:rsid w:val="00DB42BF"/>
    <w:rsid w:val="00DF6474"/>
    <w:rsid w:val="00E2718A"/>
    <w:rsid w:val="00E8556D"/>
    <w:rsid w:val="00F306DE"/>
    <w:rsid w:val="00FD6F4E"/>
    <w:rsid w:val="1EFC7549"/>
    <w:rsid w:val="377F3351"/>
    <w:rsid w:val="5F57FB99"/>
    <w:rsid w:val="8D67A5B3"/>
    <w:rsid w:val="EFFB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 A"/>
    <w:qFormat/>
    <w:uiPriority w:val="99"/>
    <w:pPr>
      <w:spacing w:after="160" w:line="259" w:lineRule="auto"/>
    </w:pPr>
    <w:rPr>
      <w:rFonts w:ascii="Times New Roman" w:hAnsi="Times New Roman" w:eastAsia="宋体" w:cs="Arial Unicode MS"/>
      <w:color w:val="000000"/>
      <w:kern w:val="0"/>
      <w:sz w:val="24"/>
      <w:szCs w:val="24"/>
      <w:lang w:val="en-GB" w:eastAsia="zh-CN" w:bidi="ar-SA"/>
    </w:rPr>
  </w:style>
  <w:style w:type="paragraph" w:customStyle="1" w:styleId="6">
    <w:name w:val="默认"/>
    <w:qFormat/>
    <w:uiPriority w:val="99"/>
    <w:pPr>
      <w:spacing w:after="160" w:line="259" w:lineRule="auto"/>
    </w:pPr>
    <w:rPr>
      <w:rFonts w:ascii="Helvetica Neue" w:hAnsi="Helvetica Neue" w:eastAsia="宋体" w:cs="Helvetica Neue"/>
      <w:color w:val="000000"/>
      <w:kern w:val="0"/>
      <w:sz w:val="22"/>
      <w:szCs w:val="22"/>
      <w:lang w:val="en-GB" w:eastAsia="zh-CN" w:bidi="ar-SA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181</Words>
  <Characters>1032</Characters>
  <Lines>8</Lines>
  <Paragraphs>2</Paragraphs>
  <ScaleCrop>false</ScaleCrop>
  <LinksUpToDate>false</LinksUpToDate>
  <CharactersWithSpaces>1211</CharactersWithSpaces>
  <Application>WPS Office_2.3.0.3701_F1E327BC-269C-435d-A152-05C5408002CA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2020-11-23T02:00:00Z</dcterms:created>
  <dc:creator>xb21cn</dc:creator>
  <cp:lastModifiedBy>apple</cp:lastModifiedBy>
  <dcterms:modified xsi:type="dcterms:W3CDTF">2020-11-24T23:00:28Z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2052-2.3.0.3701</vt:lpwstr>
  </property>
</Properties>
</file>