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rPr>
      </w:pPr>
      <w:r w:rsidDel="00000000" w:rsidR="00000000" w:rsidRPr="00000000">
        <w:rPr>
          <w:b w:val="1"/>
          <w:rtl w:val="0"/>
        </w:rPr>
        <w:t xml:space="preserve">Distinct Network Patterns Emerge from Cartesian and XOR</w:t>
      </w:r>
    </w:p>
    <w:p w:rsidR="00000000" w:rsidDel="00000000" w:rsidP="00000000" w:rsidRDefault="00000000" w:rsidRPr="00000000" w14:paraId="00000002">
      <w:pPr>
        <w:jc w:val="center"/>
        <w:rPr>
          <w:b w:val="1"/>
        </w:rPr>
      </w:pPr>
      <w:r w:rsidDel="00000000" w:rsidR="00000000" w:rsidRPr="00000000">
        <w:rPr>
          <w:b w:val="1"/>
          <w:rtl w:val="0"/>
        </w:rPr>
        <w:t xml:space="preserve">Epistasis Models: A Comparative Network Science Analysis</w:t>
      </w:r>
    </w:p>
    <w:p w:rsidR="00000000" w:rsidDel="00000000" w:rsidP="00000000" w:rsidRDefault="00000000" w:rsidRPr="00000000" w14:paraId="00000003">
      <w:pPr>
        <w:jc w:val="center"/>
        <w:rPr>
          <w:b w:val="1"/>
        </w:rPr>
      </w:pPr>
      <w:r w:rsidDel="00000000" w:rsidR="00000000" w:rsidRPr="00000000">
        <w:rPr>
          <w:rtl w:val="0"/>
        </w:rPr>
      </w:r>
    </w:p>
    <w:p w:rsidR="00000000" w:rsidDel="00000000" w:rsidP="00000000" w:rsidRDefault="00000000" w:rsidRPr="00000000" w14:paraId="00000004">
      <w:pPr>
        <w:jc w:val="center"/>
        <w:rPr>
          <w:b w:val="1"/>
        </w:rPr>
      </w:pPr>
      <w:r w:rsidDel="00000000" w:rsidR="00000000" w:rsidRPr="00000000">
        <w:rPr>
          <w:b w:val="1"/>
          <w:rtl w:val="0"/>
        </w:rPr>
        <w:t xml:space="preserve">File S1</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 Additive, non-epistatic two-way model.</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a. A completely additive, non-epistatic model between two loci. Numbers in parenthesis are the genotype encodings used in the raw data.</w:t>
      </w:r>
    </w:p>
    <w:p w:rsidR="00000000" w:rsidDel="00000000" w:rsidP="00000000" w:rsidRDefault="00000000" w:rsidRPr="00000000" w14:paraId="00000009">
      <w:pPr>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0"/>
        <w:gridCol w:w="1870"/>
        <w:gridCol w:w="1870"/>
        <w:gridCol w:w="1870"/>
        <w:gridCol w:w="1870"/>
        <w:tblGridChange w:id="0">
          <w:tblGrid>
            <w:gridCol w:w="1870"/>
            <w:gridCol w:w="1870"/>
            <w:gridCol w:w="1870"/>
            <w:gridCol w:w="1870"/>
            <w:gridCol w:w="1870"/>
          </w:tblGrid>
        </w:tblGridChange>
      </w:tblGrid>
      <w:tr>
        <w:trPr>
          <w:cantSplit w:val="0"/>
          <w:tblHeader w:val="0"/>
        </w:trPr>
        <w:tc>
          <w:tcPr>
            <w:vMerge w:val="restart"/>
            <w:tcBorders>
              <w:top w:color="000000" w:space="0" w:sz="0" w:val="nil"/>
              <w:left w:color="000000" w:space="0" w:sz="0" w:val="nil"/>
              <w:right w:color="000000" w:space="0" w:sz="0" w:val="nil"/>
            </w:tcBorders>
          </w:tcPr>
          <w:p w:rsidR="00000000" w:rsidDel="00000000" w:rsidP="00000000" w:rsidRDefault="00000000" w:rsidRPr="00000000" w14:paraId="0000000A">
            <w:pPr>
              <w:jc w:val="center"/>
              <w:rPr>
                <w:b w:val="1"/>
                <w:sz w:val="21"/>
                <w:szCs w:val="21"/>
              </w:rPr>
            </w:pPr>
            <w:r w:rsidDel="00000000" w:rsidR="00000000" w:rsidRPr="00000000">
              <w:rPr>
                <w:rtl w:val="0"/>
              </w:rPr>
            </w:r>
          </w:p>
        </w:tc>
        <w:tc>
          <w:tcPr>
            <w:tcBorders>
              <w:top w:color="000000" w:space="0" w:sz="0" w:val="nil"/>
              <w:left w:color="000000" w:space="0" w:sz="0" w:val="nil"/>
              <w:bottom w:color="000000" w:space="0" w:sz="0" w:val="nil"/>
            </w:tcBorders>
          </w:tcPr>
          <w:p w:rsidR="00000000" w:rsidDel="00000000" w:rsidP="00000000" w:rsidRDefault="00000000" w:rsidRPr="00000000" w14:paraId="0000000B">
            <w:pPr>
              <w:jc w:val="center"/>
              <w:rPr>
                <w:b w:val="1"/>
                <w:sz w:val="21"/>
                <w:szCs w:val="21"/>
              </w:rPr>
            </w:pPr>
            <w:r w:rsidDel="00000000" w:rsidR="00000000" w:rsidRPr="00000000">
              <w:rPr>
                <w:rtl w:val="0"/>
              </w:rPr>
            </w:r>
          </w:p>
        </w:tc>
        <w:tc>
          <w:tcPr>
            <w:gridSpan w:val="3"/>
          </w:tcPr>
          <w:p w:rsidR="00000000" w:rsidDel="00000000" w:rsidP="00000000" w:rsidRDefault="00000000" w:rsidRPr="00000000" w14:paraId="0000000C">
            <w:pPr>
              <w:jc w:val="center"/>
              <w:rPr>
                <w:b w:val="1"/>
                <w:sz w:val="21"/>
                <w:szCs w:val="21"/>
              </w:rPr>
            </w:pPr>
            <w:r w:rsidDel="00000000" w:rsidR="00000000" w:rsidRPr="00000000">
              <w:rPr>
                <w:b w:val="1"/>
                <w:sz w:val="21"/>
                <w:szCs w:val="21"/>
                <w:rtl w:val="0"/>
              </w:rPr>
              <w:t xml:space="preserve">SNP2</w:t>
            </w:r>
          </w:p>
        </w:tc>
      </w:tr>
      <w:tr>
        <w:trPr>
          <w:cantSplit w:val="0"/>
          <w:tblHeader w:val="0"/>
        </w:trPr>
        <w:tc>
          <w:tcPr>
            <w:vMerge w:val="continue"/>
            <w:tcBorders>
              <w:top w:color="000000" w:space="0" w:sz="0" w:val="nil"/>
              <w:left w:color="000000" w:space="0" w:sz="0" w:val="nil"/>
              <w:right w:color="000000" w:space="0" w:sz="0" w:val="nil"/>
            </w:tcBorders>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1"/>
                <w:szCs w:val="21"/>
              </w:rPr>
            </w:pPr>
            <w:r w:rsidDel="00000000" w:rsidR="00000000" w:rsidRPr="00000000">
              <w:rPr>
                <w:rtl w:val="0"/>
              </w:rPr>
            </w:r>
          </w:p>
        </w:tc>
        <w:tc>
          <w:tcPr>
            <w:tcBorders>
              <w:top w:color="000000" w:space="0" w:sz="0" w:val="nil"/>
              <w:left w:color="000000" w:space="0" w:sz="0" w:val="nil"/>
            </w:tcBorders>
          </w:tcPr>
          <w:p w:rsidR="00000000" w:rsidDel="00000000" w:rsidP="00000000" w:rsidRDefault="00000000" w:rsidRPr="00000000" w14:paraId="00000010">
            <w:pPr>
              <w:jc w:val="center"/>
              <w:rPr>
                <w:b w:val="1"/>
                <w:sz w:val="21"/>
                <w:szCs w:val="21"/>
              </w:rPr>
            </w:pPr>
            <w:r w:rsidDel="00000000" w:rsidR="00000000" w:rsidRPr="00000000">
              <w:rPr>
                <w:rtl w:val="0"/>
              </w:rPr>
            </w:r>
          </w:p>
        </w:tc>
        <w:tc>
          <w:tcPr/>
          <w:p w:rsidR="00000000" w:rsidDel="00000000" w:rsidP="00000000" w:rsidRDefault="00000000" w:rsidRPr="00000000" w14:paraId="00000011">
            <w:pPr>
              <w:jc w:val="center"/>
              <w:rPr>
                <w:b w:val="1"/>
                <w:sz w:val="21"/>
                <w:szCs w:val="21"/>
              </w:rPr>
            </w:pPr>
            <w:r w:rsidDel="00000000" w:rsidR="00000000" w:rsidRPr="00000000">
              <w:rPr>
                <w:b w:val="1"/>
                <w:sz w:val="21"/>
                <w:szCs w:val="21"/>
                <w:rtl w:val="0"/>
              </w:rPr>
              <w:t xml:space="preserve">BB (0)</w:t>
            </w:r>
          </w:p>
        </w:tc>
        <w:tc>
          <w:tcPr/>
          <w:p w:rsidR="00000000" w:rsidDel="00000000" w:rsidP="00000000" w:rsidRDefault="00000000" w:rsidRPr="00000000" w14:paraId="00000012">
            <w:pPr>
              <w:jc w:val="center"/>
              <w:rPr>
                <w:b w:val="1"/>
                <w:sz w:val="21"/>
                <w:szCs w:val="21"/>
              </w:rPr>
            </w:pPr>
            <w:r w:rsidDel="00000000" w:rsidR="00000000" w:rsidRPr="00000000">
              <w:rPr>
                <w:b w:val="1"/>
                <w:sz w:val="21"/>
                <w:szCs w:val="21"/>
                <w:rtl w:val="0"/>
              </w:rPr>
              <w:t xml:space="preserve">Bb (1)</w:t>
            </w:r>
          </w:p>
        </w:tc>
        <w:tc>
          <w:tcPr/>
          <w:p w:rsidR="00000000" w:rsidDel="00000000" w:rsidP="00000000" w:rsidRDefault="00000000" w:rsidRPr="00000000" w14:paraId="00000013">
            <w:pPr>
              <w:jc w:val="center"/>
              <w:rPr>
                <w:b w:val="1"/>
                <w:sz w:val="21"/>
                <w:szCs w:val="21"/>
              </w:rPr>
            </w:pPr>
            <w:r w:rsidDel="00000000" w:rsidR="00000000" w:rsidRPr="00000000">
              <w:rPr>
                <w:b w:val="1"/>
                <w:sz w:val="21"/>
                <w:szCs w:val="21"/>
                <w:rtl w:val="0"/>
              </w:rPr>
              <w:t xml:space="preserve">bb (2)</w:t>
            </w:r>
          </w:p>
        </w:tc>
      </w:tr>
      <w:tr>
        <w:trPr>
          <w:cantSplit w:val="0"/>
          <w:tblHeader w:val="0"/>
        </w:trPr>
        <w:tc>
          <w:tcPr>
            <w:vMerge w:val="restart"/>
          </w:tcPr>
          <w:p w:rsidR="00000000" w:rsidDel="00000000" w:rsidP="00000000" w:rsidRDefault="00000000" w:rsidRPr="00000000" w14:paraId="00000014">
            <w:pPr>
              <w:jc w:val="center"/>
              <w:rPr>
                <w:b w:val="1"/>
                <w:sz w:val="21"/>
                <w:szCs w:val="21"/>
              </w:rPr>
            </w:pPr>
            <w:r w:rsidDel="00000000" w:rsidR="00000000" w:rsidRPr="00000000">
              <w:rPr>
                <w:b w:val="1"/>
                <w:sz w:val="21"/>
                <w:szCs w:val="21"/>
                <w:rtl w:val="0"/>
              </w:rPr>
              <w:t xml:space="preserve">SNP1</w:t>
            </w:r>
          </w:p>
        </w:tc>
        <w:tc>
          <w:tcPr/>
          <w:p w:rsidR="00000000" w:rsidDel="00000000" w:rsidP="00000000" w:rsidRDefault="00000000" w:rsidRPr="00000000" w14:paraId="00000015">
            <w:pPr>
              <w:jc w:val="center"/>
              <w:rPr>
                <w:b w:val="1"/>
                <w:sz w:val="21"/>
                <w:szCs w:val="21"/>
              </w:rPr>
            </w:pPr>
            <w:r w:rsidDel="00000000" w:rsidR="00000000" w:rsidRPr="00000000">
              <w:rPr>
                <w:b w:val="1"/>
                <w:sz w:val="21"/>
                <w:szCs w:val="21"/>
                <w:rtl w:val="0"/>
              </w:rPr>
              <w:t xml:space="preserve">AA (0)</w:t>
            </w:r>
          </w:p>
        </w:tc>
        <w:tc>
          <w:tcPr/>
          <w:p w:rsidR="00000000" w:rsidDel="00000000" w:rsidP="00000000" w:rsidRDefault="00000000" w:rsidRPr="00000000" w14:paraId="00000016">
            <w:pPr>
              <w:jc w:val="center"/>
              <w:rPr>
                <w:sz w:val="21"/>
                <w:szCs w:val="21"/>
              </w:rPr>
            </w:pPr>
            <w:r w:rsidDel="00000000" w:rsidR="00000000" w:rsidRPr="00000000">
              <w:rPr>
                <w:sz w:val="21"/>
                <w:szCs w:val="21"/>
                <w:rtl w:val="0"/>
              </w:rPr>
              <w:t xml:space="preserve">0</w:t>
            </w:r>
          </w:p>
        </w:tc>
        <w:tc>
          <w:tcPr/>
          <w:p w:rsidR="00000000" w:rsidDel="00000000" w:rsidP="00000000" w:rsidRDefault="00000000" w:rsidRPr="00000000" w14:paraId="00000017">
            <w:pPr>
              <w:jc w:val="center"/>
              <w:rPr>
                <w:sz w:val="21"/>
                <w:szCs w:val="21"/>
              </w:rPr>
            </w:pPr>
            <w:r w:rsidDel="00000000" w:rsidR="00000000" w:rsidRPr="00000000">
              <w:rPr>
                <w:sz w:val="21"/>
                <w:szCs w:val="21"/>
                <w:rtl w:val="0"/>
              </w:rPr>
              <w:t xml:space="preserve">1</w:t>
            </w:r>
          </w:p>
        </w:tc>
        <w:tc>
          <w:tcPr/>
          <w:p w:rsidR="00000000" w:rsidDel="00000000" w:rsidP="00000000" w:rsidRDefault="00000000" w:rsidRPr="00000000" w14:paraId="00000018">
            <w:pPr>
              <w:jc w:val="center"/>
              <w:rPr>
                <w:sz w:val="21"/>
                <w:szCs w:val="21"/>
              </w:rPr>
            </w:pPr>
            <w:r w:rsidDel="00000000" w:rsidR="00000000" w:rsidRPr="00000000">
              <w:rPr>
                <w:sz w:val="21"/>
                <w:szCs w:val="21"/>
                <w:rtl w:val="0"/>
              </w:rPr>
              <w:t xml:space="preserve">2</w:t>
            </w:r>
          </w:p>
        </w:tc>
      </w:tr>
      <w:tr>
        <w:trPr>
          <w:cantSplit w:val="0"/>
          <w:tblHeader w:val="0"/>
        </w:trPr>
        <w:tc>
          <w:tcPr>
            <w:vMerge w:val="continue"/>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1"/>
                <w:szCs w:val="21"/>
              </w:rPr>
            </w:pPr>
            <w:r w:rsidDel="00000000" w:rsidR="00000000" w:rsidRPr="00000000">
              <w:rPr>
                <w:rtl w:val="0"/>
              </w:rPr>
            </w:r>
          </w:p>
        </w:tc>
        <w:tc>
          <w:tcPr/>
          <w:p w:rsidR="00000000" w:rsidDel="00000000" w:rsidP="00000000" w:rsidRDefault="00000000" w:rsidRPr="00000000" w14:paraId="0000001A">
            <w:pPr>
              <w:jc w:val="center"/>
              <w:rPr>
                <w:b w:val="1"/>
                <w:sz w:val="21"/>
                <w:szCs w:val="21"/>
              </w:rPr>
            </w:pPr>
            <w:r w:rsidDel="00000000" w:rsidR="00000000" w:rsidRPr="00000000">
              <w:rPr>
                <w:b w:val="1"/>
                <w:sz w:val="21"/>
                <w:szCs w:val="21"/>
                <w:rtl w:val="0"/>
              </w:rPr>
              <w:t xml:space="preserve">Aa (1)</w:t>
            </w:r>
          </w:p>
        </w:tc>
        <w:tc>
          <w:tcPr/>
          <w:p w:rsidR="00000000" w:rsidDel="00000000" w:rsidP="00000000" w:rsidRDefault="00000000" w:rsidRPr="00000000" w14:paraId="0000001B">
            <w:pPr>
              <w:jc w:val="center"/>
              <w:rPr>
                <w:sz w:val="21"/>
                <w:szCs w:val="21"/>
              </w:rPr>
            </w:pPr>
            <w:r w:rsidDel="00000000" w:rsidR="00000000" w:rsidRPr="00000000">
              <w:rPr>
                <w:sz w:val="21"/>
                <w:szCs w:val="21"/>
                <w:rtl w:val="0"/>
              </w:rPr>
              <w:t xml:space="preserve">1</w:t>
            </w:r>
          </w:p>
        </w:tc>
        <w:tc>
          <w:tcPr/>
          <w:p w:rsidR="00000000" w:rsidDel="00000000" w:rsidP="00000000" w:rsidRDefault="00000000" w:rsidRPr="00000000" w14:paraId="0000001C">
            <w:pPr>
              <w:jc w:val="center"/>
              <w:rPr>
                <w:sz w:val="21"/>
                <w:szCs w:val="21"/>
              </w:rPr>
            </w:pPr>
            <w:r w:rsidDel="00000000" w:rsidR="00000000" w:rsidRPr="00000000">
              <w:rPr>
                <w:sz w:val="21"/>
                <w:szCs w:val="21"/>
                <w:rtl w:val="0"/>
              </w:rPr>
              <w:t xml:space="preserve">2</w:t>
            </w:r>
          </w:p>
        </w:tc>
        <w:tc>
          <w:tcPr/>
          <w:p w:rsidR="00000000" w:rsidDel="00000000" w:rsidP="00000000" w:rsidRDefault="00000000" w:rsidRPr="00000000" w14:paraId="0000001D">
            <w:pPr>
              <w:jc w:val="center"/>
              <w:rPr>
                <w:sz w:val="21"/>
                <w:szCs w:val="21"/>
              </w:rPr>
            </w:pPr>
            <w:r w:rsidDel="00000000" w:rsidR="00000000" w:rsidRPr="00000000">
              <w:rPr>
                <w:sz w:val="21"/>
                <w:szCs w:val="21"/>
                <w:rtl w:val="0"/>
              </w:rPr>
              <w:t xml:space="preserve">3</w:t>
            </w:r>
          </w:p>
        </w:tc>
      </w:tr>
      <w:tr>
        <w:trPr>
          <w:cantSplit w:val="0"/>
          <w:tblHeader w:val="0"/>
        </w:trPr>
        <w:tc>
          <w:tcPr>
            <w:vMerge w:val="continue"/>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1"/>
                <w:szCs w:val="21"/>
              </w:rPr>
            </w:pPr>
            <w:r w:rsidDel="00000000" w:rsidR="00000000" w:rsidRPr="00000000">
              <w:rPr>
                <w:rtl w:val="0"/>
              </w:rPr>
            </w:r>
          </w:p>
        </w:tc>
        <w:tc>
          <w:tcPr/>
          <w:p w:rsidR="00000000" w:rsidDel="00000000" w:rsidP="00000000" w:rsidRDefault="00000000" w:rsidRPr="00000000" w14:paraId="0000001F">
            <w:pPr>
              <w:jc w:val="center"/>
              <w:rPr>
                <w:b w:val="1"/>
                <w:sz w:val="21"/>
                <w:szCs w:val="21"/>
              </w:rPr>
            </w:pPr>
            <w:r w:rsidDel="00000000" w:rsidR="00000000" w:rsidRPr="00000000">
              <w:rPr>
                <w:b w:val="1"/>
                <w:sz w:val="21"/>
                <w:szCs w:val="21"/>
                <w:rtl w:val="0"/>
              </w:rPr>
              <w:t xml:space="preserve">aa (2)</w:t>
            </w:r>
          </w:p>
        </w:tc>
        <w:tc>
          <w:tcPr/>
          <w:p w:rsidR="00000000" w:rsidDel="00000000" w:rsidP="00000000" w:rsidRDefault="00000000" w:rsidRPr="00000000" w14:paraId="00000020">
            <w:pPr>
              <w:jc w:val="center"/>
              <w:rPr>
                <w:sz w:val="21"/>
                <w:szCs w:val="21"/>
              </w:rPr>
            </w:pPr>
            <w:r w:rsidDel="00000000" w:rsidR="00000000" w:rsidRPr="00000000">
              <w:rPr>
                <w:sz w:val="21"/>
                <w:szCs w:val="21"/>
                <w:rtl w:val="0"/>
              </w:rPr>
              <w:t xml:space="preserve">2</w:t>
            </w:r>
          </w:p>
        </w:tc>
        <w:tc>
          <w:tcPr/>
          <w:p w:rsidR="00000000" w:rsidDel="00000000" w:rsidP="00000000" w:rsidRDefault="00000000" w:rsidRPr="00000000" w14:paraId="00000021">
            <w:pPr>
              <w:jc w:val="center"/>
              <w:rPr>
                <w:sz w:val="21"/>
                <w:szCs w:val="21"/>
              </w:rPr>
            </w:pPr>
            <w:r w:rsidDel="00000000" w:rsidR="00000000" w:rsidRPr="00000000">
              <w:rPr>
                <w:sz w:val="21"/>
                <w:szCs w:val="21"/>
                <w:rtl w:val="0"/>
              </w:rPr>
              <w:t xml:space="preserve">3</w:t>
            </w:r>
          </w:p>
        </w:tc>
        <w:tc>
          <w:tcPr/>
          <w:p w:rsidR="00000000" w:rsidDel="00000000" w:rsidP="00000000" w:rsidRDefault="00000000" w:rsidRPr="00000000" w14:paraId="00000022">
            <w:pPr>
              <w:jc w:val="center"/>
              <w:rPr>
                <w:sz w:val="21"/>
                <w:szCs w:val="21"/>
              </w:rPr>
            </w:pPr>
            <w:r w:rsidDel="00000000" w:rsidR="00000000" w:rsidRPr="00000000">
              <w:rPr>
                <w:sz w:val="21"/>
                <w:szCs w:val="21"/>
                <w:rtl w:val="0"/>
              </w:rPr>
              <w:t xml:space="preserve">4</w:t>
            </w:r>
          </w:p>
        </w:tc>
      </w:tr>
    </w:tbl>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b. Theoretical reactions norms for an additive, non-epistatic model between two loci. Colored lines represent the reaction norms for SNP1 genotypes (see legend). SNP2 genotypes are on the x-axis. Hypothetical phenotypic scores are on the y-axis.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drawing>
          <wp:inline distB="0" distT="0" distL="0" distR="0">
            <wp:extent cx="5935345" cy="3776345"/>
            <wp:effectExtent b="0" l="0" r="0" t="0"/>
            <wp:docPr id="947566049"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935345" cy="3776345"/>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jc w:val="cente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II. Cartesian two-way model of epistasis.</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a. The Cartesian model of epistasis. Numbers in parenthesis are the genotype encodings used in the raw data.</w:t>
      </w:r>
    </w:p>
    <w:p w:rsidR="00000000" w:rsidDel="00000000" w:rsidP="00000000" w:rsidRDefault="00000000" w:rsidRPr="00000000" w14:paraId="0000002F">
      <w:pPr>
        <w:rPr/>
      </w:pPr>
      <w:r w:rsidDel="00000000" w:rsidR="00000000" w:rsidRPr="00000000">
        <w:rPr>
          <w:rtl w:val="0"/>
        </w:rPr>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0"/>
        <w:gridCol w:w="1870"/>
        <w:gridCol w:w="1870"/>
        <w:gridCol w:w="1870"/>
        <w:gridCol w:w="1870"/>
        <w:tblGridChange w:id="0">
          <w:tblGrid>
            <w:gridCol w:w="1870"/>
            <w:gridCol w:w="1870"/>
            <w:gridCol w:w="1870"/>
            <w:gridCol w:w="1870"/>
            <w:gridCol w:w="1870"/>
          </w:tblGrid>
        </w:tblGridChange>
      </w:tblGrid>
      <w:tr>
        <w:trPr>
          <w:cantSplit w:val="0"/>
          <w:tblHeader w:val="0"/>
        </w:trPr>
        <w:tc>
          <w:tcPr>
            <w:vMerge w:val="restart"/>
            <w:tcBorders>
              <w:top w:color="000000" w:space="0" w:sz="0" w:val="nil"/>
              <w:left w:color="000000" w:space="0" w:sz="0" w:val="nil"/>
              <w:right w:color="000000" w:space="0" w:sz="0" w:val="nil"/>
            </w:tcBorders>
          </w:tcPr>
          <w:p w:rsidR="00000000" w:rsidDel="00000000" w:rsidP="00000000" w:rsidRDefault="00000000" w:rsidRPr="00000000" w14:paraId="00000030">
            <w:pPr>
              <w:jc w:val="center"/>
              <w:rPr>
                <w:b w:val="1"/>
                <w:sz w:val="21"/>
                <w:szCs w:val="21"/>
              </w:rPr>
            </w:pPr>
            <w:r w:rsidDel="00000000" w:rsidR="00000000" w:rsidRPr="00000000">
              <w:rPr>
                <w:rtl w:val="0"/>
              </w:rPr>
            </w:r>
          </w:p>
        </w:tc>
        <w:tc>
          <w:tcPr>
            <w:tcBorders>
              <w:top w:color="000000" w:space="0" w:sz="0" w:val="nil"/>
              <w:left w:color="000000" w:space="0" w:sz="0" w:val="nil"/>
              <w:bottom w:color="000000" w:space="0" w:sz="0" w:val="nil"/>
            </w:tcBorders>
          </w:tcPr>
          <w:p w:rsidR="00000000" w:rsidDel="00000000" w:rsidP="00000000" w:rsidRDefault="00000000" w:rsidRPr="00000000" w14:paraId="00000031">
            <w:pPr>
              <w:jc w:val="center"/>
              <w:rPr>
                <w:b w:val="1"/>
                <w:sz w:val="21"/>
                <w:szCs w:val="21"/>
              </w:rPr>
            </w:pPr>
            <w:r w:rsidDel="00000000" w:rsidR="00000000" w:rsidRPr="00000000">
              <w:rPr>
                <w:rtl w:val="0"/>
              </w:rPr>
            </w:r>
          </w:p>
        </w:tc>
        <w:tc>
          <w:tcPr>
            <w:gridSpan w:val="3"/>
          </w:tcPr>
          <w:p w:rsidR="00000000" w:rsidDel="00000000" w:rsidP="00000000" w:rsidRDefault="00000000" w:rsidRPr="00000000" w14:paraId="00000032">
            <w:pPr>
              <w:jc w:val="center"/>
              <w:rPr>
                <w:b w:val="1"/>
                <w:sz w:val="21"/>
                <w:szCs w:val="21"/>
              </w:rPr>
            </w:pPr>
            <w:r w:rsidDel="00000000" w:rsidR="00000000" w:rsidRPr="00000000">
              <w:rPr>
                <w:b w:val="1"/>
                <w:sz w:val="21"/>
                <w:szCs w:val="21"/>
                <w:rtl w:val="0"/>
              </w:rPr>
              <w:t xml:space="preserve">SNP2</w:t>
            </w:r>
          </w:p>
        </w:tc>
      </w:tr>
      <w:tr>
        <w:trPr>
          <w:cantSplit w:val="0"/>
          <w:tblHeader w:val="0"/>
        </w:trPr>
        <w:tc>
          <w:tcPr>
            <w:vMerge w:val="continue"/>
            <w:tcBorders>
              <w:top w:color="000000" w:space="0" w:sz="0" w:val="nil"/>
              <w:left w:color="000000" w:space="0" w:sz="0" w:val="nil"/>
              <w:right w:color="000000" w:space="0" w:sz="0" w:val="nil"/>
            </w:tcBorders>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1"/>
                <w:szCs w:val="21"/>
              </w:rPr>
            </w:pPr>
            <w:r w:rsidDel="00000000" w:rsidR="00000000" w:rsidRPr="00000000">
              <w:rPr>
                <w:rtl w:val="0"/>
              </w:rPr>
            </w:r>
          </w:p>
        </w:tc>
        <w:tc>
          <w:tcPr>
            <w:tcBorders>
              <w:top w:color="000000" w:space="0" w:sz="0" w:val="nil"/>
              <w:left w:color="000000" w:space="0" w:sz="0" w:val="nil"/>
            </w:tcBorders>
          </w:tcPr>
          <w:p w:rsidR="00000000" w:rsidDel="00000000" w:rsidP="00000000" w:rsidRDefault="00000000" w:rsidRPr="00000000" w14:paraId="00000036">
            <w:pPr>
              <w:jc w:val="center"/>
              <w:rPr>
                <w:b w:val="1"/>
                <w:sz w:val="21"/>
                <w:szCs w:val="21"/>
              </w:rPr>
            </w:pPr>
            <w:r w:rsidDel="00000000" w:rsidR="00000000" w:rsidRPr="00000000">
              <w:rPr>
                <w:rtl w:val="0"/>
              </w:rPr>
            </w:r>
          </w:p>
        </w:tc>
        <w:tc>
          <w:tcPr/>
          <w:p w:rsidR="00000000" w:rsidDel="00000000" w:rsidP="00000000" w:rsidRDefault="00000000" w:rsidRPr="00000000" w14:paraId="00000037">
            <w:pPr>
              <w:jc w:val="center"/>
              <w:rPr>
                <w:b w:val="1"/>
                <w:sz w:val="21"/>
                <w:szCs w:val="21"/>
              </w:rPr>
            </w:pPr>
            <w:r w:rsidDel="00000000" w:rsidR="00000000" w:rsidRPr="00000000">
              <w:rPr>
                <w:b w:val="1"/>
                <w:sz w:val="21"/>
                <w:szCs w:val="21"/>
                <w:rtl w:val="0"/>
              </w:rPr>
              <w:t xml:space="preserve">BB (0)</w:t>
            </w:r>
          </w:p>
        </w:tc>
        <w:tc>
          <w:tcPr/>
          <w:p w:rsidR="00000000" w:rsidDel="00000000" w:rsidP="00000000" w:rsidRDefault="00000000" w:rsidRPr="00000000" w14:paraId="00000038">
            <w:pPr>
              <w:jc w:val="center"/>
              <w:rPr>
                <w:b w:val="1"/>
                <w:sz w:val="21"/>
                <w:szCs w:val="21"/>
              </w:rPr>
            </w:pPr>
            <w:r w:rsidDel="00000000" w:rsidR="00000000" w:rsidRPr="00000000">
              <w:rPr>
                <w:b w:val="1"/>
                <w:sz w:val="21"/>
                <w:szCs w:val="21"/>
                <w:rtl w:val="0"/>
              </w:rPr>
              <w:t xml:space="preserve">Bb (1)</w:t>
            </w:r>
          </w:p>
        </w:tc>
        <w:tc>
          <w:tcPr/>
          <w:p w:rsidR="00000000" w:rsidDel="00000000" w:rsidP="00000000" w:rsidRDefault="00000000" w:rsidRPr="00000000" w14:paraId="00000039">
            <w:pPr>
              <w:jc w:val="center"/>
              <w:rPr>
                <w:b w:val="1"/>
                <w:sz w:val="21"/>
                <w:szCs w:val="21"/>
              </w:rPr>
            </w:pPr>
            <w:r w:rsidDel="00000000" w:rsidR="00000000" w:rsidRPr="00000000">
              <w:rPr>
                <w:b w:val="1"/>
                <w:sz w:val="21"/>
                <w:szCs w:val="21"/>
                <w:rtl w:val="0"/>
              </w:rPr>
              <w:t xml:space="preserve">bb (2)</w:t>
            </w:r>
          </w:p>
        </w:tc>
      </w:tr>
      <w:tr>
        <w:trPr>
          <w:cantSplit w:val="0"/>
          <w:tblHeader w:val="0"/>
        </w:trPr>
        <w:tc>
          <w:tcPr>
            <w:vMerge w:val="restart"/>
          </w:tcPr>
          <w:p w:rsidR="00000000" w:rsidDel="00000000" w:rsidP="00000000" w:rsidRDefault="00000000" w:rsidRPr="00000000" w14:paraId="0000003A">
            <w:pPr>
              <w:jc w:val="center"/>
              <w:rPr>
                <w:b w:val="1"/>
                <w:sz w:val="21"/>
                <w:szCs w:val="21"/>
              </w:rPr>
            </w:pPr>
            <w:r w:rsidDel="00000000" w:rsidR="00000000" w:rsidRPr="00000000">
              <w:rPr>
                <w:b w:val="1"/>
                <w:sz w:val="21"/>
                <w:szCs w:val="21"/>
                <w:rtl w:val="0"/>
              </w:rPr>
              <w:t xml:space="preserve">SNP1</w:t>
            </w:r>
          </w:p>
        </w:tc>
        <w:tc>
          <w:tcPr/>
          <w:p w:rsidR="00000000" w:rsidDel="00000000" w:rsidP="00000000" w:rsidRDefault="00000000" w:rsidRPr="00000000" w14:paraId="0000003B">
            <w:pPr>
              <w:jc w:val="center"/>
              <w:rPr>
                <w:b w:val="1"/>
                <w:sz w:val="21"/>
                <w:szCs w:val="21"/>
              </w:rPr>
            </w:pPr>
            <w:r w:rsidDel="00000000" w:rsidR="00000000" w:rsidRPr="00000000">
              <w:rPr>
                <w:b w:val="1"/>
                <w:sz w:val="21"/>
                <w:szCs w:val="21"/>
                <w:rtl w:val="0"/>
              </w:rPr>
              <w:t xml:space="preserve">AA (0)</w:t>
            </w:r>
          </w:p>
        </w:tc>
        <w:tc>
          <w:tcPr/>
          <w:p w:rsidR="00000000" w:rsidDel="00000000" w:rsidP="00000000" w:rsidRDefault="00000000" w:rsidRPr="00000000" w14:paraId="0000003C">
            <w:pPr>
              <w:jc w:val="center"/>
              <w:rPr>
                <w:sz w:val="21"/>
                <w:szCs w:val="21"/>
              </w:rPr>
            </w:pPr>
            <w:r w:rsidDel="00000000" w:rsidR="00000000" w:rsidRPr="00000000">
              <w:rPr>
                <w:sz w:val="21"/>
                <w:szCs w:val="21"/>
                <w:rtl w:val="0"/>
              </w:rPr>
              <w:t xml:space="preserve">0</w:t>
            </w:r>
          </w:p>
        </w:tc>
        <w:tc>
          <w:tcPr/>
          <w:p w:rsidR="00000000" w:rsidDel="00000000" w:rsidP="00000000" w:rsidRDefault="00000000" w:rsidRPr="00000000" w14:paraId="0000003D">
            <w:pPr>
              <w:jc w:val="center"/>
              <w:rPr>
                <w:sz w:val="21"/>
                <w:szCs w:val="21"/>
              </w:rPr>
            </w:pPr>
            <w:r w:rsidDel="00000000" w:rsidR="00000000" w:rsidRPr="00000000">
              <w:rPr>
                <w:sz w:val="21"/>
                <w:szCs w:val="21"/>
                <w:rtl w:val="0"/>
              </w:rPr>
              <w:t xml:space="preserve">0</w:t>
            </w:r>
          </w:p>
        </w:tc>
        <w:tc>
          <w:tcPr/>
          <w:p w:rsidR="00000000" w:rsidDel="00000000" w:rsidP="00000000" w:rsidRDefault="00000000" w:rsidRPr="00000000" w14:paraId="0000003E">
            <w:pPr>
              <w:jc w:val="center"/>
              <w:rPr>
                <w:sz w:val="21"/>
                <w:szCs w:val="21"/>
              </w:rPr>
            </w:pPr>
            <w:r w:rsidDel="00000000" w:rsidR="00000000" w:rsidRPr="00000000">
              <w:rPr>
                <w:sz w:val="21"/>
                <w:szCs w:val="21"/>
                <w:rtl w:val="0"/>
              </w:rPr>
              <w:t xml:space="preserve">0</w:t>
            </w:r>
          </w:p>
        </w:tc>
      </w:tr>
      <w:tr>
        <w:trPr>
          <w:cantSplit w:val="0"/>
          <w:tblHeader w:val="0"/>
        </w:trPr>
        <w:tc>
          <w:tcPr>
            <w:vMerge w:val="continue"/>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1"/>
                <w:szCs w:val="21"/>
              </w:rPr>
            </w:pPr>
            <w:r w:rsidDel="00000000" w:rsidR="00000000" w:rsidRPr="00000000">
              <w:rPr>
                <w:rtl w:val="0"/>
              </w:rPr>
            </w:r>
          </w:p>
        </w:tc>
        <w:tc>
          <w:tcPr/>
          <w:p w:rsidR="00000000" w:rsidDel="00000000" w:rsidP="00000000" w:rsidRDefault="00000000" w:rsidRPr="00000000" w14:paraId="00000040">
            <w:pPr>
              <w:jc w:val="center"/>
              <w:rPr>
                <w:b w:val="1"/>
                <w:sz w:val="21"/>
                <w:szCs w:val="21"/>
              </w:rPr>
            </w:pPr>
            <w:r w:rsidDel="00000000" w:rsidR="00000000" w:rsidRPr="00000000">
              <w:rPr>
                <w:b w:val="1"/>
                <w:sz w:val="21"/>
                <w:szCs w:val="21"/>
                <w:rtl w:val="0"/>
              </w:rPr>
              <w:t xml:space="preserve">Aa (1)</w:t>
            </w:r>
          </w:p>
        </w:tc>
        <w:tc>
          <w:tcPr/>
          <w:p w:rsidR="00000000" w:rsidDel="00000000" w:rsidP="00000000" w:rsidRDefault="00000000" w:rsidRPr="00000000" w14:paraId="00000041">
            <w:pPr>
              <w:jc w:val="center"/>
              <w:rPr>
                <w:sz w:val="21"/>
                <w:szCs w:val="21"/>
              </w:rPr>
            </w:pPr>
            <w:r w:rsidDel="00000000" w:rsidR="00000000" w:rsidRPr="00000000">
              <w:rPr>
                <w:sz w:val="21"/>
                <w:szCs w:val="21"/>
                <w:rtl w:val="0"/>
              </w:rPr>
              <w:t xml:space="preserve">0</w:t>
            </w:r>
          </w:p>
        </w:tc>
        <w:tc>
          <w:tcPr/>
          <w:p w:rsidR="00000000" w:rsidDel="00000000" w:rsidP="00000000" w:rsidRDefault="00000000" w:rsidRPr="00000000" w14:paraId="00000042">
            <w:pPr>
              <w:jc w:val="center"/>
              <w:rPr>
                <w:sz w:val="21"/>
                <w:szCs w:val="21"/>
              </w:rPr>
            </w:pPr>
            <w:r w:rsidDel="00000000" w:rsidR="00000000" w:rsidRPr="00000000">
              <w:rPr>
                <w:sz w:val="21"/>
                <w:szCs w:val="21"/>
                <w:rtl w:val="0"/>
              </w:rPr>
              <w:t xml:space="preserve">1</w:t>
            </w:r>
          </w:p>
        </w:tc>
        <w:tc>
          <w:tcPr/>
          <w:p w:rsidR="00000000" w:rsidDel="00000000" w:rsidP="00000000" w:rsidRDefault="00000000" w:rsidRPr="00000000" w14:paraId="00000043">
            <w:pPr>
              <w:jc w:val="center"/>
              <w:rPr>
                <w:sz w:val="21"/>
                <w:szCs w:val="21"/>
              </w:rPr>
            </w:pPr>
            <w:r w:rsidDel="00000000" w:rsidR="00000000" w:rsidRPr="00000000">
              <w:rPr>
                <w:sz w:val="21"/>
                <w:szCs w:val="21"/>
                <w:rtl w:val="0"/>
              </w:rPr>
              <w:t xml:space="preserve">2</w:t>
            </w:r>
          </w:p>
        </w:tc>
      </w:tr>
      <w:tr>
        <w:trPr>
          <w:cantSplit w:val="0"/>
          <w:tblHeader w:val="0"/>
        </w:trPr>
        <w:tc>
          <w:tcPr>
            <w:vMerge w:val="continue"/>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1"/>
                <w:szCs w:val="21"/>
              </w:rPr>
            </w:pPr>
            <w:r w:rsidDel="00000000" w:rsidR="00000000" w:rsidRPr="00000000">
              <w:rPr>
                <w:rtl w:val="0"/>
              </w:rPr>
            </w:r>
          </w:p>
        </w:tc>
        <w:tc>
          <w:tcPr/>
          <w:p w:rsidR="00000000" w:rsidDel="00000000" w:rsidP="00000000" w:rsidRDefault="00000000" w:rsidRPr="00000000" w14:paraId="00000045">
            <w:pPr>
              <w:jc w:val="center"/>
              <w:rPr>
                <w:b w:val="1"/>
                <w:sz w:val="21"/>
                <w:szCs w:val="21"/>
              </w:rPr>
            </w:pPr>
            <w:r w:rsidDel="00000000" w:rsidR="00000000" w:rsidRPr="00000000">
              <w:rPr>
                <w:b w:val="1"/>
                <w:sz w:val="21"/>
                <w:szCs w:val="21"/>
                <w:rtl w:val="0"/>
              </w:rPr>
              <w:t xml:space="preserve">aa (2)</w:t>
            </w:r>
          </w:p>
        </w:tc>
        <w:tc>
          <w:tcPr/>
          <w:p w:rsidR="00000000" w:rsidDel="00000000" w:rsidP="00000000" w:rsidRDefault="00000000" w:rsidRPr="00000000" w14:paraId="00000046">
            <w:pPr>
              <w:jc w:val="center"/>
              <w:rPr>
                <w:sz w:val="21"/>
                <w:szCs w:val="21"/>
              </w:rPr>
            </w:pPr>
            <w:r w:rsidDel="00000000" w:rsidR="00000000" w:rsidRPr="00000000">
              <w:rPr>
                <w:sz w:val="21"/>
                <w:szCs w:val="21"/>
                <w:rtl w:val="0"/>
              </w:rPr>
              <w:t xml:space="preserve">0</w:t>
            </w:r>
          </w:p>
        </w:tc>
        <w:tc>
          <w:tcPr/>
          <w:p w:rsidR="00000000" w:rsidDel="00000000" w:rsidP="00000000" w:rsidRDefault="00000000" w:rsidRPr="00000000" w14:paraId="00000047">
            <w:pPr>
              <w:jc w:val="center"/>
              <w:rPr>
                <w:sz w:val="21"/>
                <w:szCs w:val="21"/>
              </w:rPr>
            </w:pPr>
            <w:r w:rsidDel="00000000" w:rsidR="00000000" w:rsidRPr="00000000">
              <w:rPr>
                <w:sz w:val="21"/>
                <w:szCs w:val="21"/>
                <w:rtl w:val="0"/>
              </w:rPr>
              <w:t xml:space="preserve">2</w:t>
            </w:r>
          </w:p>
        </w:tc>
        <w:tc>
          <w:tcPr/>
          <w:p w:rsidR="00000000" w:rsidDel="00000000" w:rsidP="00000000" w:rsidRDefault="00000000" w:rsidRPr="00000000" w14:paraId="00000048">
            <w:pPr>
              <w:jc w:val="center"/>
              <w:rPr>
                <w:sz w:val="21"/>
                <w:szCs w:val="21"/>
              </w:rPr>
            </w:pPr>
            <w:r w:rsidDel="00000000" w:rsidR="00000000" w:rsidRPr="00000000">
              <w:rPr>
                <w:sz w:val="21"/>
                <w:szCs w:val="21"/>
                <w:rtl w:val="0"/>
              </w:rPr>
              <w:t xml:space="preserve">4</w:t>
            </w:r>
          </w:p>
        </w:tc>
      </w:tr>
    </w:tbl>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b. Theoretical reaction norms of the Cartesian model between two loci. Red and blue dashed lines are the reaction norms for the homozygous genotypes for SNP1. Green dashed line represents the reaction norm for the heterozygous genotype for SNP1. SNP2 genotypes are on the x-axis. Hypothetical phenotypic scores are on the y-axis.</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drawing>
          <wp:inline distB="0" distT="0" distL="0" distR="0">
            <wp:extent cx="5935980" cy="3777615"/>
            <wp:effectExtent b="0" l="0" r="0" t="0"/>
            <wp:docPr id="94756605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935980" cy="3777615"/>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jc w:val="cente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III. XOR full penetrance two-way model of epistasis.</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a. The XOR full penetrance model of epistasis (1). Marginal penetrance values represent phenotypic scores (or disease states) that are equal among single genotypes. Thus, full penetrance is only detectable in multi-locus genotypes (MLGs). XOR is not linearly separable. Numbers in parenthesis are the genotype encodings used in the raw data.</w:t>
      </w:r>
    </w:p>
    <w:p w:rsidR="00000000" w:rsidDel="00000000" w:rsidP="00000000" w:rsidRDefault="00000000" w:rsidRPr="00000000" w14:paraId="00000058">
      <w:pPr>
        <w:rPr/>
      </w:pPr>
      <w:r w:rsidDel="00000000" w:rsidR="00000000" w:rsidRPr="00000000">
        <w:rPr>
          <w:rtl w:val="0"/>
        </w:rPr>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15"/>
        <w:gridCol w:w="2070"/>
        <w:gridCol w:w="1350"/>
        <w:gridCol w:w="1350"/>
        <w:gridCol w:w="1530"/>
        <w:gridCol w:w="2335"/>
        <w:tblGridChange w:id="0">
          <w:tblGrid>
            <w:gridCol w:w="715"/>
            <w:gridCol w:w="2070"/>
            <w:gridCol w:w="1350"/>
            <w:gridCol w:w="1350"/>
            <w:gridCol w:w="1530"/>
            <w:gridCol w:w="2335"/>
          </w:tblGrid>
        </w:tblGridChange>
      </w:tblGrid>
      <w:tr>
        <w:trPr>
          <w:cantSplit w:val="0"/>
          <w:tblHeader w:val="0"/>
        </w:trPr>
        <w:tc>
          <w:tcPr>
            <w:gridSpan w:val="2"/>
            <w:vMerge w:val="restart"/>
            <w:tcBorders>
              <w:top w:color="000000" w:space="0" w:sz="0" w:val="nil"/>
              <w:left w:color="000000" w:space="0" w:sz="0" w:val="nil"/>
            </w:tcBorders>
            <w:vAlign w:val="center"/>
          </w:tcPr>
          <w:p w:rsidR="00000000" w:rsidDel="00000000" w:rsidP="00000000" w:rsidRDefault="00000000" w:rsidRPr="00000000" w14:paraId="00000059">
            <w:pPr>
              <w:jc w:val="center"/>
              <w:rPr>
                <w:b w:val="1"/>
                <w:sz w:val="20"/>
                <w:szCs w:val="20"/>
              </w:rPr>
            </w:pPr>
            <w:r w:rsidDel="00000000" w:rsidR="00000000" w:rsidRPr="00000000">
              <w:rPr>
                <w:rtl w:val="0"/>
              </w:rPr>
            </w:r>
          </w:p>
        </w:tc>
        <w:tc>
          <w:tcPr>
            <w:gridSpan w:val="4"/>
          </w:tcPr>
          <w:p w:rsidR="00000000" w:rsidDel="00000000" w:rsidP="00000000" w:rsidRDefault="00000000" w:rsidRPr="00000000" w14:paraId="0000005B">
            <w:pPr>
              <w:jc w:val="center"/>
              <w:rPr>
                <w:b w:val="1"/>
                <w:sz w:val="20"/>
                <w:szCs w:val="20"/>
              </w:rPr>
            </w:pPr>
            <w:r w:rsidDel="00000000" w:rsidR="00000000" w:rsidRPr="00000000">
              <w:rPr>
                <w:b w:val="1"/>
                <w:sz w:val="20"/>
                <w:szCs w:val="20"/>
                <w:rtl w:val="0"/>
              </w:rPr>
              <w:t xml:space="preserve">SNP2</w:t>
            </w:r>
          </w:p>
        </w:tc>
      </w:tr>
      <w:tr>
        <w:trPr>
          <w:cantSplit w:val="0"/>
          <w:tblHeader w:val="0"/>
        </w:trPr>
        <w:tc>
          <w:tcPr>
            <w:gridSpan w:val="2"/>
            <w:vMerge w:val="continue"/>
            <w:tcBorders>
              <w:top w:color="000000" w:space="0" w:sz="0" w:val="nil"/>
              <w:left w:color="000000" w:space="0" w:sz="0" w:val="nil"/>
            </w:tcBorders>
            <w:vAlign w:val="cente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0"/>
                <w:szCs w:val="20"/>
              </w:rPr>
            </w:pPr>
            <w:r w:rsidDel="00000000" w:rsidR="00000000" w:rsidRPr="00000000">
              <w:rPr>
                <w:rtl w:val="0"/>
              </w:rPr>
            </w:r>
          </w:p>
        </w:tc>
        <w:tc>
          <w:tcPr/>
          <w:p w:rsidR="00000000" w:rsidDel="00000000" w:rsidP="00000000" w:rsidRDefault="00000000" w:rsidRPr="00000000" w14:paraId="00000061">
            <w:pPr>
              <w:jc w:val="center"/>
              <w:rPr>
                <w:b w:val="1"/>
                <w:sz w:val="20"/>
                <w:szCs w:val="20"/>
              </w:rPr>
            </w:pPr>
            <w:r w:rsidDel="00000000" w:rsidR="00000000" w:rsidRPr="00000000">
              <w:rPr>
                <w:b w:val="1"/>
                <w:sz w:val="20"/>
                <w:szCs w:val="20"/>
                <w:rtl w:val="0"/>
              </w:rPr>
              <w:t xml:space="preserve">BB (0)</w:t>
            </w:r>
          </w:p>
        </w:tc>
        <w:tc>
          <w:tcPr/>
          <w:p w:rsidR="00000000" w:rsidDel="00000000" w:rsidP="00000000" w:rsidRDefault="00000000" w:rsidRPr="00000000" w14:paraId="00000062">
            <w:pPr>
              <w:jc w:val="center"/>
              <w:rPr>
                <w:b w:val="1"/>
                <w:sz w:val="20"/>
                <w:szCs w:val="20"/>
              </w:rPr>
            </w:pPr>
            <w:r w:rsidDel="00000000" w:rsidR="00000000" w:rsidRPr="00000000">
              <w:rPr>
                <w:b w:val="1"/>
                <w:sz w:val="20"/>
                <w:szCs w:val="20"/>
                <w:rtl w:val="0"/>
              </w:rPr>
              <w:t xml:space="preserve">Bb (1)</w:t>
            </w:r>
          </w:p>
        </w:tc>
        <w:tc>
          <w:tcPr/>
          <w:p w:rsidR="00000000" w:rsidDel="00000000" w:rsidP="00000000" w:rsidRDefault="00000000" w:rsidRPr="00000000" w14:paraId="00000063">
            <w:pPr>
              <w:jc w:val="center"/>
              <w:rPr>
                <w:b w:val="1"/>
                <w:sz w:val="20"/>
                <w:szCs w:val="20"/>
              </w:rPr>
            </w:pPr>
            <w:r w:rsidDel="00000000" w:rsidR="00000000" w:rsidRPr="00000000">
              <w:rPr>
                <w:b w:val="1"/>
                <w:sz w:val="20"/>
                <w:szCs w:val="20"/>
                <w:rtl w:val="0"/>
              </w:rPr>
              <w:t xml:space="preserve">bb (2)</w:t>
            </w:r>
          </w:p>
        </w:tc>
        <w:tc>
          <w:tcPr/>
          <w:p w:rsidR="00000000" w:rsidDel="00000000" w:rsidP="00000000" w:rsidRDefault="00000000" w:rsidRPr="00000000" w14:paraId="00000064">
            <w:pPr>
              <w:jc w:val="center"/>
              <w:rPr>
                <w:b w:val="1"/>
                <w:sz w:val="20"/>
                <w:szCs w:val="20"/>
              </w:rPr>
            </w:pPr>
            <w:r w:rsidDel="00000000" w:rsidR="00000000" w:rsidRPr="00000000">
              <w:rPr>
                <w:b w:val="1"/>
                <w:sz w:val="20"/>
                <w:szCs w:val="20"/>
                <w:rtl w:val="0"/>
              </w:rPr>
              <w:t xml:space="preserve">Marginal Penetrance</w:t>
            </w:r>
          </w:p>
        </w:tc>
      </w:tr>
      <w:tr>
        <w:trPr>
          <w:cantSplit w:val="0"/>
          <w:trHeight w:val="63" w:hRule="atLeast"/>
          <w:tblHeader w:val="0"/>
        </w:trPr>
        <w:tc>
          <w:tcPr>
            <w:vMerge w:val="restart"/>
            <w:vAlign w:val="center"/>
          </w:tcPr>
          <w:p w:rsidR="00000000" w:rsidDel="00000000" w:rsidP="00000000" w:rsidRDefault="00000000" w:rsidRPr="00000000" w14:paraId="00000065">
            <w:pPr>
              <w:jc w:val="center"/>
              <w:rPr>
                <w:sz w:val="20"/>
                <w:szCs w:val="20"/>
              </w:rPr>
            </w:pPr>
            <w:r w:rsidDel="00000000" w:rsidR="00000000" w:rsidRPr="00000000">
              <w:rPr>
                <w:b w:val="1"/>
                <w:sz w:val="20"/>
                <w:szCs w:val="20"/>
                <w:rtl w:val="0"/>
              </w:rPr>
              <w:t xml:space="preserve">SNP1</w:t>
            </w:r>
            <w:r w:rsidDel="00000000" w:rsidR="00000000" w:rsidRPr="00000000">
              <w:rPr>
                <w:rtl w:val="0"/>
              </w:rPr>
            </w:r>
          </w:p>
        </w:tc>
        <w:tc>
          <w:tcPr/>
          <w:p w:rsidR="00000000" w:rsidDel="00000000" w:rsidP="00000000" w:rsidRDefault="00000000" w:rsidRPr="00000000" w14:paraId="00000066">
            <w:pPr>
              <w:jc w:val="center"/>
              <w:rPr>
                <w:b w:val="1"/>
                <w:sz w:val="20"/>
                <w:szCs w:val="20"/>
              </w:rPr>
            </w:pPr>
            <w:r w:rsidDel="00000000" w:rsidR="00000000" w:rsidRPr="00000000">
              <w:rPr>
                <w:b w:val="1"/>
                <w:sz w:val="20"/>
                <w:szCs w:val="20"/>
                <w:rtl w:val="0"/>
              </w:rPr>
              <w:t xml:space="preserve">AA (0)</w:t>
            </w:r>
          </w:p>
        </w:tc>
        <w:tc>
          <w:tcPr/>
          <w:p w:rsidR="00000000" w:rsidDel="00000000" w:rsidP="00000000" w:rsidRDefault="00000000" w:rsidRPr="00000000" w14:paraId="00000067">
            <w:pPr>
              <w:jc w:val="center"/>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068">
            <w:pPr>
              <w:jc w:val="center"/>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069">
            <w:pPr>
              <w:jc w:val="center"/>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06A">
            <w:pPr>
              <w:jc w:val="center"/>
              <w:rPr>
                <w:sz w:val="20"/>
                <w:szCs w:val="20"/>
              </w:rPr>
            </w:pPr>
            <w:r w:rsidDel="00000000" w:rsidR="00000000" w:rsidRPr="00000000">
              <w:rPr>
                <w:sz w:val="20"/>
                <w:szCs w:val="20"/>
                <w:rtl w:val="0"/>
              </w:rPr>
              <w:t xml:space="preserve">0.5</w:t>
            </w:r>
          </w:p>
        </w:tc>
      </w:tr>
      <w:tr>
        <w:trPr>
          <w:cantSplit w:val="0"/>
          <w:tblHeader w:val="0"/>
        </w:trPr>
        <w:tc>
          <w:tcPr>
            <w:vMerge w:val="continue"/>
            <w:vAlign w:val="cente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6C">
            <w:pPr>
              <w:jc w:val="center"/>
              <w:rPr>
                <w:b w:val="1"/>
                <w:sz w:val="20"/>
                <w:szCs w:val="20"/>
              </w:rPr>
            </w:pPr>
            <w:r w:rsidDel="00000000" w:rsidR="00000000" w:rsidRPr="00000000">
              <w:rPr>
                <w:b w:val="1"/>
                <w:sz w:val="20"/>
                <w:szCs w:val="20"/>
                <w:rtl w:val="0"/>
              </w:rPr>
              <w:t xml:space="preserve">Aa (1)</w:t>
            </w:r>
          </w:p>
        </w:tc>
        <w:tc>
          <w:tcPr/>
          <w:p w:rsidR="00000000" w:rsidDel="00000000" w:rsidP="00000000" w:rsidRDefault="00000000" w:rsidRPr="00000000" w14:paraId="0000006D">
            <w:pPr>
              <w:jc w:val="center"/>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06E">
            <w:pPr>
              <w:jc w:val="center"/>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06F">
            <w:pPr>
              <w:jc w:val="center"/>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070">
            <w:pPr>
              <w:jc w:val="center"/>
              <w:rPr>
                <w:sz w:val="20"/>
                <w:szCs w:val="20"/>
              </w:rPr>
            </w:pPr>
            <w:r w:rsidDel="00000000" w:rsidR="00000000" w:rsidRPr="00000000">
              <w:rPr>
                <w:sz w:val="20"/>
                <w:szCs w:val="20"/>
                <w:rtl w:val="0"/>
              </w:rPr>
              <w:t xml:space="preserve">0.5</w:t>
            </w:r>
          </w:p>
        </w:tc>
      </w:tr>
      <w:tr>
        <w:trPr>
          <w:cantSplit w:val="0"/>
          <w:tblHeader w:val="0"/>
        </w:trPr>
        <w:tc>
          <w:tcPr>
            <w:vMerge w:val="continue"/>
            <w:vAlign w:val="cente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72">
            <w:pPr>
              <w:jc w:val="center"/>
              <w:rPr>
                <w:b w:val="1"/>
                <w:sz w:val="20"/>
                <w:szCs w:val="20"/>
              </w:rPr>
            </w:pPr>
            <w:r w:rsidDel="00000000" w:rsidR="00000000" w:rsidRPr="00000000">
              <w:rPr>
                <w:b w:val="1"/>
                <w:sz w:val="20"/>
                <w:szCs w:val="20"/>
                <w:rtl w:val="0"/>
              </w:rPr>
              <w:t xml:space="preserve">aa (2)</w:t>
            </w:r>
          </w:p>
        </w:tc>
        <w:tc>
          <w:tcPr/>
          <w:p w:rsidR="00000000" w:rsidDel="00000000" w:rsidP="00000000" w:rsidRDefault="00000000" w:rsidRPr="00000000" w14:paraId="00000073">
            <w:pPr>
              <w:jc w:val="center"/>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074">
            <w:pPr>
              <w:jc w:val="center"/>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075">
            <w:pPr>
              <w:jc w:val="center"/>
              <w:rPr>
                <w:sz w:val="20"/>
                <w:szCs w:val="20"/>
              </w:rPr>
            </w:pPr>
            <w:r w:rsidDel="00000000" w:rsidR="00000000" w:rsidRPr="00000000">
              <w:rPr>
                <w:sz w:val="20"/>
                <w:szCs w:val="20"/>
                <w:rtl w:val="0"/>
              </w:rPr>
              <w:t xml:space="preserve">0</w:t>
            </w:r>
          </w:p>
        </w:tc>
        <w:tc>
          <w:tcPr>
            <w:tcBorders>
              <w:bottom w:color="000000" w:space="0" w:sz="4" w:val="single"/>
            </w:tcBorders>
          </w:tcPr>
          <w:p w:rsidR="00000000" w:rsidDel="00000000" w:rsidP="00000000" w:rsidRDefault="00000000" w:rsidRPr="00000000" w14:paraId="00000076">
            <w:pPr>
              <w:jc w:val="center"/>
              <w:rPr>
                <w:sz w:val="20"/>
                <w:szCs w:val="20"/>
              </w:rPr>
            </w:pPr>
            <w:r w:rsidDel="00000000" w:rsidR="00000000" w:rsidRPr="00000000">
              <w:rPr>
                <w:sz w:val="20"/>
                <w:szCs w:val="20"/>
                <w:rtl w:val="0"/>
              </w:rPr>
              <w:t xml:space="preserve">0.5</w:t>
            </w:r>
          </w:p>
        </w:tc>
      </w:tr>
      <w:tr>
        <w:trPr>
          <w:cantSplit w:val="0"/>
          <w:tblHeader w:val="0"/>
        </w:trPr>
        <w:tc>
          <w:tcPr>
            <w:vMerge w:val="continue"/>
            <w:vAlign w:val="cente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78">
            <w:pPr>
              <w:jc w:val="center"/>
              <w:rPr>
                <w:b w:val="1"/>
                <w:sz w:val="20"/>
                <w:szCs w:val="20"/>
              </w:rPr>
            </w:pPr>
            <w:r w:rsidDel="00000000" w:rsidR="00000000" w:rsidRPr="00000000">
              <w:rPr>
                <w:b w:val="1"/>
                <w:sz w:val="20"/>
                <w:szCs w:val="20"/>
                <w:rtl w:val="0"/>
              </w:rPr>
              <w:t xml:space="preserve">Marginal Penetrance</w:t>
            </w:r>
          </w:p>
        </w:tc>
        <w:tc>
          <w:tcPr/>
          <w:p w:rsidR="00000000" w:rsidDel="00000000" w:rsidP="00000000" w:rsidRDefault="00000000" w:rsidRPr="00000000" w14:paraId="00000079">
            <w:pPr>
              <w:jc w:val="center"/>
              <w:rPr>
                <w:sz w:val="20"/>
                <w:szCs w:val="20"/>
              </w:rPr>
            </w:pPr>
            <w:r w:rsidDel="00000000" w:rsidR="00000000" w:rsidRPr="00000000">
              <w:rPr>
                <w:sz w:val="20"/>
                <w:szCs w:val="20"/>
                <w:rtl w:val="0"/>
              </w:rPr>
              <w:t xml:space="preserve">0.5</w:t>
            </w:r>
          </w:p>
        </w:tc>
        <w:tc>
          <w:tcPr/>
          <w:p w:rsidR="00000000" w:rsidDel="00000000" w:rsidP="00000000" w:rsidRDefault="00000000" w:rsidRPr="00000000" w14:paraId="0000007A">
            <w:pPr>
              <w:jc w:val="center"/>
              <w:rPr>
                <w:sz w:val="20"/>
                <w:szCs w:val="20"/>
              </w:rPr>
            </w:pPr>
            <w:r w:rsidDel="00000000" w:rsidR="00000000" w:rsidRPr="00000000">
              <w:rPr>
                <w:sz w:val="20"/>
                <w:szCs w:val="20"/>
                <w:rtl w:val="0"/>
              </w:rPr>
              <w:t xml:space="preserve">0.5</w:t>
            </w:r>
          </w:p>
        </w:tc>
        <w:tc>
          <w:tcPr>
            <w:tcBorders>
              <w:right w:color="000000" w:space="0" w:sz="4" w:val="single"/>
            </w:tcBorders>
          </w:tcPr>
          <w:p w:rsidR="00000000" w:rsidDel="00000000" w:rsidP="00000000" w:rsidRDefault="00000000" w:rsidRPr="00000000" w14:paraId="0000007B">
            <w:pPr>
              <w:jc w:val="center"/>
              <w:rPr>
                <w:sz w:val="20"/>
                <w:szCs w:val="20"/>
              </w:rPr>
            </w:pPr>
            <w:r w:rsidDel="00000000" w:rsidR="00000000" w:rsidRPr="00000000">
              <w:rPr>
                <w:sz w:val="20"/>
                <w:szCs w:val="20"/>
                <w:rtl w:val="0"/>
              </w:rPr>
              <w:t xml:space="preserve">0.5</w:t>
            </w:r>
          </w:p>
        </w:tc>
        <w:tc>
          <w:tcPr>
            <w:tcBorders>
              <w:top w:color="000000" w:space="0" w:sz="4" w:val="single"/>
              <w:left w:color="000000" w:space="0" w:sz="4" w:val="single"/>
              <w:bottom w:color="000000" w:space="0" w:sz="0" w:val="nil"/>
              <w:right w:color="000000" w:space="0" w:sz="0" w:val="nil"/>
            </w:tcBorders>
          </w:tcPr>
          <w:p w:rsidR="00000000" w:rsidDel="00000000" w:rsidP="00000000" w:rsidRDefault="00000000" w:rsidRPr="00000000" w14:paraId="0000007C">
            <w:pPr>
              <w:jc w:val="center"/>
              <w:rPr>
                <w:sz w:val="20"/>
                <w:szCs w:val="20"/>
              </w:rPr>
            </w:pPr>
            <w:r w:rsidDel="00000000" w:rsidR="00000000" w:rsidRPr="00000000">
              <w:rPr>
                <w:rtl w:val="0"/>
              </w:rPr>
            </w:r>
          </w:p>
        </w:tc>
      </w:tr>
    </w:tbl>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b. Theoretical reaction norms of the XOR model between two loci. Red and blue dashed lines are the reaction norms for the homozygous genotypes for SNP1. Green dashed line represents the reaction norm for the heterozygous genotype for SNP1. SNP2 genotypes are on the x-axis. Hypothetical phenotypic scores are on the y-axis.</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drawing>
          <wp:inline distB="0" distT="0" distL="0" distR="0">
            <wp:extent cx="5935345" cy="3776345"/>
            <wp:effectExtent b="0" l="0" r="0" t="0"/>
            <wp:docPr id="947566050"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935345" cy="3776345"/>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IV. Summary of parameters for biological enrichment analysis</w:t>
      </w:r>
    </w:p>
    <w:p w:rsidR="00000000" w:rsidDel="00000000" w:rsidP="00000000" w:rsidRDefault="00000000" w:rsidRPr="00000000" w14:paraId="00000082">
      <w:pPr>
        <w:rPr/>
      </w:pPr>
      <w:r w:rsidDel="00000000" w:rsidR="00000000" w:rsidRPr="00000000">
        <w:rPr>
          <w:rtl w:val="0"/>
        </w:rPr>
        <w:t xml:space="preserve">Our enrichment analysis is conducted using the default settings of the gost function within the gprofiler2 library, with the exception of specifying the rat as the organism parameter. Detailed parameter configuration is listed below.</w:t>
      </w:r>
    </w:p>
    <w:tbl>
      <w:tblPr>
        <w:tblStyle w:val="Table4"/>
        <w:tblW w:w="9356.0" w:type="dxa"/>
        <w:jc w:val="left"/>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Layout w:type="fixed"/>
        <w:tblLook w:val="0620"/>
      </w:tblPr>
      <w:tblGrid>
        <w:gridCol w:w="1785"/>
        <w:gridCol w:w="6153"/>
        <w:gridCol w:w="1418"/>
        <w:tblGridChange w:id="0">
          <w:tblGrid>
            <w:gridCol w:w="1785"/>
            <w:gridCol w:w="6153"/>
            <w:gridCol w:w="1418"/>
          </w:tblGrid>
        </w:tblGridChange>
      </w:tblGrid>
      <w:tr>
        <w:trPr>
          <w:cantSplit w:val="0"/>
          <w:trHeight w:val="515" w:hRule="atLeast"/>
          <w:tblHeader w:val="0"/>
        </w:trPr>
        <w:tc>
          <w:tcPr/>
          <w:p w:rsidR="00000000" w:rsidDel="00000000" w:rsidP="00000000" w:rsidRDefault="00000000" w:rsidRPr="00000000" w14:paraId="00000083">
            <w:pPr>
              <w:rPr/>
            </w:pPr>
            <w:r w:rsidDel="00000000" w:rsidR="00000000" w:rsidRPr="00000000">
              <w:rPr>
                <w:rtl w:val="0"/>
              </w:rPr>
              <w:t xml:space="preserve">Parameter</w:t>
            </w:r>
          </w:p>
        </w:tc>
        <w:tc>
          <w:tcPr/>
          <w:p w:rsidR="00000000" w:rsidDel="00000000" w:rsidP="00000000" w:rsidRDefault="00000000" w:rsidRPr="00000000" w14:paraId="00000084">
            <w:pPr>
              <w:rPr/>
            </w:pPr>
            <w:r w:rsidDel="00000000" w:rsidR="00000000" w:rsidRPr="00000000">
              <w:rPr>
                <w:rtl w:val="0"/>
              </w:rPr>
              <w:t xml:space="preserve">Description</w:t>
            </w:r>
          </w:p>
        </w:tc>
        <w:tc>
          <w:tcPr/>
          <w:p w:rsidR="00000000" w:rsidDel="00000000" w:rsidP="00000000" w:rsidRDefault="00000000" w:rsidRPr="00000000" w14:paraId="00000085">
            <w:pPr>
              <w:rPr/>
            </w:pPr>
            <w:r w:rsidDel="00000000" w:rsidR="00000000" w:rsidRPr="00000000">
              <w:rPr>
                <w:rtl w:val="0"/>
              </w:rPr>
              <w:t xml:space="preserve">Value</w:t>
            </w:r>
          </w:p>
        </w:tc>
      </w:tr>
      <w:tr>
        <w:trPr>
          <w:cantSplit w:val="0"/>
          <w:trHeight w:val="515" w:hRule="atLeast"/>
          <w:tblHeader w:val="0"/>
        </w:trPr>
        <w:tc>
          <w:tcPr/>
          <w:p w:rsidR="00000000" w:rsidDel="00000000" w:rsidP="00000000" w:rsidRDefault="00000000" w:rsidRPr="00000000" w14:paraId="00000086">
            <w:pPr>
              <w:rPr/>
            </w:pPr>
            <w:r w:rsidDel="00000000" w:rsidR="00000000" w:rsidRPr="00000000">
              <w:rPr>
                <w:rtl w:val="0"/>
              </w:rPr>
              <w:t xml:space="preserve">organism</w:t>
            </w:r>
          </w:p>
        </w:tc>
        <w:tc>
          <w:tcPr/>
          <w:p w:rsidR="00000000" w:rsidDel="00000000" w:rsidP="00000000" w:rsidRDefault="00000000" w:rsidRPr="00000000" w14:paraId="00000087">
            <w:pPr>
              <w:rPr/>
            </w:pPr>
            <w:r w:rsidDel="00000000" w:rsidR="00000000" w:rsidRPr="00000000">
              <w:rPr>
                <w:rtl w:val="0"/>
              </w:rPr>
              <w:t xml:space="preserve">Organism name constructed by concatenating the first letter of the name and the family name.</w:t>
            </w:r>
          </w:p>
        </w:tc>
        <w:tc>
          <w:tcPr/>
          <w:p w:rsidR="00000000" w:rsidDel="00000000" w:rsidP="00000000" w:rsidRDefault="00000000" w:rsidRPr="00000000" w14:paraId="00000088">
            <w:pPr>
              <w:rPr/>
            </w:pPr>
            <w:r w:rsidDel="00000000" w:rsidR="00000000" w:rsidRPr="00000000">
              <w:rPr>
                <w:rtl w:val="0"/>
              </w:rPr>
              <w:t xml:space="preserve">rnorvegicus</w:t>
            </w:r>
          </w:p>
        </w:tc>
      </w:tr>
      <w:tr>
        <w:trPr>
          <w:cantSplit w:val="0"/>
          <w:trHeight w:val="515" w:hRule="atLeast"/>
          <w:tblHeader w:val="0"/>
        </w:trPr>
        <w:tc>
          <w:tcPr/>
          <w:p w:rsidR="00000000" w:rsidDel="00000000" w:rsidP="00000000" w:rsidRDefault="00000000" w:rsidRPr="00000000" w14:paraId="00000089">
            <w:pPr>
              <w:rPr/>
            </w:pPr>
            <w:r w:rsidDel="00000000" w:rsidR="00000000" w:rsidRPr="00000000">
              <w:rPr>
                <w:rtl w:val="0"/>
              </w:rPr>
              <w:t xml:space="preserve">ordered_query</w:t>
            </w:r>
          </w:p>
        </w:tc>
        <w:tc>
          <w:tcPr/>
          <w:p w:rsidR="00000000" w:rsidDel="00000000" w:rsidP="00000000" w:rsidRDefault="00000000" w:rsidRPr="00000000" w14:paraId="0000008A">
            <w:pPr>
              <w:rPr/>
            </w:pPr>
            <w:r w:rsidDel="00000000" w:rsidR="00000000" w:rsidRPr="00000000">
              <w:rPr>
                <w:rtl w:val="0"/>
              </w:rPr>
              <w:t xml:space="preserve">Used for ranked input gene lists to get GSEA style p-values.</w:t>
            </w:r>
          </w:p>
        </w:tc>
        <w:tc>
          <w:tcPr/>
          <w:p w:rsidR="00000000" w:rsidDel="00000000" w:rsidP="00000000" w:rsidRDefault="00000000" w:rsidRPr="00000000" w14:paraId="0000008B">
            <w:pPr>
              <w:rPr/>
            </w:pPr>
            <w:r w:rsidDel="00000000" w:rsidR="00000000" w:rsidRPr="00000000">
              <w:rPr>
                <w:rtl w:val="0"/>
              </w:rPr>
              <w:t xml:space="preserve">FALSE</w:t>
            </w:r>
          </w:p>
        </w:tc>
      </w:tr>
      <w:tr>
        <w:trPr>
          <w:cantSplit w:val="0"/>
          <w:trHeight w:val="515" w:hRule="atLeast"/>
          <w:tblHeader w:val="0"/>
        </w:trPr>
        <w:tc>
          <w:tcPr/>
          <w:p w:rsidR="00000000" w:rsidDel="00000000" w:rsidP="00000000" w:rsidRDefault="00000000" w:rsidRPr="00000000" w14:paraId="0000008C">
            <w:pPr>
              <w:rPr/>
            </w:pPr>
            <w:r w:rsidDel="00000000" w:rsidR="00000000" w:rsidRPr="00000000">
              <w:rPr>
                <w:rtl w:val="0"/>
              </w:rPr>
              <w:t xml:space="preserve">multi_query</w:t>
            </w:r>
          </w:p>
        </w:tc>
        <w:tc>
          <w:tcPr/>
          <w:p w:rsidR="00000000" w:rsidDel="00000000" w:rsidP="00000000" w:rsidRDefault="00000000" w:rsidRPr="00000000" w14:paraId="0000008D">
            <w:pPr>
              <w:rPr/>
            </w:pPr>
            <w:r w:rsidDel="00000000" w:rsidR="00000000" w:rsidRPr="00000000">
              <w:rPr>
                <w:rtl w:val="0"/>
              </w:rPr>
              <w:t xml:space="preserve">For multiple gene lists, returns a comparison table.</w:t>
            </w:r>
          </w:p>
        </w:tc>
        <w:tc>
          <w:tcPr/>
          <w:p w:rsidR="00000000" w:rsidDel="00000000" w:rsidP="00000000" w:rsidRDefault="00000000" w:rsidRPr="00000000" w14:paraId="0000008E">
            <w:pPr>
              <w:rPr/>
            </w:pPr>
            <w:r w:rsidDel="00000000" w:rsidR="00000000" w:rsidRPr="00000000">
              <w:rPr>
                <w:rtl w:val="0"/>
              </w:rPr>
              <w:t xml:space="preserve">FALSE</w:t>
            </w:r>
          </w:p>
        </w:tc>
      </w:tr>
      <w:tr>
        <w:trPr>
          <w:cantSplit w:val="0"/>
          <w:trHeight w:val="515" w:hRule="atLeast"/>
          <w:tblHeader w:val="0"/>
        </w:trPr>
        <w:tc>
          <w:tcPr/>
          <w:p w:rsidR="00000000" w:rsidDel="00000000" w:rsidP="00000000" w:rsidRDefault="00000000" w:rsidRPr="00000000" w14:paraId="0000008F">
            <w:pPr>
              <w:rPr/>
            </w:pPr>
            <w:r w:rsidDel="00000000" w:rsidR="00000000" w:rsidRPr="00000000">
              <w:rPr>
                <w:rtl w:val="0"/>
              </w:rPr>
              <w:t xml:space="preserve">significant</w:t>
            </w:r>
          </w:p>
        </w:tc>
        <w:tc>
          <w:tcPr/>
          <w:p w:rsidR="00000000" w:rsidDel="00000000" w:rsidP="00000000" w:rsidRDefault="00000000" w:rsidRPr="00000000" w14:paraId="00000090">
            <w:pPr>
              <w:rPr/>
            </w:pPr>
            <w:r w:rsidDel="00000000" w:rsidR="00000000" w:rsidRPr="00000000">
              <w:rPr>
                <w:rtl w:val="0"/>
              </w:rPr>
              <w:t xml:space="preserve">Whether to return all or only statistically significant results.</w:t>
            </w:r>
          </w:p>
        </w:tc>
        <w:tc>
          <w:tcPr/>
          <w:p w:rsidR="00000000" w:rsidDel="00000000" w:rsidP="00000000" w:rsidRDefault="00000000" w:rsidRPr="00000000" w14:paraId="00000091">
            <w:pPr>
              <w:rPr/>
            </w:pPr>
            <w:r w:rsidDel="00000000" w:rsidR="00000000" w:rsidRPr="00000000">
              <w:rPr>
                <w:rtl w:val="0"/>
              </w:rPr>
              <w:t xml:space="preserve">TRUE</w:t>
            </w:r>
          </w:p>
        </w:tc>
      </w:tr>
      <w:tr>
        <w:trPr>
          <w:cantSplit w:val="0"/>
          <w:trHeight w:val="515" w:hRule="atLeast"/>
          <w:tblHeader w:val="0"/>
        </w:trPr>
        <w:tc>
          <w:tcPr/>
          <w:p w:rsidR="00000000" w:rsidDel="00000000" w:rsidP="00000000" w:rsidRDefault="00000000" w:rsidRPr="00000000" w14:paraId="00000092">
            <w:pPr>
              <w:rPr/>
            </w:pPr>
            <w:r w:rsidDel="00000000" w:rsidR="00000000" w:rsidRPr="00000000">
              <w:rPr>
                <w:rtl w:val="0"/>
              </w:rPr>
              <w:t xml:space="preserve">exclude_iea</w:t>
            </w:r>
          </w:p>
        </w:tc>
        <w:tc>
          <w:tcPr/>
          <w:p w:rsidR="00000000" w:rsidDel="00000000" w:rsidP="00000000" w:rsidRDefault="00000000" w:rsidRPr="00000000" w14:paraId="00000093">
            <w:pPr>
              <w:rPr/>
            </w:pPr>
            <w:r w:rsidDel="00000000" w:rsidR="00000000" w:rsidRPr="00000000">
              <w:rPr>
                <w:rtl w:val="0"/>
              </w:rPr>
              <w:t xml:space="preserve">Exclude GO electronic annotations (IEA).</w:t>
            </w:r>
          </w:p>
        </w:tc>
        <w:tc>
          <w:tcPr/>
          <w:p w:rsidR="00000000" w:rsidDel="00000000" w:rsidP="00000000" w:rsidRDefault="00000000" w:rsidRPr="00000000" w14:paraId="00000094">
            <w:pPr>
              <w:rPr/>
            </w:pPr>
            <w:r w:rsidDel="00000000" w:rsidR="00000000" w:rsidRPr="00000000">
              <w:rPr>
                <w:rtl w:val="0"/>
              </w:rPr>
              <w:t xml:space="preserve">FALSE</w:t>
            </w:r>
          </w:p>
        </w:tc>
      </w:tr>
      <w:tr>
        <w:trPr>
          <w:cantSplit w:val="0"/>
          <w:trHeight w:val="515" w:hRule="atLeast"/>
          <w:tblHeader w:val="0"/>
        </w:trPr>
        <w:tc>
          <w:tcPr/>
          <w:p w:rsidR="00000000" w:rsidDel="00000000" w:rsidP="00000000" w:rsidRDefault="00000000" w:rsidRPr="00000000" w14:paraId="00000095">
            <w:pPr>
              <w:rPr/>
            </w:pPr>
            <w:r w:rsidDel="00000000" w:rsidR="00000000" w:rsidRPr="00000000">
              <w:rPr>
                <w:rtl w:val="0"/>
              </w:rPr>
              <w:t xml:space="preserve">measure_underrepresentation</w:t>
            </w:r>
          </w:p>
        </w:tc>
        <w:tc>
          <w:tcPr/>
          <w:p w:rsidR="00000000" w:rsidDel="00000000" w:rsidP="00000000" w:rsidRDefault="00000000" w:rsidRPr="00000000" w14:paraId="00000096">
            <w:pPr>
              <w:rPr/>
            </w:pPr>
            <w:r w:rsidDel="00000000" w:rsidR="00000000" w:rsidRPr="00000000">
              <w:rPr>
                <w:rtl w:val="0"/>
              </w:rPr>
              <w:t xml:space="preserve">Measure underrepresentation of terms.</w:t>
            </w:r>
          </w:p>
        </w:tc>
        <w:tc>
          <w:tcPr/>
          <w:p w:rsidR="00000000" w:rsidDel="00000000" w:rsidP="00000000" w:rsidRDefault="00000000" w:rsidRPr="00000000" w14:paraId="00000097">
            <w:pPr>
              <w:rPr/>
            </w:pPr>
            <w:r w:rsidDel="00000000" w:rsidR="00000000" w:rsidRPr="00000000">
              <w:rPr>
                <w:rtl w:val="0"/>
              </w:rPr>
              <w:t xml:space="preserve">FALSE</w:t>
            </w:r>
          </w:p>
        </w:tc>
      </w:tr>
      <w:tr>
        <w:trPr>
          <w:cantSplit w:val="0"/>
          <w:trHeight w:val="515" w:hRule="atLeast"/>
          <w:tblHeader w:val="0"/>
        </w:trPr>
        <w:tc>
          <w:tcPr/>
          <w:p w:rsidR="00000000" w:rsidDel="00000000" w:rsidP="00000000" w:rsidRDefault="00000000" w:rsidRPr="00000000" w14:paraId="00000098">
            <w:pPr>
              <w:rPr/>
            </w:pPr>
            <w:r w:rsidDel="00000000" w:rsidR="00000000" w:rsidRPr="00000000">
              <w:rPr>
                <w:rtl w:val="0"/>
              </w:rPr>
              <w:t xml:space="preserve">evcodes</w:t>
            </w:r>
          </w:p>
        </w:tc>
        <w:tc>
          <w:tcPr/>
          <w:p w:rsidR="00000000" w:rsidDel="00000000" w:rsidP="00000000" w:rsidRDefault="00000000" w:rsidRPr="00000000" w14:paraId="00000099">
            <w:pPr>
              <w:rPr/>
            </w:pPr>
            <w:r w:rsidDel="00000000" w:rsidR="00000000" w:rsidRPr="00000000">
              <w:rPr>
                <w:rtl w:val="0"/>
              </w:rPr>
              <w:t xml:space="preserve">Include evidence codes in the results.</w:t>
            </w:r>
          </w:p>
        </w:tc>
        <w:tc>
          <w:tcPr/>
          <w:p w:rsidR="00000000" w:rsidDel="00000000" w:rsidP="00000000" w:rsidRDefault="00000000" w:rsidRPr="00000000" w14:paraId="0000009A">
            <w:pPr>
              <w:rPr/>
            </w:pPr>
            <w:r w:rsidDel="00000000" w:rsidR="00000000" w:rsidRPr="00000000">
              <w:rPr>
                <w:rtl w:val="0"/>
              </w:rPr>
              <w:t xml:space="preserve">FALSE</w:t>
            </w:r>
          </w:p>
        </w:tc>
      </w:tr>
      <w:tr>
        <w:trPr>
          <w:cantSplit w:val="0"/>
          <w:trHeight w:val="515" w:hRule="atLeast"/>
          <w:tblHeader w:val="0"/>
        </w:trPr>
        <w:tc>
          <w:tcPr/>
          <w:p w:rsidR="00000000" w:rsidDel="00000000" w:rsidP="00000000" w:rsidRDefault="00000000" w:rsidRPr="00000000" w14:paraId="0000009B">
            <w:pPr>
              <w:rPr/>
            </w:pPr>
            <w:r w:rsidDel="00000000" w:rsidR="00000000" w:rsidRPr="00000000">
              <w:rPr>
                <w:rtl w:val="0"/>
              </w:rPr>
              <w:t xml:space="preserve">user_threshold</w:t>
            </w:r>
          </w:p>
        </w:tc>
        <w:tc>
          <w:tcPr/>
          <w:p w:rsidR="00000000" w:rsidDel="00000000" w:rsidP="00000000" w:rsidRDefault="00000000" w:rsidRPr="00000000" w14:paraId="0000009C">
            <w:pPr>
              <w:rPr/>
            </w:pPr>
            <w:r w:rsidDel="00000000" w:rsidR="00000000" w:rsidRPr="00000000">
              <w:rPr>
                <w:rtl w:val="0"/>
              </w:rPr>
              <w:t xml:space="preserve">Custom p-value threshold for significance.</w:t>
            </w:r>
          </w:p>
        </w:tc>
        <w:tc>
          <w:tcPr/>
          <w:p w:rsidR="00000000" w:rsidDel="00000000" w:rsidP="00000000" w:rsidRDefault="00000000" w:rsidRPr="00000000" w14:paraId="0000009D">
            <w:pPr>
              <w:rPr/>
            </w:pPr>
            <w:r w:rsidDel="00000000" w:rsidR="00000000" w:rsidRPr="00000000">
              <w:rPr>
                <w:rtl w:val="0"/>
              </w:rPr>
              <w:t xml:space="preserve">0.05</w:t>
            </w:r>
          </w:p>
        </w:tc>
      </w:tr>
      <w:tr>
        <w:trPr>
          <w:cantSplit w:val="0"/>
          <w:trHeight w:val="515" w:hRule="atLeast"/>
          <w:tblHeader w:val="0"/>
        </w:trPr>
        <w:tc>
          <w:tcPr/>
          <w:p w:rsidR="00000000" w:rsidDel="00000000" w:rsidP="00000000" w:rsidRDefault="00000000" w:rsidRPr="00000000" w14:paraId="0000009E">
            <w:pPr>
              <w:rPr/>
            </w:pPr>
            <w:r w:rsidDel="00000000" w:rsidR="00000000" w:rsidRPr="00000000">
              <w:rPr>
                <w:rtl w:val="0"/>
              </w:rPr>
              <w:t xml:space="preserve">correction_method</w:t>
            </w:r>
          </w:p>
        </w:tc>
        <w:tc>
          <w:tcPr/>
          <w:p w:rsidR="00000000" w:rsidDel="00000000" w:rsidP="00000000" w:rsidRDefault="00000000" w:rsidRPr="00000000" w14:paraId="0000009F">
            <w:pPr>
              <w:rPr/>
            </w:pPr>
            <w:r w:rsidDel="00000000" w:rsidR="00000000" w:rsidRPr="00000000">
              <w:rPr>
                <w:rtl w:val="0"/>
              </w:rPr>
              <w:t xml:space="preserve">Algorithm used for multiple testing correction.</w:t>
            </w:r>
          </w:p>
        </w:tc>
        <w:tc>
          <w:tcPr/>
          <w:p w:rsidR="00000000" w:rsidDel="00000000" w:rsidP="00000000" w:rsidRDefault="00000000" w:rsidRPr="00000000" w14:paraId="000000A0">
            <w:pPr>
              <w:rPr/>
            </w:pPr>
            <w:r w:rsidDel="00000000" w:rsidR="00000000" w:rsidRPr="00000000">
              <w:rPr>
                <w:rtl w:val="0"/>
              </w:rPr>
              <w:t xml:space="preserve">g_SCS</w:t>
            </w:r>
          </w:p>
        </w:tc>
      </w:tr>
      <w:tr>
        <w:trPr>
          <w:cantSplit w:val="0"/>
          <w:trHeight w:val="515" w:hRule="atLeast"/>
          <w:tblHeader w:val="0"/>
        </w:trPr>
        <w:tc>
          <w:tcPr/>
          <w:p w:rsidR="00000000" w:rsidDel="00000000" w:rsidP="00000000" w:rsidRDefault="00000000" w:rsidRPr="00000000" w14:paraId="000000A1">
            <w:pPr>
              <w:rPr/>
            </w:pPr>
            <w:r w:rsidDel="00000000" w:rsidR="00000000" w:rsidRPr="00000000">
              <w:rPr>
                <w:rtl w:val="0"/>
              </w:rPr>
              <w:t xml:space="preserve">domain_scope</w:t>
            </w:r>
          </w:p>
        </w:tc>
        <w:tc>
          <w:tcPr/>
          <w:p w:rsidR="00000000" w:rsidDel="00000000" w:rsidP="00000000" w:rsidRDefault="00000000" w:rsidRPr="00000000" w14:paraId="000000A2">
            <w:pPr>
              <w:rPr/>
            </w:pPr>
            <w:r w:rsidDel="00000000" w:rsidR="00000000" w:rsidRPr="00000000">
              <w:rPr>
                <w:rtl w:val="0"/>
              </w:rPr>
              <w:t xml:space="preserve">Defines statistical domain.</w:t>
            </w:r>
          </w:p>
        </w:tc>
        <w:tc>
          <w:tcPr/>
          <w:p w:rsidR="00000000" w:rsidDel="00000000" w:rsidP="00000000" w:rsidRDefault="00000000" w:rsidRPr="00000000" w14:paraId="000000A3">
            <w:pPr>
              <w:rPr/>
            </w:pPr>
            <w:r w:rsidDel="00000000" w:rsidR="00000000" w:rsidRPr="00000000">
              <w:rPr>
                <w:rtl w:val="0"/>
              </w:rPr>
              <w:t xml:space="preserve">custom</w:t>
            </w:r>
          </w:p>
        </w:tc>
      </w:tr>
      <w:tr>
        <w:trPr>
          <w:cantSplit w:val="0"/>
          <w:trHeight w:val="515" w:hRule="atLeast"/>
          <w:tblHeader w:val="0"/>
        </w:trPr>
        <w:tc>
          <w:tcPr/>
          <w:p w:rsidR="00000000" w:rsidDel="00000000" w:rsidP="00000000" w:rsidRDefault="00000000" w:rsidRPr="00000000" w14:paraId="000000A4">
            <w:pPr>
              <w:rPr/>
            </w:pPr>
            <w:r w:rsidDel="00000000" w:rsidR="00000000" w:rsidRPr="00000000">
              <w:rPr>
                <w:rtl w:val="0"/>
              </w:rPr>
              <w:t xml:space="preserve">custom_bg</w:t>
            </w:r>
          </w:p>
        </w:tc>
        <w:tc>
          <w:tcPr/>
          <w:p w:rsidR="00000000" w:rsidDel="00000000" w:rsidP="00000000" w:rsidRDefault="00000000" w:rsidRPr="00000000" w14:paraId="000000A5">
            <w:pPr>
              <w:rPr/>
            </w:pPr>
            <w:r w:rsidDel="00000000" w:rsidR="00000000" w:rsidRPr="00000000">
              <w:rPr>
                <w:rtl w:val="0"/>
              </w:rPr>
              <w:t xml:space="preserve">Vector of gene names used as statistical background.</w:t>
            </w:r>
          </w:p>
        </w:tc>
        <w:tc>
          <w:tcPr/>
          <w:p w:rsidR="00000000" w:rsidDel="00000000" w:rsidP="00000000" w:rsidRDefault="00000000" w:rsidRPr="00000000" w14:paraId="000000A6">
            <w:pPr>
              <w:rPr/>
            </w:pPr>
            <w:r w:rsidDel="00000000" w:rsidR="00000000" w:rsidRPr="00000000">
              <w:rPr>
                <w:rtl w:val="0"/>
              </w:rPr>
            </w:r>
          </w:p>
        </w:tc>
      </w:tr>
      <w:tr>
        <w:trPr>
          <w:cantSplit w:val="0"/>
          <w:trHeight w:val="515" w:hRule="atLeast"/>
          <w:tblHeader w:val="0"/>
        </w:trPr>
        <w:tc>
          <w:tcPr/>
          <w:p w:rsidR="00000000" w:rsidDel="00000000" w:rsidP="00000000" w:rsidRDefault="00000000" w:rsidRPr="00000000" w14:paraId="000000A7">
            <w:pPr>
              <w:rPr/>
            </w:pPr>
            <w:r w:rsidDel="00000000" w:rsidR="00000000" w:rsidRPr="00000000">
              <w:rPr>
                <w:rtl w:val="0"/>
              </w:rPr>
              <w:t xml:space="preserve">numeric_ns</w:t>
            </w:r>
          </w:p>
        </w:tc>
        <w:tc>
          <w:tcPr/>
          <w:p w:rsidR="00000000" w:rsidDel="00000000" w:rsidP="00000000" w:rsidRDefault="00000000" w:rsidRPr="00000000" w14:paraId="000000A8">
            <w:pPr>
              <w:rPr/>
            </w:pPr>
            <w:r w:rsidDel="00000000" w:rsidR="00000000" w:rsidRPr="00000000">
              <w:rPr>
                <w:rtl w:val="0"/>
              </w:rPr>
              <w:t xml:space="preserve">Namespace for fully numeric IDs.</w:t>
            </w:r>
          </w:p>
        </w:tc>
        <w:tc>
          <w:tcPr/>
          <w:p w:rsidR="00000000" w:rsidDel="00000000" w:rsidP="00000000" w:rsidRDefault="00000000" w:rsidRPr="00000000" w14:paraId="000000A9">
            <w:pPr>
              <w:rPr/>
            </w:pPr>
            <w:r w:rsidDel="00000000" w:rsidR="00000000" w:rsidRPr="00000000">
              <w:rPr>
                <w:rtl w:val="0"/>
              </w:rPr>
              <w:t xml:space="preserve">N/A</w:t>
            </w:r>
          </w:p>
        </w:tc>
      </w:tr>
      <w:tr>
        <w:trPr>
          <w:cantSplit w:val="0"/>
          <w:trHeight w:val="515" w:hRule="atLeast"/>
          <w:tblHeader w:val="0"/>
        </w:trPr>
        <w:tc>
          <w:tcPr/>
          <w:p w:rsidR="00000000" w:rsidDel="00000000" w:rsidP="00000000" w:rsidRDefault="00000000" w:rsidRPr="00000000" w14:paraId="000000AA">
            <w:pPr>
              <w:rPr/>
            </w:pPr>
            <w:r w:rsidDel="00000000" w:rsidR="00000000" w:rsidRPr="00000000">
              <w:rPr>
                <w:rtl w:val="0"/>
              </w:rPr>
              <w:t xml:space="preserve">sources</w:t>
            </w:r>
          </w:p>
        </w:tc>
        <w:tc>
          <w:tcPr/>
          <w:p w:rsidR="00000000" w:rsidDel="00000000" w:rsidP="00000000" w:rsidRDefault="00000000" w:rsidRPr="00000000" w14:paraId="000000AB">
            <w:pPr>
              <w:rPr/>
            </w:pPr>
            <w:r w:rsidDel="00000000" w:rsidR="00000000" w:rsidRPr="00000000">
              <w:rPr>
                <w:rtl w:val="0"/>
              </w:rPr>
              <w:t xml:space="preserve">Vector of data sources to use.</w:t>
            </w:r>
          </w:p>
        </w:tc>
        <w:tc>
          <w:tcPr/>
          <w:p w:rsidR="00000000" w:rsidDel="00000000" w:rsidP="00000000" w:rsidRDefault="00000000" w:rsidRPr="00000000" w14:paraId="000000AC">
            <w:pPr>
              <w:rPr/>
            </w:pPr>
            <w:r w:rsidDel="00000000" w:rsidR="00000000" w:rsidRPr="00000000">
              <w:rPr>
                <w:rtl w:val="0"/>
              </w:rPr>
              <w:t xml:space="preserve">NULL</w:t>
            </w:r>
          </w:p>
        </w:tc>
      </w:tr>
      <w:tr>
        <w:trPr>
          <w:cantSplit w:val="0"/>
          <w:trHeight w:val="515" w:hRule="atLeast"/>
          <w:tblHeader w:val="0"/>
        </w:trPr>
        <w:tc>
          <w:tcPr/>
          <w:p w:rsidR="00000000" w:rsidDel="00000000" w:rsidP="00000000" w:rsidRDefault="00000000" w:rsidRPr="00000000" w14:paraId="000000AD">
            <w:pPr>
              <w:rPr/>
            </w:pPr>
            <w:r w:rsidDel="00000000" w:rsidR="00000000" w:rsidRPr="00000000">
              <w:rPr>
                <w:rtl w:val="0"/>
              </w:rPr>
              <w:t xml:space="preserve">as_short_link</w:t>
            </w:r>
          </w:p>
        </w:tc>
        <w:tc>
          <w:tcPr/>
          <w:p w:rsidR="00000000" w:rsidDel="00000000" w:rsidP="00000000" w:rsidRDefault="00000000" w:rsidRPr="00000000" w14:paraId="000000AE">
            <w:pPr>
              <w:rPr/>
            </w:pPr>
            <w:r w:rsidDel="00000000" w:rsidR="00000000" w:rsidRPr="00000000">
              <w:rPr>
                <w:rtl w:val="0"/>
              </w:rPr>
              <w:t xml:space="preserve">Return results as a short-link to the g:Profiler web tool.</w:t>
            </w:r>
          </w:p>
        </w:tc>
        <w:tc>
          <w:tcPr/>
          <w:p w:rsidR="00000000" w:rsidDel="00000000" w:rsidP="00000000" w:rsidRDefault="00000000" w:rsidRPr="00000000" w14:paraId="000000AF">
            <w:pPr>
              <w:rPr/>
            </w:pPr>
            <w:r w:rsidDel="00000000" w:rsidR="00000000" w:rsidRPr="00000000">
              <w:rPr>
                <w:rtl w:val="0"/>
              </w:rPr>
              <w:t xml:space="preserve">FALSE</w:t>
            </w:r>
          </w:p>
        </w:tc>
      </w:tr>
      <w:tr>
        <w:trPr>
          <w:cantSplit w:val="0"/>
          <w:trHeight w:val="515" w:hRule="atLeast"/>
          <w:tblHeader w:val="0"/>
        </w:trPr>
        <w:tc>
          <w:tcPr/>
          <w:p w:rsidR="00000000" w:rsidDel="00000000" w:rsidP="00000000" w:rsidRDefault="00000000" w:rsidRPr="00000000" w14:paraId="000000B0">
            <w:pPr>
              <w:rPr/>
            </w:pPr>
            <w:r w:rsidDel="00000000" w:rsidR="00000000" w:rsidRPr="00000000">
              <w:rPr>
                <w:rtl w:val="0"/>
              </w:rPr>
              <w:t xml:space="preserve">highlight</w:t>
            </w:r>
          </w:p>
        </w:tc>
        <w:tc>
          <w:tcPr/>
          <w:p w:rsidR="00000000" w:rsidDel="00000000" w:rsidP="00000000" w:rsidRDefault="00000000" w:rsidRPr="00000000" w14:paraId="000000B1">
            <w:pPr>
              <w:rPr/>
            </w:pPr>
            <w:r w:rsidDel="00000000" w:rsidR="00000000" w:rsidRPr="00000000">
              <w:rPr>
                <w:rtl w:val="0"/>
              </w:rPr>
              <w:t xml:space="preserve">Return a column to indicate driver terms in GO.</w:t>
            </w:r>
          </w:p>
        </w:tc>
        <w:tc>
          <w:tcPr/>
          <w:p w:rsidR="00000000" w:rsidDel="00000000" w:rsidP="00000000" w:rsidRDefault="00000000" w:rsidRPr="00000000" w14:paraId="000000B2">
            <w:pPr>
              <w:rPr/>
            </w:pPr>
            <w:r w:rsidDel="00000000" w:rsidR="00000000" w:rsidRPr="00000000">
              <w:rPr>
                <w:rtl w:val="0"/>
              </w:rPr>
              <w:t xml:space="preserve">FALSE</w:t>
            </w:r>
          </w:p>
        </w:tc>
      </w:tr>
    </w:tbl>
    <w:p w:rsidR="00000000" w:rsidDel="00000000" w:rsidP="00000000" w:rsidRDefault="00000000" w:rsidRPr="00000000" w14:paraId="000000B3">
      <w:pPr>
        <w:rPr/>
      </w:pPr>
      <w:r w:rsidDel="00000000" w:rsidR="00000000" w:rsidRPr="00000000">
        <w:rPr>
          <w:rtl w:val="0"/>
        </w:rPr>
        <w:t xml:space="preserve">Reference:</w:t>
      </w:r>
      <w:hyperlink r:id="rId10">
        <w:r w:rsidDel="00000000" w:rsidR="00000000" w:rsidRPr="00000000">
          <w:rPr>
            <w:color w:val="0563c1"/>
            <w:u w:val="single"/>
            <w:rtl w:val="0"/>
          </w:rPr>
          <w:t xml:space="preserve"> https://rdrr.io/cran/gprofiler2/man/gost.html</w:t>
        </w:r>
      </w:hyperlink>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B5275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6A18AC"/>
    <w:pPr>
      <w:ind w:left="720"/>
      <w:contextualSpacing w:val="1"/>
    </w:p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PlainTable2">
    <w:name w:val="Plain Table 2"/>
    <w:basedOn w:val="TableNormal"/>
    <w:uiPriority w:val="42"/>
    <w:rsid w:val="00223D60"/>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table" w:styleId="GridTable1Light">
    <w:name w:val="Grid Table 1 Light"/>
    <w:basedOn w:val="TableNormal"/>
    <w:uiPriority w:val="46"/>
    <w:rsid w:val="00223D60"/>
    <w:tblPr>
      <w:tblStyleRowBandSize w:val="1"/>
      <w:tblStyleColBandSize w:val="1"/>
      <w:tblBorders>
        <w:top w:color="999999" w:space="0" w:sz="4" w:themeColor="text1" w:themeTint="000066" w:val="single"/>
        <w:left w:color="999999" w:space="0" w:sz="4" w:themeColor="text1" w:themeTint="000066" w:val="single"/>
        <w:bottom w:color="999999" w:space="0" w:sz="4" w:themeColor="text1" w:themeTint="000066" w:val="single"/>
        <w:right w:color="999999" w:space="0" w:sz="4" w:themeColor="text1" w:themeTint="000066" w:val="single"/>
        <w:insideH w:color="999999" w:space="0" w:sz="4" w:themeColor="text1" w:themeTint="000066" w:val="single"/>
        <w:insideV w:color="999999" w:space="0" w:sz="4" w:themeColor="text1" w:themeTint="000066" w:val="single"/>
      </w:tblBorders>
    </w:tblPr>
    <w:tblStylePr w:type="firstRow">
      <w:rPr>
        <w:b w:val="1"/>
        <w:bCs w:val="1"/>
      </w:rPr>
      <w:tblPr/>
      <w:tcPr>
        <w:tcBorders>
          <w:bottom w:color="666666" w:space="0" w:sz="12" w:themeColor="text1" w:themeTint="000099" w:val="single"/>
        </w:tcBorders>
      </w:tcPr>
    </w:tblStylePr>
    <w:tblStylePr w:type="lastRow">
      <w:rPr>
        <w:b w:val="1"/>
        <w:bCs w:val="1"/>
      </w:rPr>
      <w:tblPr/>
      <w:tcPr>
        <w:tcBorders>
          <w:top w:color="666666" w:space="0" w:sz="2" w:themeColor="text1" w:themeTint="000099" w:val="double"/>
        </w:tcBorders>
      </w:tcPr>
    </w:tblStylePr>
    <w:tblStylePr w:type="firstCol">
      <w:rPr>
        <w:b w:val="1"/>
        <w:bCs w:val="1"/>
      </w:rPr>
    </w:tblStylePr>
    <w:tblStylePr w:type="lastCol">
      <w:rPr>
        <w:b w:val="1"/>
        <w:bCs w:val="1"/>
      </w:rPr>
    </w:tblStylePr>
  </w:style>
  <w:style w:type="character" w:styleId="Hyperlink">
    <w:name w:val="Hyperlink"/>
    <w:basedOn w:val="DefaultParagraphFont"/>
    <w:uiPriority w:val="99"/>
    <w:unhideWhenUsed w:val="1"/>
    <w:rsid w:val="00223D60"/>
    <w:rPr>
      <w:color w:val="0563c1" w:themeColor="hyperlink"/>
      <w:u w:val="single"/>
    </w:rPr>
  </w:style>
  <w:style w:type="character" w:styleId="UnresolvedMention">
    <w:name w:val="Unresolved Mention"/>
    <w:basedOn w:val="DefaultParagraphFont"/>
    <w:uiPriority w:val="99"/>
    <w:semiHidden w:val="1"/>
    <w:unhideWhenUsed w:val="1"/>
    <w:rsid w:val="00223D60"/>
    <w:rPr>
      <w:color w:val="605e5c"/>
      <w:shd w:color="auto" w:fill="e1dfdd" w:val="clear"/>
    </w:r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tblStylePr w:type="firstCol">
      <w:rPr>
        <w:b w:val="1"/>
      </w:rPr>
    </w:tblStylePr>
    <w:tblStylePr w:type="firstRow">
      <w:rPr>
        <w:b w:val="1"/>
      </w:rPr>
      <w:tcPr>
        <w:tcBorders>
          <w:bottom w:color="666666" w:space="0" w:sz="12" w:val="single"/>
        </w:tcBorders>
      </w:tcPr>
    </w:tblStylePr>
    <w:tblStylePr w:type="lastCol">
      <w:rPr>
        <w:b w:val="1"/>
      </w:rPr>
    </w:tblStylePr>
    <w:tblStylePr w:type="lastRow">
      <w:rPr>
        <w:b w:val="1"/>
      </w:rPr>
      <w:tcPr>
        <w:tcBorders>
          <w:top w:color="666666"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rdrr.io/cran/gprofiler2/man/gost.html" TargetMode="Externa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aiPB7mv3SQba8YRcEKRH0E8IIQ==">CgMxLjA4AHIhMXNzQk1BbkdqMjUzWFFjYmU1RGtSOVFFeUxSelpzTmtT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2022-12-09T19:17:00Z</dcterms:created>
  <dc:creator>Freda, Philip</dc:creator>
</cp:coreProperties>
</file>