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96103" w14:textId="61EAFB4E" w:rsidR="00210D07" w:rsidRDefault="00FC3FB5" w:rsidP="00D90CEC">
      <w:pPr>
        <w:spacing w:line="276" w:lineRule="auto"/>
        <w:jc w:val="center"/>
        <w:rPr>
          <w:rFonts w:ascii="Times New Roman" w:hAnsi="Times New Roman" w:cs="Times New Roman"/>
          <w:b/>
          <w:bCs/>
          <w:sz w:val="34"/>
          <w:szCs w:val="34"/>
        </w:rPr>
      </w:pPr>
      <w:r w:rsidRPr="001E7569">
        <w:rPr>
          <w:rFonts w:ascii="Times New Roman" w:hAnsi="Times New Roman" w:cs="Times New Roman"/>
          <w:b/>
          <w:bCs/>
          <w:sz w:val="34"/>
          <w:szCs w:val="34"/>
        </w:rPr>
        <w:t>Supplementary File</w:t>
      </w:r>
    </w:p>
    <w:p w14:paraId="5ADC4AF5" w14:textId="77777777" w:rsidR="009C08F2" w:rsidRPr="001E7569" w:rsidRDefault="009C08F2" w:rsidP="00D90CEC">
      <w:pPr>
        <w:spacing w:line="276" w:lineRule="auto"/>
        <w:jc w:val="center"/>
        <w:rPr>
          <w:rFonts w:ascii="Times New Roman" w:hAnsi="Times New Roman" w:cs="Times New Roman"/>
          <w:b/>
          <w:bCs/>
          <w:sz w:val="34"/>
          <w:szCs w:val="34"/>
        </w:rPr>
      </w:pPr>
    </w:p>
    <w:p w14:paraId="61F9F637" w14:textId="77777777" w:rsidR="00D013E4" w:rsidRDefault="00D013E4" w:rsidP="00D013E4">
      <w:pPr>
        <w:spacing w:line="360" w:lineRule="auto"/>
        <w:jc w:val="center"/>
        <w:rPr>
          <w:rFonts w:ascii="Times New Roman" w:eastAsiaTheme="majorEastAsia" w:hAnsi="Times New Roman" w:cs="Times New Roman"/>
          <w:b/>
          <w:bCs/>
          <w:color w:val="000000" w:themeColor="text1"/>
          <w:sz w:val="28"/>
          <w:szCs w:val="28"/>
        </w:rPr>
      </w:pPr>
      <w:bookmarkStart w:id="0" w:name="_Hlk186625082"/>
      <w:bookmarkStart w:id="1" w:name="_Hlk217386273"/>
      <w:bookmarkEnd w:id="0"/>
      <w:bookmarkEnd w:id="1"/>
      <w:r w:rsidRPr="00E41D19">
        <w:rPr>
          <w:rFonts w:ascii="Times New Roman" w:eastAsiaTheme="majorEastAsia" w:hAnsi="Times New Roman" w:cs="Times New Roman"/>
          <w:b/>
          <w:bCs/>
          <w:color w:val="000000" w:themeColor="text1"/>
          <w:sz w:val="28"/>
          <w:szCs w:val="28"/>
        </w:rPr>
        <w:t xml:space="preserve">Large-Scale Transcriptomic Data Mining Using Explainable </w:t>
      </w:r>
      <w:proofErr w:type="spellStart"/>
      <w:r w:rsidRPr="00E41D19">
        <w:rPr>
          <w:rFonts w:ascii="Times New Roman" w:eastAsiaTheme="majorEastAsia" w:hAnsi="Times New Roman" w:cs="Times New Roman"/>
          <w:b/>
          <w:bCs/>
          <w:color w:val="000000" w:themeColor="text1"/>
          <w:sz w:val="28"/>
          <w:szCs w:val="28"/>
        </w:rPr>
        <w:t>XGBoost</w:t>
      </w:r>
      <w:proofErr w:type="spellEnd"/>
      <w:r w:rsidRPr="00E41D19">
        <w:rPr>
          <w:rFonts w:ascii="Times New Roman" w:eastAsiaTheme="majorEastAsia" w:hAnsi="Times New Roman" w:cs="Times New Roman"/>
          <w:b/>
          <w:bCs/>
          <w:color w:val="000000" w:themeColor="text1"/>
          <w:sz w:val="28"/>
          <w:szCs w:val="28"/>
        </w:rPr>
        <w:t xml:space="preserve"> and </w:t>
      </w:r>
      <w:r>
        <w:rPr>
          <w:rFonts w:ascii="Times New Roman" w:eastAsiaTheme="majorEastAsia" w:hAnsi="Times New Roman" w:cs="Times New Roman"/>
          <w:b/>
          <w:bCs/>
          <w:color w:val="000000" w:themeColor="text1"/>
          <w:sz w:val="28"/>
          <w:szCs w:val="28"/>
        </w:rPr>
        <w:t>SHAP</w:t>
      </w:r>
      <w:r w:rsidRPr="00E41D19">
        <w:rPr>
          <w:rFonts w:ascii="Times New Roman" w:eastAsiaTheme="majorEastAsia" w:hAnsi="Times New Roman" w:cs="Times New Roman"/>
          <w:b/>
          <w:bCs/>
          <w:color w:val="000000" w:themeColor="text1"/>
          <w:sz w:val="28"/>
          <w:szCs w:val="28"/>
        </w:rPr>
        <w:t xml:space="preserve"> Reveals Shared Biomarkers and Molecular Mechanisms between Type-2 Diabetes</w:t>
      </w:r>
      <w:r w:rsidRPr="00E41D19">
        <w:t xml:space="preserve"> </w:t>
      </w:r>
      <w:r w:rsidRPr="00E41D19">
        <w:rPr>
          <w:rFonts w:ascii="Times New Roman" w:eastAsiaTheme="majorEastAsia" w:hAnsi="Times New Roman" w:cs="Times New Roman"/>
          <w:b/>
          <w:bCs/>
          <w:color w:val="000000" w:themeColor="text1"/>
          <w:sz w:val="28"/>
          <w:szCs w:val="28"/>
        </w:rPr>
        <w:t xml:space="preserve">and </w:t>
      </w:r>
      <w:r>
        <w:rPr>
          <w:rFonts w:ascii="Times New Roman" w:eastAsiaTheme="majorEastAsia" w:hAnsi="Times New Roman" w:cs="Times New Roman"/>
          <w:b/>
          <w:bCs/>
          <w:color w:val="000000" w:themeColor="text1"/>
          <w:sz w:val="28"/>
          <w:szCs w:val="28"/>
        </w:rPr>
        <w:t>T</w:t>
      </w:r>
      <w:r w:rsidRPr="00E41D19">
        <w:rPr>
          <w:rFonts w:ascii="Times New Roman" w:eastAsiaTheme="majorEastAsia" w:hAnsi="Times New Roman" w:cs="Times New Roman"/>
          <w:b/>
          <w:bCs/>
          <w:color w:val="000000" w:themeColor="text1"/>
          <w:sz w:val="28"/>
          <w:szCs w:val="28"/>
        </w:rPr>
        <w:t xml:space="preserve">riple-Negative Breast Cancer </w:t>
      </w:r>
      <w:r>
        <w:rPr>
          <w:rFonts w:ascii="Times New Roman" w:eastAsiaTheme="majorEastAsia" w:hAnsi="Times New Roman" w:cs="Times New Roman"/>
          <w:b/>
          <w:bCs/>
          <w:color w:val="000000" w:themeColor="text1"/>
          <w:sz w:val="28"/>
          <w:szCs w:val="28"/>
        </w:rPr>
        <w:t>for</w:t>
      </w:r>
      <w:r w:rsidRPr="00E41D19">
        <w:rPr>
          <w:rFonts w:ascii="Times New Roman" w:eastAsiaTheme="majorEastAsia" w:hAnsi="Times New Roman" w:cs="Times New Roman"/>
          <w:b/>
          <w:bCs/>
          <w:color w:val="000000" w:themeColor="text1"/>
          <w:sz w:val="28"/>
          <w:szCs w:val="28"/>
        </w:rPr>
        <w:t xml:space="preserve"> Drug Repurposing</w:t>
      </w:r>
    </w:p>
    <w:p w14:paraId="4D6785C7" w14:textId="7E987928" w:rsidR="00D013E4" w:rsidRPr="00CE091F" w:rsidRDefault="00D013E4" w:rsidP="00D013E4">
      <w:pPr>
        <w:spacing w:line="360" w:lineRule="auto"/>
        <w:jc w:val="center"/>
        <w:rPr>
          <w:rFonts w:ascii="Times New Roman" w:hAnsi="Times New Roman" w:cs="Times New Roman"/>
          <w:color w:val="000000" w:themeColor="text1"/>
          <w:sz w:val="22"/>
          <w:szCs w:val="22"/>
        </w:rPr>
      </w:pPr>
      <w:r w:rsidRPr="00CE091F">
        <w:rPr>
          <w:rFonts w:ascii="Times New Roman" w:eastAsiaTheme="majorEastAsia" w:hAnsi="Times New Roman" w:cs="Times New Roman"/>
          <w:color w:val="000000" w:themeColor="text1"/>
          <w:sz w:val="22"/>
          <w:szCs w:val="22"/>
        </w:rPr>
        <w:t xml:space="preserve">Md. </w:t>
      </w:r>
      <w:proofErr w:type="spellStart"/>
      <w:r w:rsidRPr="00CE091F">
        <w:rPr>
          <w:rFonts w:ascii="Times New Roman" w:eastAsiaTheme="majorEastAsia" w:hAnsi="Times New Roman" w:cs="Times New Roman"/>
          <w:color w:val="000000" w:themeColor="text1"/>
          <w:sz w:val="22"/>
          <w:szCs w:val="22"/>
        </w:rPr>
        <w:t>Feroj</w:t>
      </w:r>
      <w:proofErr w:type="spellEnd"/>
      <w:r w:rsidRPr="00CE091F">
        <w:rPr>
          <w:rFonts w:ascii="Times New Roman" w:eastAsiaTheme="majorEastAsia" w:hAnsi="Times New Roman" w:cs="Times New Roman"/>
          <w:color w:val="000000" w:themeColor="text1"/>
          <w:sz w:val="22"/>
          <w:szCs w:val="22"/>
        </w:rPr>
        <w:t xml:space="preserve"> Ahmed</w:t>
      </w:r>
      <w:r w:rsidRPr="00CE091F">
        <w:rPr>
          <w:rFonts w:ascii="Times New Roman" w:eastAsiaTheme="majorEastAsia" w:hAnsi="Times New Roman" w:cs="Times New Roman"/>
          <w:color w:val="000000" w:themeColor="text1"/>
          <w:sz w:val="22"/>
          <w:szCs w:val="22"/>
          <w:vertAlign w:val="superscript"/>
        </w:rPr>
        <w:t>1</w:t>
      </w:r>
      <w:r w:rsidRPr="00CE091F">
        <w:rPr>
          <w:rFonts w:ascii="Times New Roman" w:eastAsiaTheme="majorEastAsia" w:hAnsi="Times New Roman" w:cs="Times New Roman"/>
          <w:color w:val="000000" w:themeColor="text1"/>
          <w:sz w:val="22"/>
          <w:szCs w:val="22"/>
        </w:rPr>
        <w:t>, Ovi Sharma</w:t>
      </w:r>
      <w:r w:rsidRPr="00CE091F">
        <w:rPr>
          <w:rFonts w:ascii="Times New Roman" w:eastAsiaTheme="majorEastAsia" w:hAnsi="Times New Roman" w:cs="Times New Roman"/>
          <w:color w:val="000000" w:themeColor="text1"/>
          <w:sz w:val="22"/>
          <w:szCs w:val="22"/>
          <w:vertAlign w:val="superscript"/>
        </w:rPr>
        <w:t>1,2</w:t>
      </w:r>
      <w:r w:rsidRPr="00CE091F">
        <w:rPr>
          <w:rFonts w:ascii="Times New Roman" w:eastAsiaTheme="majorEastAsia" w:hAnsi="Times New Roman" w:cs="Times New Roman"/>
          <w:color w:val="000000" w:themeColor="text1"/>
          <w:sz w:val="22"/>
          <w:szCs w:val="22"/>
        </w:rPr>
        <w:t>,</w:t>
      </w:r>
      <w:r>
        <w:rPr>
          <w:rFonts w:ascii="Times New Roman" w:eastAsiaTheme="majorEastAsia" w:hAnsi="Times New Roman" w:cs="Times New Roman"/>
          <w:color w:val="000000" w:themeColor="text1"/>
          <w:sz w:val="22"/>
          <w:szCs w:val="22"/>
        </w:rPr>
        <w:t xml:space="preserve"> </w:t>
      </w:r>
      <w:r w:rsidRPr="00230F82">
        <w:rPr>
          <w:rFonts w:ascii="Times New Roman" w:eastAsia="Times New Roman" w:hAnsi="Times New Roman" w:cs="Times New Roman"/>
          <w:color w:val="000000"/>
        </w:rPr>
        <w:t>Tasfia Noor</w:t>
      </w:r>
      <w:r>
        <w:rPr>
          <w:rFonts w:ascii="Times New Roman" w:eastAsia="Times New Roman" w:hAnsi="Times New Roman" w:cs="Times New Roman"/>
          <w:color w:val="000000"/>
          <w:vertAlign w:val="superscript"/>
        </w:rPr>
        <w:t>1,</w:t>
      </w:r>
      <w:r w:rsidR="006071A4" w:rsidRPr="00230F82">
        <w:rPr>
          <w:rFonts w:ascii="Times New Roman" w:eastAsia="Times New Roman" w:hAnsi="Times New Roman" w:cs="Times New Roman"/>
          <w:color w:val="000000"/>
          <w:vertAlign w:val="superscript"/>
        </w:rPr>
        <w:t>3</w:t>
      </w:r>
      <w:r w:rsidR="006071A4" w:rsidRPr="00CE091F">
        <w:rPr>
          <w:rFonts w:ascii="Times New Roman" w:eastAsiaTheme="majorEastAsia" w:hAnsi="Times New Roman" w:cs="Times New Roman"/>
          <w:color w:val="000000" w:themeColor="text1"/>
          <w:sz w:val="22"/>
          <w:szCs w:val="22"/>
        </w:rPr>
        <w:t>,</w:t>
      </w:r>
      <w:r w:rsidR="006071A4" w:rsidRPr="00CC5FA0">
        <w:rPr>
          <w:rFonts w:ascii="Times New Roman" w:hAnsi="Times New Roman" w:cs="Times New Roman"/>
          <w:color w:val="000000" w:themeColor="text1"/>
        </w:rPr>
        <w:t xml:space="preserve"> Md.</w:t>
      </w:r>
      <w:r w:rsidRPr="00CC5FA0">
        <w:rPr>
          <w:rFonts w:ascii="Times New Roman" w:hAnsi="Times New Roman" w:cs="Times New Roman"/>
          <w:color w:val="000000" w:themeColor="text1"/>
        </w:rPr>
        <w:t xml:space="preserve"> Abdul Latif </w:t>
      </w:r>
      <w:r w:rsidRPr="00CE091F">
        <w:rPr>
          <w:rFonts w:ascii="Times New Roman" w:eastAsiaTheme="majorEastAsia" w:hAnsi="Times New Roman" w:cs="Times New Roman"/>
          <w:color w:val="000000" w:themeColor="text1"/>
          <w:sz w:val="22"/>
          <w:szCs w:val="22"/>
          <w:vertAlign w:val="superscript"/>
        </w:rPr>
        <w:t>1</w:t>
      </w:r>
      <w:r w:rsidRPr="00CE091F">
        <w:rPr>
          <w:rFonts w:ascii="Times New Roman" w:eastAsiaTheme="majorEastAsia" w:hAnsi="Times New Roman" w:cs="Times New Roman"/>
          <w:color w:val="000000" w:themeColor="text1"/>
          <w:sz w:val="22"/>
          <w:szCs w:val="22"/>
        </w:rPr>
        <w:t xml:space="preserve">, Md. </w:t>
      </w:r>
      <w:proofErr w:type="spellStart"/>
      <w:r w:rsidRPr="00CE091F">
        <w:rPr>
          <w:rFonts w:ascii="Times New Roman" w:eastAsiaTheme="majorEastAsia" w:hAnsi="Times New Roman" w:cs="Times New Roman"/>
          <w:color w:val="000000" w:themeColor="text1"/>
          <w:sz w:val="22"/>
          <w:szCs w:val="22"/>
        </w:rPr>
        <w:t>Foysal</w:t>
      </w:r>
      <w:proofErr w:type="spellEnd"/>
      <w:r w:rsidRPr="00CE091F">
        <w:rPr>
          <w:rFonts w:ascii="Times New Roman" w:eastAsiaTheme="majorEastAsia" w:hAnsi="Times New Roman" w:cs="Times New Roman"/>
          <w:color w:val="000000" w:themeColor="text1"/>
          <w:sz w:val="22"/>
          <w:szCs w:val="22"/>
        </w:rPr>
        <w:t xml:space="preserve"> Ahmed</w:t>
      </w:r>
      <w:r w:rsidRPr="00CE091F">
        <w:rPr>
          <w:rFonts w:ascii="Times New Roman" w:eastAsiaTheme="majorEastAsia" w:hAnsi="Times New Roman" w:cs="Times New Roman"/>
          <w:color w:val="000000" w:themeColor="text1"/>
          <w:sz w:val="22"/>
          <w:szCs w:val="22"/>
          <w:vertAlign w:val="superscript"/>
        </w:rPr>
        <w:t>1</w:t>
      </w:r>
      <w:r w:rsidRPr="00CE091F">
        <w:rPr>
          <w:rFonts w:ascii="Times New Roman" w:eastAsiaTheme="majorEastAsia" w:hAnsi="Times New Roman" w:cs="Times New Roman"/>
          <w:color w:val="000000" w:themeColor="text1"/>
          <w:sz w:val="22"/>
          <w:szCs w:val="22"/>
        </w:rPr>
        <w:t>, Moumita</w:t>
      </w:r>
      <w:r w:rsidRPr="00CE091F">
        <w:rPr>
          <w:rFonts w:ascii="Times New Roman" w:eastAsiaTheme="majorEastAsia" w:hAnsi="Times New Roman" w:cs="Times New Roman"/>
          <w:color w:val="000000" w:themeColor="text1"/>
          <w:sz w:val="22"/>
          <w:szCs w:val="22"/>
          <w:vertAlign w:val="superscript"/>
        </w:rPr>
        <w:t xml:space="preserve"> </w:t>
      </w:r>
      <w:r w:rsidRPr="00CE091F">
        <w:rPr>
          <w:rFonts w:ascii="Times New Roman" w:eastAsiaTheme="majorEastAsia" w:hAnsi="Times New Roman" w:cs="Times New Roman"/>
          <w:color w:val="000000" w:themeColor="text1"/>
          <w:sz w:val="22"/>
          <w:szCs w:val="22"/>
        </w:rPr>
        <w:t>Bashak</w:t>
      </w:r>
      <w:r w:rsidRPr="00CE091F">
        <w:rPr>
          <w:rFonts w:ascii="Times New Roman" w:eastAsiaTheme="majorEastAsia" w:hAnsi="Times New Roman" w:cs="Times New Roman"/>
          <w:color w:val="000000" w:themeColor="text1"/>
          <w:sz w:val="22"/>
          <w:szCs w:val="22"/>
          <w:vertAlign w:val="superscript"/>
        </w:rPr>
        <w:t>1</w:t>
      </w:r>
      <w:r w:rsidRPr="00CE091F">
        <w:rPr>
          <w:rFonts w:ascii="Times New Roman" w:eastAsiaTheme="majorEastAsia" w:hAnsi="Times New Roman" w:cs="Times New Roman"/>
          <w:color w:val="000000" w:themeColor="text1"/>
          <w:sz w:val="22"/>
          <w:szCs w:val="22"/>
          <w:vertAlign w:val="subscript"/>
        </w:rPr>
        <w:t xml:space="preserve">, </w:t>
      </w:r>
      <w:r w:rsidRPr="00CE091F">
        <w:rPr>
          <w:rFonts w:ascii="Times New Roman" w:eastAsiaTheme="majorEastAsia" w:hAnsi="Times New Roman" w:cs="Times New Roman"/>
          <w:color w:val="000000" w:themeColor="text1"/>
          <w:sz w:val="22"/>
          <w:szCs w:val="22"/>
        </w:rPr>
        <w:t>Dewan Mumdood Ahmed</w:t>
      </w:r>
      <w:r w:rsidRPr="00CE091F">
        <w:rPr>
          <w:rFonts w:ascii="Times New Roman" w:eastAsiaTheme="majorEastAsia" w:hAnsi="Times New Roman" w:cs="Times New Roman"/>
          <w:color w:val="000000" w:themeColor="text1"/>
          <w:sz w:val="22"/>
          <w:szCs w:val="22"/>
          <w:vertAlign w:val="superscript"/>
        </w:rPr>
        <w:t>1</w:t>
      </w:r>
      <w:r w:rsidRPr="00CE091F">
        <w:rPr>
          <w:rFonts w:ascii="Times New Roman" w:eastAsiaTheme="majorEastAsia" w:hAnsi="Times New Roman" w:cs="Times New Roman"/>
          <w:color w:val="000000" w:themeColor="text1"/>
          <w:sz w:val="22"/>
          <w:szCs w:val="22"/>
        </w:rPr>
        <w:t>,</w:t>
      </w:r>
      <w:r w:rsidRPr="00497BB5">
        <w:rPr>
          <w:rFonts w:ascii="Times New Roman" w:hAnsi="Times New Roman" w:cs="Times New Roman"/>
          <w:color w:val="000000" w:themeColor="text1"/>
        </w:rPr>
        <w:t xml:space="preserve"> </w:t>
      </w:r>
      <w:r w:rsidRPr="00CC5FA0">
        <w:rPr>
          <w:rFonts w:ascii="Times New Roman" w:hAnsi="Times New Roman" w:cs="Times New Roman"/>
          <w:color w:val="000000" w:themeColor="text1"/>
        </w:rPr>
        <w:t xml:space="preserve">Md. </w:t>
      </w:r>
      <w:proofErr w:type="spellStart"/>
      <w:r w:rsidRPr="00CC5FA0">
        <w:rPr>
          <w:rFonts w:ascii="Times New Roman" w:hAnsi="Times New Roman" w:cs="Times New Roman"/>
          <w:color w:val="000000" w:themeColor="text1"/>
        </w:rPr>
        <w:t>Sanoar</w:t>
      </w:r>
      <w:proofErr w:type="spellEnd"/>
      <w:r w:rsidRPr="00CC5FA0">
        <w:rPr>
          <w:rFonts w:ascii="Times New Roman" w:hAnsi="Times New Roman" w:cs="Times New Roman"/>
          <w:color w:val="000000" w:themeColor="text1"/>
        </w:rPr>
        <w:t xml:space="preserve"> Hossain</w:t>
      </w:r>
      <w:r>
        <w:rPr>
          <w:rFonts w:ascii="Times New Roman" w:hAnsi="Times New Roman" w:cs="Times New Roman"/>
          <w:color w:val="000000" w:themeColor="text1"/>
          <w:vertAlign w:val="superscript"/>
        </w:rPr>
        <w:t>1,4</w:t>
      </w:r>
      <w:r w:rsidRPr="00CE091F">
        <w:rPr>
          <w:rFonts w:ascii="Times New Roman" w:eastAsiaTheme="majorEastAsia" w:hAnsi="Times New Roman" w:cs="Times New Roman"/>
          <w:color w:val="000000" w:themeColor="text1"/>
          <w:sz w:val="22"/>
          <w:szCs w:val="22"/>
        </w:rPr>
        <w:t>,</w:t>
      </w:r>
      <w:r w:rsidRPr="00CE091F">
        <w:rPr>
          <w:rFonts w:ascii="Times New Roman" w:hAnsi="Times New Roman" w:cs="Times New Roman"/>
          <w:color w:val="000000" w:themeColor="text1"/>
          <w:sz w:val="22"/>
          <w:szCs w:val="22"/>
        </w:rPr>
        <w:t xml:space="preserve"> Md. Nurul Haque Mollah</w:t>
      </w:r>
      <w:r w:rsidRPr="00CE091F">
        <w:rPr>
          <w:rFonts w:ascii="Times New Roman" w:eastAsiaTheme="majorEastAsia" w:hAnsi="Times New Roman" w:cs="Times New Roman"/>
          <w:color w:val="000000" w:themeColor="text1"/>
          <w:sz w:val="22"/>
          <w:szCs w:val="22"/>
          <w:vertAlign w:val="superscript"/>
        </w:rPr>
        <w:t>1</w:t>
      </w:r>
      <w:r w:rsidRPr="00CE091F">
        <w:rPr>
          <w:rFonts w:ascii="Times New Roman" w:hAnsi="Times New Roman" w:cs="Times New Roman"/>
          <w:color w:val="000000" w:themeColor="text1"/>
          <w:sz w:val="22"/>
          <w:szCs w:val="22"/>
        </w:rPr>
        <w:t>*</w:t>
      </w:r>
    </w:p>
    <w:p w14:paraId="17840F6B" w14:textId="77777777" w:rsidR="00D013E4" w:rsidRPr="00CE091F" w:rsidRDefault="00D013E4" w:rsidP="00D013E4">
      <w:pPr>
        <w:spacing w:after="0" w:line="360" w:lineRule="auto"/>
        <w:jc w:val="both"/>
        <w:rPr>
          <w:rFonts w:ascii="Times New Roman" w:eastAsia="Calibri" w:hAnsi="Times New Roman" w:cs="Times New Roman"/>
          <w:kern w:val="0"/>
          <w14:ligatures w14:val="none"/>
        </w:rPr>
      </w:pPr>
      <w:r w:rsidRPr="00CE091F">
        <w:rPr>
          <w:rFonts w:ascii="Times New Roman" w:eastAsia="Calibri" w:hAnsi="Times New Roman" w:cs="Times New Roman"/>
          <w:kern w:val="0"/>
          <w:vertAlign w:val="superscript"/>
          <w14:ligatures w14:val="none"/>
        </w:rPr>
        <w:t>1</w:t>
      </w:r>
      <w:r w:rsidRPr="00CE091F">
        <w:rPr>
          <w:rFonts w:ascii="Times New Roman" w:eastAsia="Calibri" w:hAnsi="Times New Roman" w:cs="Times New Roman"/>
          <w:kern w:val="0"/>
          <w14:ligatures w14:val="none"/>
        </w:rPr>
        <w:t xml:space="preserve">Bioinformatics Lab (Dry), Department of Statistics, University of </w:t>
      </w:r>
      <w:proofErr w:type="spellStart"/>
      <w:r w:rsidRPr="00CE091F">
        <w:rPr>
          <w:rFonts w:ascii="Times New Roman" w:eastAsia="Calibri" w:hAnsi="Times New Roman" w:cs="Times New Roman"/>
          <w:kern w:val="0"/>
          <w14:ligatures w14:val="none"/>
        </w:rPr>
        <w:t>Rajshahi</w:t>
      </w:r>
      <w:proofErr w:type="spellEnd"/>
      <w:r w:rsidRPr="00CE091F">
        <w:rPr>
          <w:rFonts w:ascii="Times New Roman" w:eastAsia="Calibri" w:hAnsi="Times New Roman" w:cs="Times New Roman"/>
          <w:kern w:val="0"/>
          <w14:ligatures w14:val="none"/>
        </w:rPr>
        <w:t>, Rajshahi-6205, Bangladesh.</w:t>
      </w:r>
    </w:p>
    <w:p w14:paraId="40503378" w14:textId="77777777" w:rsidR="00D013E4" w:rsidRDefault="00D013E4" w:rsidP="00D013E4">
      <w:pPr>
        <w:spacing w:after="0" w:line="360" w:lineRule="auto"/>
        <w:jc w:val="both"/>
        <w:rPr>
          <w:rFonts w:ascii="Times New Roman" w:eastAsia="Calibri" w:hAnsi="Times New Roman" w:cs="Times New Roman"/>
          <w:kern w:val="0"/>
          <w14:ligatures w14:val="none"/>
        </w:rPr>
      </w:pPr>
      <w:r w:rsidRPr="00CE091F">
        <w:rPr>
          <w:rFonts w:ascii="Times New Roman" w:eastAsia="Calibri" w:hAnsi="Times New Roman" w:cs="Times New Roman"/>
          <w:kern w:val="0"/>
          <w:vertAlign w:val="superscript"/>
          <w14:ligatures w14:val="none"/>
        </w:rPr>
        <w:t>2</w:t>
      </w:r>
      <w:r w:rsidRPr="00CE091F">
        <w:rPr>
          <w:rFonts w:ascii="Times New Roman" w:eastAsia="Calibri" w:hAnsi="Times New Roman" w:cs="Times New Roman"/>
          <w:kern w:val="0"/>
          <w14:ligatures w14:val="none"/>
        </w:rPr>
        <w:t xml:space="preserve">MBBS, TMSS Medical College, </w:t>
      </w:r>
      <w:proofErr w:type="spellStart"/>
      <w:r w:rsidRPr="00CE091F">
        <w:rPr>
          <w:rFonts w:ascii="Times New Roman" w:eastAsia="Calibri" w:hAnsi="Times New Roman" w:cs="Times New Roman"/>
          <w:kern w:val="0"/>
          <w14:ligatures w14:val="none"/>
        </w:rPr>
        <w:t>Bogura</w:t>
      </w:r>
      <w:proofErr w:type="spellEnd"/>
      <w:r w:rsidRPr="00CE091F">
        <w:rPr>
          <w:rFonts w:ascii="Times New Roman" w:eastAsia="Calibri" w:hAnsi="Times New Roman" w:cs="Times New Roman"/>
          <w:kern w:val="0"/>
          <w14:ligatures w14:val="none"/>
        </w:rPr>
        <w:t>, Bangladesh.</w:t>
      </w:r>
    </w:p>
    <w:p w14:paraId="5FD353E4" w14:textId="77777777" w:rsidR="00D013E4" w:rsidRPr="003C3EA6" w:rsidRDefault="00D013E4" w:rsidP="00D013E4">
      <w:pPr>
        <w:spacing w:after="0" w:line="360" w:lineRule="auto"/>
        <w:rPr>
          <w:rFonts w:ascii="Times New Roman" w:eastAsia="Calibri" w:hAnsi="Times New Roman" w:cs="Times New Roman"/>
          <w:color w:val="000000"/>
        </w:rPr>
      </w:pPr>
      <w:r w:rsidRPr="00230F82">
        <w:rPr>
          <w:rFonts w:ascii="Times New Roman" w:eastAsia="Calibri" w:hAnsi="Times New Roman" w:cs="Times New Roman"/>
          <w:color w:val="000000"/>
          <w:vertAlign w:val="superscript"/>
        </w:rPr>
        <w:t>3</w:t>
      </w:r>
      <w:r w:rsidRPr="00230F82">
        <w:rPr>
          <w:rFonts w:ascii="Times New Roman" w:eastAsia="Calibri" w:hAnsi="Times New Roman" w:cs="Times New Roman"/>
          <w:color w:val="000000"/>
        </w:rPr>
        <w:t xml:space="preserve">Department of Computer Science &amp; Engineering, </w:t>
      </w:r>
      <w:proofErr w:type="spellStart"/>
      <w:r w:rsidRPr="00230F82">
        <w:rPr>
          <w:rFonts w:ascii="Times New Roman" w:eastAsia="Calibri" w:hAnsi="Times New Roman" w:cs="Times New Roman"/>
          <w:color w:val="000000"/>
        </w:rPr>
        <w:t>Rajshahi</w:t>
      </w:r>
      <w:proofErr w:type="spellEnd"/>
      <w:r w:rsidRPr="00230F82">
        <w:rPr>
          <w:rFonts w:ascii="Times New Roman" w:eastAsia="Calibri" w:hAnsi="Times New Roman" w:cs="Times New Roman"/>
          <w:color w:val="000000"/>
        </w:rPr>
        <w:t xml:space="preserve"> University of Engineering &amp; Technology, Rajshahi-6204, Bangladesh.</w:t>
      </w:r>
    </w:p>
    <w:p w14:paraId="49462EBD" w14:textId="77777777" w:rsidR="00D013E4" w:rsidRPr="00497BB5" w:rsidRDefault="00D013E4" w:rsidP="00D013E4">
      <w:pPr>
        <w:spacing w:line="360" w:lineRule="auto"/>
        <w:rPr>
          <w:rFonts w:ascii="Times New Roman" w:hAnsi="Times New Roman" w:cs="Times New Roman"/>
        </w:rPr>
      </w:pPr>
      <w:r>
        <w:rPr>
          <w:rFonts w:ascii="Times New Roman" w:hAnsi="Times New Roman" w:cs="Times New Roman"/>
          <w:vertAlign w:val="superscript"/>
        </w:rPr>
        <w:t>4</w:t>
      </w:r>
      <w:r w:rsidRPr="00CC5FA0">
        <w:rPr>
          <w:rFonts w:ascii="Times New Roman" w:hAnsi="Times New Roman" w:cs="Times New Roman"/>
        </w:rPr>
        <w:t xml:space="preserve">Institute of Bangladesh Studies (IBS), University of </w:t>
      </w:r>
      <w:proofErr w:type="spellStart"/>
      <w:r w:rsidRPr="00CC5FA0">
        <w:rPr>
          <w:rFonts w:ascii="Times New Roman" w:hAnsi="Times New Roman" w:cs="Times New Roman"/>
        </w:rPr>
        <w:t>Rajshahi</w:t>
      </w:r>
      <w:proofErr w:type="spellEnd"/>
      <w:r w:rsidRPr="00CC5FA0">
        <w:rPr>
          <w:rFonts w:ascii="Times New Roman" w:hAnsi="Times New Roman" w:cs="Times New Roman"/>
        </w:rPr>
        <w:t>, Rajshahi-6205, Bangladesh.</w:t>
      </w:r>
    </w:p>
    <w:p w14:paraId="247BEB7E" w14:textId="77777777" w:rsidR="00D013E4" w:rsidRPr="00CE091F" w:rsidRDefault="00D013E4" w:rsidP="00D013E4">
      <w:pPr>
        <w:spacing w:after="0" w:line="360" w:lineRule="auto"/>
        <w:jc w:val="both"/>
        <w:rPr>
          <w:rFonts w:ascii="Times New Roman" w:eastAsia="Calibri" w:hAnsi="Times New Roman" w:cs="Times New Roman"/>
          <w:b/>
          <w:bCs/>
          <w:kern w:val="0"/>
          <w14:ligatures w14:val="none"/>
        </w:rPr>
      </w:pPr>
    </w:p>
    <w:p w14:paraId="41060AA7" w14:textId="77777777" w:rsidR="00D013E4" w:rsidRPr="00CE091F" w:rsidRDefault="00D013E4" w:rsidP="00D013E4">
      <w:pPr>
        <w:spacing w:after="0" w:line="360" w:lineRule="auto"/>
        <w:jc w:val="both"/>
        <w:rPr>
          <w:rFonts w:ascii="Times New Roman" w:eastAsia="Calibri" w:hAnsi="Times New Roman" w:cs="Times New Roman"/>
          <w:kern w:val="0"/>
          <w14:ligatures w14:val="none"/>
        </w:rPr>
      </w:pPr>
      <w:r w:rsidRPr="00CE091F">
        <w:rPr>
          <w:rFonts w:ascii="Times New Roman" w:eastAsia="Calibri" w:hAnsi="Times New Roman" w:cs="Times New Roman"/>
          <w:bCs/>
          <w:kern w:val="0"/>
          <w14:ligatures w14:val="none"/>
        </w:rPr>
        <w:t>*</w:t>
      </w:r>
      <w:r w:rsidRPr="00CE091F">
        <w:rPr>
          <w:rFonts w:ascii="Times New Roman" w:eastAsia="Calibri" w:hAnsi="Times New Roman" w:cs="Times New Roman"/>
          <w:b/>
          <w:kern w:val="0"/>
          <w14:ligatures w14:val="none"/>
        </w:rPr>
        <w:t>Corresponding</w:t>
      </w:r>
      <w:r w:rsidRPr="00CE091F">
        <w:rPr>
          <w:rFonts w:ascii="Times New Roman" w:eastAsia="Calibri" w:hAnsi="Times New Roman" w:cs="Times New Roman"/>
          <w:b/>
          <w:spacing w:val="-6"/>
          <w:kern w:val="0"/>
          <w14:ligatures w14:val="none"/>
        </w:rPr>
        <w:t xml:space="preserve"> </w:t>
      </w:r>
      <w:r w:rsidRPr="00CE091F">
        <w:rPr>
          <w:rFonts w:ascii="Times New Roman" w:eastAsia="Calibri" w:hAnsi="Times New Roman" w:cs="Times New Roman"/>
          <w:b/>
          <w:kern w:val="0"/>
          <w14:ligatures w14:val="none"/>
        </w:rPr>
        <w:t>author</w:t>
      </w:r>
      <w:r w:rsidRPr="00CE091F">
        <w:rPr>
          <w:rFonts w:ascii="Times New Roman" w:eastAsia="Calibri" w:hAnsi="Times New Roman" w:cs="Times New Roman"/>
          <w:kern w:val="0"/>
          <w14:ligatures w14:val="none"/>
        </w:rPr>
        <w:t>:</w:t>
      </w:r>
      <w:r w:rsidRPr="00CE091F">
        <w:rPr>
          <w:rFonts w:ascii="Times New Roman" w:eastAsia="Calibri" w:hAnsi="Times New Roman" w:cs="Times New Roman"/>
          <w:spacing w:val="-4"/>
          <w:kern w:val="0"/>
          <w14:ligatures w14:val="none"/>
        </w:rPr>
        <w:t xml:space="preserve"> </w:t>
      </w:r>
      <w:r w:rsidRPr="00CE091F">
        <w:rPr>
          <w:rFonts w:ascii="Times New Roman" w:eastAsia="Calibri" w:hAnsi="Times New Roman" w:cs="Times New Roman"/>
          <w:iCs/>
          <w:kern w:val="0"/>
          <w14:ligatures w14:val="none"/>
        </w:rPr>
        <w:t>Md. Nurul Haque Mollah</w:t>
      </w:r>
      <w:r w:rsidRPr="00CE091F">
        <w:rPr>
          <w:rFonts w:ascii="Times New Roman" w:eastAsia="Calibri" w:hAnsi="Times New Roman" w:cs="Times New Roman"/>
          <w:kern w:val="0"/>
          <w14:ligatures w14:val="none"/>
        </w:rPr>
        <w:t xml:space="preserve"> (Email:</w:t>
      </w:r>
      <w:r w:rsidRPr="00CE091F">
        <w:rPr>
          <w:rFonts w:ascii="Times New Roman" w:eastAsia="Calibri" w:hAnsi="Times New Roman" w:cs="Times New Roman"/>
          <w:spacing w:val="-5"/>
          <w:kern w:val="0"/>
          <w14:ligatures w14:val="none"/>
        </w:rPr>
        <w:t xml:space="preserve"> </w:t>
      </w:r>
      <w:hyperlink r:id="rId8" w:history="1">
        <w:r w:rsidRPr="00CE091F">
          <w:rPr>
            <w:rFonts w:ascii="Times New Roman" w:eastAsia="Calibri" w:hAnsi="Times New Roman" w:cs="Times New Roman"/>
            <w:color w:val="0563C1"/>
            <w:kern w:val="0"/>
            <w:u w:val="single"/>
            <w14:ligatures w14:val="none"/>
          </w:rPr>
          <w:t>mollah.stat.bio@ru.ac.bd</w:t>
        </w:r>
      </w:hyperlink>
      <w:r w:rsidRPr="00CE091F">
        <w:rPr>
          <w:rFonts w:ascii="Times New Roman" w:eastAsia="Calibri" w:hAnsi="Times New Roman" w:cs="Times New Roman"/>
          <w:kern w:val="0"/>
          <w14:ligatures w14:val="none"/>
        </w:rPr>
        <w:t xml:space="preserve"> )</w:t>
      </w:r>
    </w:p>
    <w:p w14:paraId="5ECC580D" w14:textId="4FC5F77A" w:rsidR="00FC3FB5" w:rsidRDefault="00FC3FB5" w:rsidP="00FC3FB5">
      <w:pPr>
        <w:spacing w:after="0" w:line="276" w:lineRule="auto"/>
        <w:jc w:val="both"/>
        <w:rPr>
          <w:rFonts w:ascii="Times New Roman" w:eastAsia="Calibri" w:hAnsi="Times New Roman" w:cs="Times New Roman"/>
          <w:kern w:val="0"/>
          <w14:ligatures w14:val="none"/>
        </w:rPr>
      </w:pPr>
    </w:p>
    <w:p w14:paraId="025E106D"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7FF032D8"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4AC11B21"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7F4686AC"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316D2704"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690A71C1"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2FA80DD9"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66B94C4D"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3C04ACB5"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4CF2E927"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4D134FA4"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3F0B9BC4"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711405F2"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163BBFE0"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6AEC08C5"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7516A196" w14:textId="77777777" w:rsidR="00D013E4" w:rsidRDefault="00D013E4" w:rsidP="00FC3FB5">
      <w:pPr>
        <w:spacing w:after="0" w:line="276" w:lineRule="auto"/>
        <w:jc w:val="both"/>
        <w:rPr>
          <w:rFonts w:ascii="Times New Roman" w:eastAsia="Calibri" w:hAnsi="Times New Roman" w:cs="Times New Roman"/>
          <w:kern w:val="0"/>
          <w14:ligatures w14:val="none"/>
        </w:rPr>
      </w:pPr>
    </w:p>
    <w:p w14:paraId="7B5B0054" w14:textId="77777777" w:rsidR="00356D32" w:rsidRPr="001E7569" w:rsidRDefault="00356D32" w:rsidP="00FC3FB5">
      <w:pPr>
        <w:spacing w:after="0" w:line="276" w:lineRule="auto"/>
        <w:jc w:val="both"/>
        <w:rPr>
          <w:rFonts w:ascii="Times New Roman" w:eastAsia="Calibri" w:hAnsi="Times New Roman" w:cs="Times New Roman"/>
          <w:kern w:val="0"/>
          <w14:ligatures w14:val="none"/>
        </w:rPr>
      </w:pPr>
    </w:p>
    <w:p w14:paraId="7E22D272" w14:textId="77777777" w:rsidR="000D5361" w:rsidRPr="001E7569" w:rsidRDefault="000D5361" w:rsidP="00FC3FB5">
      <w:pPr>
        <w:spacing w:after="0" w:line="276" w:lineRule="auto"/>
        <w:jc w:val="both"/>
        <w:rPr>
          <w:rFonts w:ascii="Times New Roman" w:eastAsia="Calibri" w:hAnsi="Times New Roman" w:cs="Times New Roman"/>
          <w:kern w:val="0"/>
          <w14:ligatures w14:val="none"/>
        </w:rPr>
      </w:pPr>
    </w:p>
    <w:tbl>
      <w:tblPr>
        <w:tblStyle w:val="TableGrid1"/>
        <w:tblW w:w="9877" w:type="dxa"/>
        <w:jc w:val="center"/>
        <w:tblLook w:val="04A0" w:firstRow="1" w:lastRow="0" w:firstColumn="1" w:lastColumn="0" w:noHBand="0" w:noVBand="1"/>
      </w:tblPr>
      <w:tblGrid>
        <w:gridCol w:w="8863"/>
        <w:gridCol w:w="1014"/>
      </w:tblGrid>
      <w:tr w:rsidR="000D5361" w:rsidRPr="00FB1113" w14:paraId="50FEC0DE" w14:textId="77777777" w:rsidTr="00335C84">
        <w:trPr>
          <w:trHeight w:val="185"/>
          <w:jc w:val="center"/>
        </w:trPr>
        <w:tc>
          <w:tcPr>
            <w:tcW w:w="8863" w:type="dxa"/>
            <w:tcBorders>
              <w:bottom w:val="single" w:sz="4" w:space="0" w:color="auto"/>
            </w:tcBorders>
          </w:tcPr>
          <w:p w14:paraId="1D9DCC71" w14:textId="055027E4" w:rsidR="000D5361" w:rsidRPr="00FB1113" w:rsidRDefault="00423EE4" w:rsidP="00FB1113">
            <w:pPr>
              <w:spacing w:line="360" w:lineRule="auto"/>
              <w:jc w:val="center"/>
              <w:rPr>
                <w:rFonts w:ascii="Times New Roman" w:hAnsi="Times New Roman" w:cs="Times New Roman"/>
                <w:b/>
                <w:sz w:val="24"/>
                <w:szCs w:val="24"/>
              </w:rPr>
            </w:pPr>
            <w:r w:rsidRPr="00FB1113">
              <w:rPr>
                <w:rFonts w:ascii="Times New Roman" w:hAnsi="Times New Roman" w:cs="Times New Roman"/>
                <w:b/>
                <w:sz w:val="24"/>
                <w:szCs w:val="24"/>
              </w:rPr>
              <w:t xml:space="preserve">       </w:t>
            </w:r>
            <w:r w:rsidR="000D5361" w:rsidRPr="00FB1113">
              <w:rPr>
                <w:rFonts w:ascii="Times New Roman" w:hAnsi="Times New Roman" w:cs="Times New Roman"/>
                <w:b/>
                <w:sz w:val="24"/>
                <w:szCs w:val="24"/>
              </w:rPr>
              <w:t>Supporting Items</w:t>
            </w:r>
          </w:p>
        </w:tc>
        <w:tc>
          <w:tcPr>
            <w:tcW w:w="1014" w:type="dxa"/>
            <w:tcBorders>
              <w:bottom w:val="single" w:sz="4" w:space="0" w:color="auto"/>
            </w:tcBorders>
          </w:tcPr>
          <w:p w14:paraId="49B8C8DE" w14:textId="77777777" w:rsidR="000D5361" w:rsidRPr="00FB1113" w:rsidRDefault="000D5361" w:rsidP="00FB1113">
            <w:pPr>
              <w:spacing w:line="360" w:lineRule="auto"/>
              <w:jc w:val="center"/>
              <w:rPr>
                <w:rFonts w:ascii="Times New Roman" w:hAnsi="Times New Roman" w:cs="Times New Roman"/>
                <w:b/>
                <w:sz w:val="24"/>
                <w:szCs w:val="24"/>
              </w:rPr>
            </w:pPr>
            <w:r w:rsidRPr="00FB1113">
              <w:rPr>
                <w:rFonts w:ascii="Times New Roman" w:hAnsi="Times New Roman" w:cs="Times New Roman"/>
                <w:b/>
                <w:sz w:val="24"/>
                <w:szCs w:val="24"/>
              </w:rPr>
              <w:t>Pages</w:t>
            </w:r>
          </w:p>
        </w:tc>
      </w:tr>
      <w:tr w:rsidR="000D5361" w:rsidRPr="00FB1113" w14:paraId="172E6F02" w14:textId="77777777" w:rsidTr="00335C84">
        <w:trPr>
          <w:trHeight w:val="185"/>
          <w:jc w:val="center"/>
        </w:trPr>
        <w:tc>
          <w:tcPr>
            <w:tcW w:w="9877" w:type="dxa"/>
            <w:gridSpan w:val="2"/>
            <w:tcBorders>
              <w:bottom w:val="single" w:sz="4" w:space="0" w:color="auto"/>
            </w:tcBorders>
          </w:tcPr>
          <w:p w14:paraId="67112111" w14:textId="487F2613" w:rsidR="000D5361" w:rsidRPr="00FB1113" w:rsidRDefault="000D5361"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
                <w:sz w:val="24"/>
                <w:szCs w:val="24"/>
              </w:rPr>
              <w:t xml:space="preserve">Supplementary </w:t>
            </w:r>
            <w:r w:rsidR="00356D32" w:rsidRPr="00FB1113">
              <w:rPr>
                <w:rFonts w:ascii="Times New Roman" w:hAnsi="Times New Roman" w:cs="Times New Roman"/>
                <w:b/>
                <w:sz w:val="24"/>
                <w:szCs w:val="24"/>
              </w:rPr>
              <w:t>Methods</w:t>
            </w:r>
          </w:p>
        </w:tc>
      </w:tr>
      <w:tr w:rsidR="000D5361" w:rsidRPr="00FB1113" w14:paraId="636E6B32" w14:textId="77777777" w:rsidTr="00335C84">
        <w:trPr>
          <w:trHeight w:val="185"/>
          <w:jc w:val="center"/>
        </w:trPr>
        <w:tc>
          <w:tcPr>
            <w:tcW w:w="8863" w:type="dxa"/>
            <w:tcBorders>
              <w:bottom w:val="single" w:sz="4" w:space="0" w:color="auto"/>
            </w:tcBorders>
          </w:tcPr>
          <w:p w14:paraId="6B654D6E" w14:textId="72CAC6D7" w:rsidR="000D5361" w:rsidRPr="00FB1113" w:rsidRDefault="00210D07" w:rsidP="00FB1113">
            <w:pPr>
              <w:spacing w:line="360" w:lineRule="auto"/>
              <w:rPr>
                <w:rFonts w:ascii="Times New Roman" w:hAnsi="Times New Roman" w:cs="Times New Roman"/>
                <w:sz w:val="24"/>
                <w:szCs w:val="24"/>
              </w:rPr>
            </w:pPr>
            <w:r w:rsidRPr="00FB1113">
              <w:rPr>
                <w:rFonts w:ascii="Times New Roman" w:hAnsi="Times New Roman" w:cs="Times New Roman"/>
                <w:sz w:val="24"/>
                <w:szCs w:val="24"/>
              </w:rPr>
              <w:t xml:space="preserve">Method S1:  </w:t>
            </w:r>
            <w:r w:rsidR="00356D32" w:rsidRPr="00FB1113">
              <w:rPr>
                <w:rFonts w:ascii="Times New Roman" w:hAnsi="Times New Roman" w:cs="Times New Roman"/>
                <w:sz w:val="24"/>
                <w:szCs w:val="24"/>
              </w:rPr>
              <w:t>Linear Model for Microarray (LIMMA)</w:t>
            </w:r>
          </w:p>
        </w:tc>
        <w:tc>
          <w:tcPr>
            <w:tcW w:w="1014" w:type="dxa"/>
            <w:tcBorders>
              <w:bottom w:val="single" w:sz="4" w:space="0" w:color="auto"/>
            </w:tcBorders>
          </w:tcPr>
          <w:p w14:paraId="28586D86" w14:textId="0A63A6D2" w:rsidR="000D5361"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3</w:t>
            </w:r>
          </w:p>
        </w:tc>
      </w:tr>
      <w:tr w:rsidR="000D5361" w:rsidRPr="00FB1113" w14:paraId="7ABD778F" w14:textId="77777777" w:rsidTr="00335C84">
        <w:trPr>
          <w:trHeight w:val="185"/>
          <w:jc w:val="center"/>
        </w:trPr>
        <w:tc>
          <w:tcPr>
            <w:tcW w:w="8863" w:type="dxa"/>
            <w:tcBorders>
              <w:bottom w:val="single" w:sz="4" w:space="0" w:color="auto"/>
            </w:tcBorders>
          </w:tcPr>
          <w:p w14:paraId="76A5D9B7" w14:textId="3CE69CBA" w:rsidR="000D5361" w:rsidRPr="00FB1113" w:rsidRDefault="00210D07" w:rsidP="00FB1113">
            <w:pPr>
              <w:spacing w:before="100" w:beforeAutospacing="1" w:after="100" w:afterAutospacing="1" w:line="360" w:lineRule="auto"/>
              <w:jc w:val="both"/>
              <w:rPr>
                <w:rFonts w:ascii="Times New Roman" w:hAnsi="Times New Roman" w:cs="Times New Roman"/>
                <w:sz w:val="24"/>
                <w:szCs w:val="24"/>
              </w:rPr>
            </w:pPr>
            <w:r w:rsidRPr="00FB1113">
              <w:rPr>
                <w:rFonts w:ascii="Times New Roman" w:hAnsi="Times New Roman" w:cs="Times New Roman"/>
                <w:sz w:val="24"/>
                <w:szCs w:val="24"/>
              </w:rPr>
              <w:t xml:space="preserve">Method S2:  </w:t>
            </w:r>
            <w:proofErr w:type="spellStart"/>
            <w:r w:rsidR="00356D32" w:rsidRPr="00FB1113">
              <w:rPr>
                <w:rFonts w:ascii="Times New Roman" w:hAnsi="Times New Roman" w:cs="Times New Roman"/>
                <w:sz w:val="24"/>
                <w:szCs w:val="24"/>
              </w:rPr>
              <w:t>XGBoost</w:t>
            </w:r>
            <w:proofErr w:type="spellEnd"/>
            <w:r w:rsidR="00356D32" w:rsidRPr="00FB1113">
              <w:rPr>
                <w:rFonts w:ascii="Times New Roman" w:hAnsi="Times New Roman" w:cs="Times New Roman"/>
                <w:sz w:val="24"/>
                <w:szCs w:val="24"/>
              </w:rPr>
              <w:t xml:space="preserve"> machine learning implementation</w:t>
            </w:r>
          </w:p>
        </w:tc>
        <w:tc>
          <w:tcPr>
            <w:tcW w:w="1014" w:type="dxa"/>
            <w:tcBorders>
              <w:bottom w:val="single" w:sz="4" w:space="0" w:color="auto"/>
            </w:tcBorders>
          </w:tcPr>
          <w:p w14:paraId="539E4B59" w14:textId="5B893ACE" w:rsidR="000D5361"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3-4</w:t>
            </w:r>
          </w:p>
        </w:tc>
      </w:tr>
      <w:tr w:rsidR="00210D07" w:rsidRPr="00FB1113" w14:paraId="732F5483" w14:textId="77777777" w:rsidTr="00335C84">
        <w:trPr>
          <w:trHeight w:val="185"/>
          <w:jc w:val="center"/>
        </w:trPr>
        <w:tc>
          <w:tcPr>
            <w:tcW w:w="8863" w:type="dxa"/>
            <w:tcBorders>
              <w:bottom w:val="single" w:sz="4" w:space="0" w:color="auto"/>
            </w:tcBorders>
          </w:tcPr>
          <w:p w14:paraId="76C79E46" w14:textId="550883A5" w:rsidR="00210D07" w:rsidRPr="00FB1113" w:rsidRDefault="00210D07" w:rsidP="00FB1113">
            <w:pPr>
              <w:spacing w:before="100" w:beforeAutospacing="1" w:after="100" w:afterAutospacing="1" w:line="360" w:lineRule="auto"/>
              <w:jc w:val="both"/>
              <w:rPr>
                <w:rFonts w:ascii="Times New Roman" w:hAnsi="Times New Roman" w:cs="Times New Roman"/>
                <w:sz w:val="24"/>
                <w:szCs w:val="24"/>
              </w:rPr>
            </w:pPr>
            <w:r w:rsidRPr="00FB1113">
              <w:rPr>
                <w:rFonts w:ascii="Times New Roman" w:hAnsi="Times New Roman" w:cs="Times New Roman"/>
                <w:sz w:val="24"/>
                <w:szCs w:val="24"/>
              </w:rPr>
              <w:t>Method S3: ADMET criteria</w:t>
            </w:r>
          </w:p>
        </w:tc>
        <w:tc>
          <w:tcPr>
            <w:tcW w:w="1014" w:type="dxa"/>
            <w:tcBorders>
              <w:bottom w:val="single" w:sz="4" w:space="0" w:color="auto"/>
            </w:tcBorders>
          </w:tcPr>
          <w:p w14:paraId="630FE0C8" w14:textId="65472B26" w:rsidR="00210D07"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4-5</w:t>
            </w:r>
          </w:p>
        </w:tc>
      </w:tr>
      <w:tr w:rsidR="002712F7" w:rsidRPr="00FB1113" w14:paraId="5F1FEBBF" w14:textId="77777777" w:rsidTr="000C271A">
        <w:trPr>
          <w:trHeight w:val="185"/>
          <w:jc w:val="center"/>
        </w:trPr>
        <w:tc>
          <w:tcPr>
            <w:tcW w:w="9877" w:type="dxa"/>
            <w:gridSpan w:val="2"/>
            <w:tcBorders>
              <w:bottom w:val="single" w:sz="4" w:space="0" w:color="auto"/>
            </w:tcBorders>
          </w:tcPr>
          <w:p w14:paraId="156858B6" w14:textId="5BA08CF8" w:rsidR="002712F7" w:rsidRPr="00FB1113" w:rsidRDefault="002712F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
                <w:sz w:val="24"/>
                <w:szCs w:val="24"/>
              </w:rPr>
              <w:t xml:space="preserve">Supplementary </w:t>
            </w:r>
            <w:r w:rsidR="00CC73A0" w:rsidRPr="00FB1113">
              <w:rPr>
                <w:rFonts w:ascii="Times New Roman" w:hAnsi="Times New Roman" w:cs="Times New Roman"/>
                <w:b/>
                <w:sz w:val="24"/>
                <w:szCs w:val="24"/>
              </w:rPr>
              <w:t>Figures</w:t>
            </w:r>
          </w:p>
        </w:tc>
      </w:tr>
      <w:tr w:rsidR="002712F7" w:rsidRPr="00FB1113" w14:paraId="5BAB8BB3" w14:textId="77777777" w:rsidTr="00335C84">
        <w:trPr>
          <w:trHeight w:val="185"/>
          <w:jc w:val="center"/>
        </w:trPr>
        <w:tc>
          <w:tcPr>
            <w:tcW w:w="8863" w:type="dxa"/>
            <w:tcBorders>
              <w:bottom w:val="single" w:sz="4" w:space="0" w:color="auto"/>
            </w:tcBorders>
          </w:tcPr>
          <w:p w14:paraId="2E83F0CA" w14:textId="03B51E46" w:rsidR="002712F7" w:rsidRPr="00FB1113" w:rsidRDefault="005B7229" w:rsidP="00FB1113">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Fig. </w:t>
            </w:r>
            <w:r w:rsidR="00210D07" w:rsidRPr="00FB1113">
              <w:rPr>
                <w:rFonts w:ascii="Times New Roman" w:hAnsi="Times New Roman" w:cs="Times New Roman"/>
                <w:sz w:val="24"/>
                <w:szCs w:val="24"/>
              </w:rPr>
              <w:t>S1</w:t>
            </w:r>
            <w:r w:rsidR="002712F7" w:rsidRPr="00FB1113">
              <w:rPr>
                <w:rFonts w:ascii="Times New Roman" w:hAnsi="Times New Roman" w:cs="Times New Roman"/>
                <w:sz w:val="24"/>
                <w:szCs w:val="24"/>
              </w:rPr>
              <w:t xml:space="preserve">. </w:t>
            </w:r>
            <w:r w:rsidR="0076066E" w:rsidRPr="00FB1113">
              <w:rPr>
                <w:rFonts w:ascii="Times New Roman" w:hAnsi="Times New Roman" w:cs="Times New Roman"/>
                <w:color w:val="000000" w:themeColor="text1"/>
                <w:sz w:val="24"/>
                <w:szCs w:val="24"/>
              </w:rPr>
              <w:t xml:space="preserve">A) Integrated T2D samples before batch-effect correction using </w:t>
            </w:r>
            <w:proofErr w:type="spellStart"/>
            <w:r w:rsidR="0076066E" w:rsidRPr="00FB1113">
              <w:rPr>
                <w:rFonts w:ascii="Times New Roman" w:hAnsi="Times New Roman" w:cs="Times New Roman"/>
                <w:color w:val="000000" w:themeColor="text1"/>
                <w:sz w:val="24"/>
                <w:szCs w:val="24"/>
              </w:rPr>
              <w:t>pyComBat</w:t>
            </w:r>
            <w:proofErr w:type="spellEnd"/>
            <w:r w:rsidR="0076066E" w:rsidRPr="00FB1113">
              <w:rPr>
                <w:rFonts w:ascii="Times New Roman" w:hAnsi="Times New Roman" w:cs="Times New Roman"/>
                <w:color w:val="000000" w:themeColor="text1"/>
                <w:sz w:val="24"/>
                <w:szCs w:val="24"/>
              </w:rPr>
              <w:t xml:space="preserve">. (B) Integrated TNBC samples before batch-effect correction using </w:t>
            </w:r>
            <w:proofErr w:type="spellStart"/>
            <w:r w:rsidR="0076066E" w:rsidRPr="00FB1113">
              <w:rPr>
                <w:rFonts w:ascii="Times New Roman" w:hAnsi="Times New Roman" w:cs="Times New Roman"/>
                <w:color w:val="000000" w:themeColor="text1"/>
                <w:sz w:val="24"/>
                <w:szCs w:val="24"/>
              </w:rPr>
              <w:t>pyComBat</w:t>
            </w:r>
            <w:proofErr w:type="spellEnd"/>
            <w:r w:rsidR="0076066E" w:rsidRPr="00FB1113">
              <w:rPr>
                <w:rFonts w:ascii="Times New Roman" w:hAnsi="Times New Roman" w:cs="Times New Roman"/>
                <w:color w:val="000000" w:themeColor="text1"/>
                <w:sz w:val="24"/>
                <w:szCs w:val="24"/>
              </w:rPr>
              <w:t xml:space="preserve">. (C) Integrated T2D samples after batch-effect correction using </w:t>
            </w:r>
            <w:proofErr w:type="spellStart"/>
            <w:r w:rsidR="0076066E" w:rsidRPr="00FB1113">
              <w:rPr>
                <w:rFonts w:ascii="Times New Roman" w:hAnsi="Times New Roman" w:cs="Times New Roman"/>
                <w:color w:val="000000" w:themeColor="text1"/>
                <w:sz w:val="24"/>
                <w:szCs w:val="24"/>
              </w:rPr>
              <w:t>pyComBat</w:t>
            </w:r>
            <w:proofErr w:type="spellEnd"/>
            <w:r w:rsidR="0076066E" w:rsidRPr="00FB1113">
              <w:rPr>
                <w:rFonts w:ascii="Times New Roman" w:hAnsi="Times New Roman" w:cs="Times New Roman"/>
                <w:color w:val="000000" w:themeColor="text1"/>
                <w:sz w:val="24"/>
                <w:szCs w:val="24"/>
              </w:rPr>
              <w:t xml:space="preserve">. (D) Integrated TNBC samples after batch-effect correction using </w:t>
            </w:r>
            <w:proofErr w:type="spellStart"/>
            <w:r w:rsidR="0076066E" w:rsidRPr="00FB1113">
              <w:rPr>
                <w:rFonts w:ascii="Times New Roman" w:hAnsi="Times New Roman" w:cs="Times New Roman"/>
                <w:color w:val="000000" w:themeColor="text1"/>
                <w:sz w:val="24"/>
                <w:szCs w:val="24"/>
              </w:rPr>
              <w:t>pyComBat</w:t>
            </w:r>
            <w:proofErr w:type="spellEnd"/>
          </w:p>
        </w:tc>
        <w:tc>
          <w:tcPr>
            <w:tcW w:w="1014" w:type="dxa"/>
            <w:tcBorders>
              <w:bottom w:val="single" w:sz="4" w:space="0" w:color="auto"/>
            </w:tcBorders>
          </w:tcPr>
          <w:p w14:paraId="16B93ED1" w14:textId="1E39C496" w:rsidR="002712F7"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6</w:t>
            </w:r>
          </w:p>
        </w:tc>
      </w:tr>
      <w:tr w:rsidR="00210D07" w:rsidRPr="00FB1113" w14:paraId="29ABF60A" w14:textId="77777777" w:rsidTr="00335C84">
        <w:trPr>
          <w:trHeight w:val="185"/>
          <w:jc w:val="center"/>
        </w:trPr>
        <w:tc>
          <w:tcPr>
            <w:tcW w:w="8863" w:type="dxa"/>
            <w:tcBorders>
              <w:bottom w:val="single" w:sz="4" w:space="0" w:color="auto"/>
            </w:tcBorders>
          </w:tcPr>
          <w:p w14:paraId="5431B56E" w14:textId="3CBCF732" w:rsidR="00210D07" w:rsidRPr="00FB1113" w:rsidRDefault="005B7229" w:rsidP="00FB1113">
            <w:pPr>
              <w:spacing w:before="100" w:beforeAutospacing="1" w:after="100" w:afterAutospacing="1" w:line="360" w:lineRule="auto"/>
              <w:rPr>
                <w:rFonts w:ascii="Times New Roman" w:hAnsi="Times New Roman" w:cs="Times New Roman"/>
                <w:sz w:val="24"/>
                <w:szCs w:val="24"/>
              </w:rPr>
            </w:pPr>
            <w:r>
              <w:rPr>
                <w:rFonts w:ascii="Times New Roman" w:hAnsi="Times New Roman" w:cs="Times New Roman"/>
                <w:sz w:val="24"/>
                <w:szCs w:val="24"/>
              </w:rPr>
              <w:t xml:space="preserve">Fig. S2. </w:t>
            </w:r>
            <w:r w:rsidR="00210D07" w:rsidRPr="00FB1113">
              <w:rPr>
                <w:rFonts w:ascii="Times New Roman" w:hAnsi="Times New Roman" w:cs="Times New Roman"/>
                <w:sz w:val="24"/>
                <w:szCs w:val="24"/>
              </w:rPr>
              <w:t>Visualization of principal component analysis A) TNBC dataset before batch correction (B) TNBC dataset after batch correction. (C) T2D dataset before batch correction. (D T2D dataset after batch correction.</w:t>
            </w:r>
          </w:p>
        </w:tc>
        <w:tc>
          <w:tcPr>
            <w:tcW w:w="1014" w:type="dxa"/>
            <w:tcBorders>
              <w:bottom w:val="single" w:sz="4" w:space="0" w:color="auto"/>
            </w:tcBorders>
          </w:tcPr>
          <w:p w14:paraId="120A214B" w14:textId="7292D153" w:rsidR="00210D07"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7</w:t>
            </w:r>
          </w:p>
        </w:tc>
      </w:tr>
      <w:tr w:rsidR="002712F7" w:rsidRPr="00FB1113" w14:paraId="2181DC06" w14:textId="77777777" w:rsidTr="00335C84">
        <w:trPr>
          <w:trHeight w:val="185"/>
          <w:jc w:val="center"/>
        </w:trPr>
        <w:tc>
          <w:tcPr>
            <w:tcW w:w="8863" w:type="dxa"/>
            <w:tcBorders>
              <w:bottom w:val="single" w:sz="4" w:space="0" w:color="auto"/>
            </w:tcBorders>
          </w:tcPr>
          <w:p w14:paraId="659343C0" w14:textId="4E88D34C" w:rsidR="002712F7" w:rsidRPr="00FB1113" w:rsidRDefault="005B7229" w:rsidP="00FB1113">
            <w:pPr>
              <w:spacing w:line="360" w:lineRule="auto"/>
              <w:rPr>
                <w:rFonts w:ascii="Times New Roman" w:hAnsi="Times New Roman" w:cs="Times New Roman"/>
                <w:color w:val="000000" w:themeColor="text1"/>
                <w:sz w:val="24"/>
                <w:szCs w:val="24"/>
              </w:rPr>
            </w:pPr>
            <w:r>
              <w:rPr>
                <w:rFonts w:ascii="Times New Roman" w:hAnsi="Times New Roman" w:cs="Times New Roman"/>
                <w:sz w:val="24"/>
                <w:szCs w:val="24"/>
              </w:rPr>
              <w:t>Fig</w:t>
            </w:r>
            <w:r w:rsidR="002712F7" w:rsidRPr="00FB1113">
              <w:rPr>
                <w:rFonts w:ascii="Times New Roman" w:hAnsi="Times New Roman" w:cs="Times New Roman"/>
                <w:sz w:val="24"/>
                <w:szCs w:val="24"/>
              </w:rPr>
              <w:t>.</w:t>
            </w:r>
            <w:r>
              <w:rPr>
                <w:rFonts w:ascii="Times New Roman" w:hAnsi="Times New Roman" w:cs="Times New Roman"/>
                <w:sz w:val="24"/>
                <w:szCs w:val="24"/>
              </w:rPr>
              <w:t xml:space="preserve"> S3.</w:t>
            </w:r>
            <w:r w:rsidR="0076066E" w:rsidRPr="00FB1113">
              <w:rPr>
                <w:rFonts w:ascii="Times New Roman" w:hAnsi="Times New Roman" w:cs="Times New Roman"/>
                <w:color w:val="000000" w:themeColor="text1"/>
                <w:sz w:val="24"/>
                <w:szCs w:val="24"/>
              </w:rPr>
              <w:t xml:space="preserve"> (A) SHAP values and effect directions of the top 20 </w:t>
            </w:r>
            <w:proofErr w:type="spellStart"/>
            <w:r w:rsidR="00B41FF8" w:rsidRPr="00FB1113">
              <w:rPr>
                <w:rFonts w:ascii="Times New Roman" w:hAnsi="Times New Roman" w:cs="Times New Roman"/>
                <w:color w:val="000000" w:themeColor="text1"/>
                <w:sz w:val="24"/>
                <w:szCs w:val="24"/>
              </w:rPr>
              <w:t>sDEGs</w:t>
            </w:r>
            <w:proofErr w:type="spellEnd"/>
            <w:r w:rsidR="00B41FF8" w:rsidRPr="00FB1113">
              <w:rPr>
                <w:rFonts w:ascii="Times New Roman" w:hAnsi="Times New Roman" w:cs="Times New Roman"/>
                <w:color w:val="000000" w:themeColor="text1"/>
                <w:sz w:val="24"/>
                <w:szCs w:val="24"/>
              </w:rPr>
              <w:t xml:space="preserve"> </w:t>
            </w:r>
            <w:r w:rsidR="0076066E" w:rsidRPr="00FB1113">
              <w:rPr>
                <w:rFonts w:ascii="Times New Roman" w:hAnsi="Times New Roman" w:cs="Times New Roman"/>
                <w:color w:val="000000" w:themeColor="text1"/>
                <w:sz w:val="24"/>
                <w:szCs w:val="24"/>
              </w:rPr>
              <w:t xml:space="preserve">in the T2D machine-learning model. (B) SHAP values and effect directions of the top 20 </w:t>
            </w:r>
            <w:proofErr w:type="spellStart"/>
            <w:r w:rsidR="00B41FF8" w:rsidRPr="00FB1113">
              <w:rPr>
                <w:rFonts w:ascii="Times New Roman" w:hAnsi="Times New Roman" w:cs="Times New Roman"/>
                <w:color w:val="000000" w:themeColor="text1"/>
                <w:sz w:val="24"/>
                <w:szCs w:val="24"/>
              </w:rPr>
              <w:t>sDEGs</w:t>
            </w:r>
            <w:proofErr w:type="spellEnd"/>
            <w:r w:rsidR="00B41FF8" w:rsidRPr="00FB1113">
              <w:rPr>
                <w:rFonts w:ascii="Times New Roman" w:hAnsi="Times New Roman" w:cs="Times New Roman"/>
                <w:color w:val="000000" w:themeColor="text1"/>
                <w:sz w:val="24"/>
                <w:szCs w:val="24"/>
              </w:rPr>
              <w:t xml:space="preserve"> </w:t>
            </w:r>
            <w:r w:rsidR="0076066E" w:rsidRPr="00FB1113">
              <w:rPr>
                <w:rFonts w:ascii="Times New Roman" w:hAnsi="Times New Roman" w:cs="Times New Roman"/>
                <w:color w:val="000000" w:themeColor="text1"/>
                <w:sz w:val="24"/>
                <w:szCs w:val="24"/>
              </w:rPr>
              <w:t>in the TNBC machine-learning model. Positive SHAP values indicate a higher likelihood of disease status, whereas negative SHAP values indicate a tendency toward the normal (control) state.</w:t>
            </w:r>
          </w:p>
        </w:tc>
        <w:tc>
          <w:tcPr>
            <w:tcW w:w="1014" w:type="dxa"/>
            <w:tcBorders>
              <w:bottom w:val="single" w:sz="4" w:space="0" w:color="auto"/>
            </w:tcBorders>
          </w:tcPr>
          <w:p w14:paraId="5D9B1502" w14:textId="4ECA00D7" w:rsidR="002712F7"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8</w:t>
            </w:r>
          </w:p>
        </w:tc>
      </w:tr>
      <w:tr w:rsidR="000D5361" w:rsidRPr="00FB1113" w14:paraId="62ECCAA1" w14:textId="77777777" w:rsidTr="00335C84">
        <w:trPr>
          <w:trHeight w:val="296"/>
          <w:jc w:val="center"/>
        </w:trPr>
        <w:tc>
          <w:tcPr>
            <w:tcW w:w="9877" w:type="dxa"/>
            <w:gridSpan w:val="2"/>
            <w:tcBorders>
              <w:top w:val="single" w:sz="4" w:space="0" w:color="auto"/>
              <w:left w:val="single" w:sz="4" w:space="0" w:color="auto"/>
              <w:bottom w:val="single" w:sz="4" w:space="0" w:color="auto"/>
              <w:right w:val="single" w:sz="4" w:space="0" w:color="auto"/>
            </w:tcBorders>
          </w:tcPr>
          <w:p w14:paraId="1E133BE0" w14:textId="77777777" w:rsidR="000D5361" w:rsidRPr="00FB1113" w:rsidRDefault="000D5361" w:rsidP="00FB1113">
            <w:pPr>
              <w:spacing w:line="360" w:lineRule="auto"/>
              <w:jc w:val="center"/>
              <w:rPr>
                <w:rFonts w:ascii="Times New Roman" w:hAnsi="Times New Roman" w:cs="Times New Roman"/>
                <w:sz w:val="24"/>
                <w:szCs w:val="24"/>
              </w:rPr>
            </w:pPr>
            <w:r w:rsidRPr="00FB1113">
              <w:rPr>
                <w:rFonts w:ascii="Times New Roman" w:hAnsi="Times New Roman" w:cs="Times New Roman"/>
                <w:b/>
                <w:sz w:val="24"/>
                <w:szCs w:val="24"/>
              </w:rPr>
              <w:t>Supplementary Tables</w:t>
            </w:r>
          </w:p>
        </w:tc>
      </w:tr>
      <w:tr w:rsidR="000D5361" w:rsidRPr="00FB1113" w14:paraId="77F7E77D" w14:textId="77777777" w:rsidTr="00335C84">
        <w:trPr>
          <w:trHeight w:val="206"/>
          <w:jc w:val="center"/>
        </w:trPr>
        <w:tc>
          <w:tcPr>
            <w:tcW w:w="8863" w:type="dxa"/>
          </w:tcPr>
          <w:p w14:paraId="572F99D9" w14:textId="2698996E" w:rsidR="000D5361" w:rsidRPr="00FB1113" w:rsidRDefault="00356D32" w:rsidP="00FB1113">
            <w:pPr>
              <w:spacing w:line="360" w:lineRule="auto"/>
              <w:jc w:val="both"/>
              <w:rPr>
                <w:rFonts w:ascii="Times New Roman" w:hAnsi="Times New Roman" w:cs="Times New Roman"/>
                <w:sz w:val="24"/>
                <w:szCs w:val="24"/>
              </w:rPr>
            </w:pPr>
            <w:bookmarkStart w:id="2" w:name="_Hlk217921816"/>
            <w:r w:rsidRPr="00FB1113">
              <w:rPr>
                <w:rFonts w:ascii="Times New Roman" w:eastAsia="Calibri" w:hAnsi="Times New Roman" w:cs="Times New Roman"/>
                <w:sz w:val="24"/>
                <w:szCs w:val="24"/>
              </w:rPr>
              <w:t>Table S1</w:t>
            </w:r>
            <w:bookmarkEnd w:id="2"/>
            <w:r w:rsidRPr="00FB1113">
              <w:rPr>
                <w:rFonts w:ascii="Times New Roman" w:eastAsia="Calibri" w:hAnsi="Times New Roman" w:cs="Times New Roman"/>
                <w:sz w:val="24"/>
                <w:szCs w:val="24"/>
              </w:rPr>
              <w:t>. Collection of type-2 diabetes (T2D) related candidate drug agents from published articles and other sources</w:t>
            </w:r>
          </w:p>
        </w:tc>
        <w:tc>
          <w:tcPr>
            <w:tcW w:w="1014" w:type="dxa"/>
          </w:tcPr>
          <w:p w14:paraId="582E0162" w14:textId="5EFE153B" w:rsidR="000D5361" w:rsidRPr="00FB1113" w:rsidRDefault="00210D07" w:rsidP="00FB1113">
            <w:pPr>
              <w:spacing w:line="360" w:lineRule="auto"/>
              <w:jc w:val="center"/>
              <w:rPr>
                <w:rFonts w:ascii="Times New Roman" w:hAnsi="Times New Roman" w:cs="Times New Roman"/>
                <w:sz w:val="24"/>
                <w:szCs w:val="24"/>
              </w:rPr>
            </w:pPr>
            <w:r w:rsidRPr="00FB1113">
              <w:rPr>
                <w:rFonts w:ascii="Times New Roman" w:hAnsi="Times New Roman" w:cs="Times New Roman"/>
                <w:sz w:val="24"/>
                <w:szCs w:val="24"/>
              </w:rPr>
              <w:t>9-10</w:t>
            </w:r>
          </w:p>
        </w:tc>
      </w:tr>
      <w:tr w:rsidR="000D5361" w:rsidRPr="00FB1113" w14:paraId="435C66B9" w14:textId="77777777" w:rsidTr="00335C84">
        <w:trPr>
          <w:trHeight w:val="206"/>
          <w:jc w:val="center"/>
        </w:trPr>
        <w:tc>
          <w:tcPr>
            <w:tcW w:w="8863" w:type="dxa"/>
          </w:tcPr>
          <w:p w14:paraId="7C788CE9" w14:textId="239DCFC7" w:rsidR="000D5361" w:rsidRPr="00FB1113" w:rsidRDefault="00356D32" w:rsidP="00FB1113">
            <w:pPr>
              <w:spacing w:line="360" w:lineRule="auto"/>
              <w:jc w:val="both"/>
              <w:rPr>
                <w:rFonts w:ascii="Times New Roman" w:hAnsi="Times New Roman" w:cs="Times New Roman"/>
                <w:sz w:val="24"/>
                <w:szCs w:val="24"/>
              </w:rPr>
            </w:pPr>
            <w:r w:rsidRPr="00FB1113">
              <w:rPr>
                <w:rFonts w:ascii="Times New Roman" w:hAnsi="Times New Roman" w:cs="Times New Roman"/>
                <w:sz w:val="24"/>
                <w:szCs w:val="24"/>
              </w:rPr>
              <w:t xml:space="preserve">Table S2. </w:t>
            </w:r>
            <w:r w:rsidRPr="00FB1113">
              <w:rPr>
                <w:rFonts w:ascii="Times New Roman" w:eastAsia="Aptos" w:hAnsi="Times New Roman" w:cs="Times New Roman"/>
                <w:sz w:val="24"/>
                <w:szCs w:val="24"/>
              </w:rPr>
              <w:t xml:space="preserve">Collection of drug agents for T2D and TNBC from </w:t>
            </w:r>
            <w:proofErr w:type="spellStart"/>
            <w:r w:rsidRPr="00FB1113">
              <w:rPr>
                <w:rFonts w:ascii="Times New Roman" w:eastAsia="Aptos" w:hAnsi="Times New Roman" w:cs="Times New Roman"/>
                <w:sz w:val="24"/>
                <w:szCs w:val="24"/>
              </w:rPr>
              <w:t>DrugBank</w:t>
            </w:r>
            <w:proofErr w:type="spellEnd"/>
            <w:r w:rsidRPr="00FB1113">
              <w:rPr>
                <w:rFonts w:ascii="Times New Roman" w:eastAsia="Aptos" w:hAnsi="Times New Roman" w:cs="Times New Roman"/>
                <w:sz w:val="24"/>
                <w:szCs w:val="24"/>
              </w:rPr>
              <w:t xml:space="preserve"> database</w:t>
            </w:r>
          </w:p>
        </w:tc>
        <w:tc>
          <w:tcPr>
            <w:tcW w:w="1014" w:type="dxa"/>
          </w:tcPr>
          <w:p w14:paraId="37C2B311" w14:textId="37A3F414" w:rsidR="000D5361" w:rsidRPr="00FB1113" w:rsidRDefault="00210D07" w:rsidP="00FB1113">
            <w:pPr>
              <w:spacing w:line="360" w:lineRule="auto"/>
              <w:jc w:val="center"/>
              <w:rPr>
                <w:rFonts w:ascii="Times New Roman" w:hAnsi="Times New Roman" w:cs="Times New Roman"/>
                <w:sz w:val="24"/>
                <w:szCs w:val="24"/>
              </w:rPr>
            </w:pPr>
            <w:r w:rsidRPr="00FB1113">
              <w:rPr>
                <w:rFonts w:ascii="Times New Roman" w:hAnsi="Times New Roman" w:cs="Times New Roman"/>
                <w:sz w:val="24"/>
                <w:szCs w:val="24"/>
              </w:rPr>
              <w:t>11-12</w:t>
            </w:r>
          </w:p>
        </w:tc>
      </w:tr>
      <w:tr w:rsidR="000D5361" w:rsidRPr="00FB1113" w14:paraId="51682BA5" w14:textId="77777777" w:rsidTr="00335C84">
        <w:trPr>
          <w:trHeight w:val="425"/>
          <w:jc w:val="center"/>
        </w:trPr>
        <w:tc>
          <w:tcPr>
            <w:tcW w:w="8863" w:type="dxa"/>
          </w:tcPr>
          <w:p w14:paraId="4ADD8EFD" w14:textId="0002101A" w:rsidR="000D5361" w:rsidRPr="00FB1113" w:rsidRDefault="00356D32" w:rsidP="00FB1113">
            <w:pPr>
              <w:spacing w:line="360" w:lineRule="auto"/>
              <w:jc w:val="both"/>
              <w:rPr>
                <w:rFonts w:ascii="Times New Roman" w:hAnsi="Times New Roman" w:cs="Times New Roman"/>
                <w:sz w:val="24"/>
                <w:szCs w:val="24"/>
              </w:rPr>
            </w:pPr>
            <w:r w:rsidRPr="00FB1113">
              <w:rPr>
                <w:rFonts w:ascii="Times New Roman" w:hAnsi="Times New Roman" w:cs="Times New Roman"/>
                <w:sz w:val="24"/>
                <w:szCs w:val="24"/>
              </w:rPr>
              <w:t xml:space="preserve">Table S3. </w:t>
            </w:r>
            <w:r w:rsidRPr="00FB1113">
              <w:rPr>
                <w:rFonts w:ascii="Times New Roman" w:eastAsia="Aptos" w:hAnsi="Times New Roman" w:cs="Times New Roman"/>
                <w:sz w:val="24"/>
                <w:szCs w:val="24"/>
              </w:rPr>
              <w:t xml:space="preserve">Collection of </w:t>
            </w:r>
            <w:proofErr w:type="spellStart"/>
            <w:r w:rsidRPr="00FB1113">
              <w:rPr>
                <w:rFonts w:ascii="Times New Roman" w:eastAsia="Aptos" w:hAnsi="Times New Roman" w:cs="Times New Roman"/>
                <w:sz w:val="24"/>
                <w:szCs w:val="24"/>
              </w:rPr>
              <w:t>sKGs</w:t>
            </w:r>
            <w:proofErr w:type="spellEnd"/>
            <w:r w:rsidRPr="00FB1113">
              <w:rPr>
                <w:rFonts w:ascii="Times New Roman" w:eastAsia="Aptos" w:hAnsi="Times New Roman" w:cs="Times New Roman"/>
                <w:sz w:val="24"/>
                <w:szCs w:val="24"/>
              </w:rPr>
              <w:t xml:space="preserve"> drug agents from</w:t>
            </w:r>
            <w:r w:rsidRPr="00FB1113">
              <w:rPr>
                <w:rFonts w:ascii="Times New Roman" w:hAnsi="Times New Roman" w:cs="Times New Roman"/>
                <w:noProof/>
                <w:sz w:val="24"/>
                <w:szCs w:val="24"/>
              </w:rPr>
              <w:t xml:space="preserve"> DGIdb 4.0 database</w:t>
            </w:r>
          </w:p>
        </w:tc>
        <w:tc>
          <w:tcPr>
            <w:tcW w:w="1014" w:type="dxa"/>
          </w:tcPr>
          <w:p w14:paraId="30C35A33" w14:textId="07A1E944" w:rsidR="000D5361"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13</w:t>
            </w:r>
          </w:p>
        </w:tc>
      </w:tr>
      <w:tr w:rsidR="000D5361" w:rsidRPr="00FB1113" w14:paraId="48B1E0A9" w14:textId="77777777" w:rsidTr="00335C84">
        <w:trPr>
          <w:trHeight w:val="425"/>
          <w:jc w:val="center"/>
        </w:trPr>
        <w:tc>
          <w:tcPr>
            <w:tcW w:w="8863" w:type="dxa"/>
          </w:tcPr>
          <w:p w14:paraId="245F3FF8" w14:textId="7838D96F" w:rsidR="000D5361" w:rsidRPr="00FB1113" w:rsidRDefault="00356D32" w:rsidP="00FB1113">
            <w:pPr>
              <w:spacing w:line="360" w:lineRule="auto"/>
              <w:jc w:val="both"/>
              <w:rPr>
                <w:rFonts w:ascii="Times New Roman" w:hAnsi="Times New Roman" w:cs="Times New Roman"/>
                <w:b/>
                <w:bCs/>
                <w:sz w:val="24"/>
                <w:szCs w:val="24"/>
              </w:rPr>
            </w:pPr>
            <w:bookmarkStart w:id="3" w:name="_Hlk217922020"/>
            <w:r w:rsidRPr="00FB1113">
              <w:rPr>
                <w:rFonts w:ascii="Times New Roman" w:hAnsi="Times New Roman" w:cs="Times New Roman"/>
                <w:sz w:val="24"/>
                <w:szCs w:val="24"/>
              </w:rPr>
              <w:t>Table S4</w:t>
            </w:r>
            <w:bookmarkEnd w:id="3"/>
            <w:r w:rsidRPr="00FB1113">
              <w:rPr>
                <w:rFonts w:ascii="Times New Roman" w:hAnsi="Times New Roman" w:cs="Times New Roman"/>
                <w:sz w:val="24"/>
                <w:szCs w:val="24"/>
              </w:rPr>
              <w:t xml:space="preserve">. List of </w:t>
            </w:r>
            <w:proofErr w:type="spellStart"/>
            <w:r w:rsidRPr="00FB1113">
              <w:rPr>
                <w:rFonts w:ascii="Times New Roman" w:hAnsi="Times New Roman" w:cs="Times New Roman"/>
                <w:sz w:val="24"/>
                <w:szCs w:val="24"/>
              </w:rPr>
              <w:t>sDEGs</w:t>
            </w:r>
            <w:proofErr w:type="spellEnd"/>
            <w:r w:rsidRPr="00FB1113">
              <w:rPr>
                <w:rFonts w:ascii="Times New Roman" w:hAnsi="Times New Roman" w:cs="Times New Roman"/>
                <w:sz w:val="24"/>
                <w:szCs w:val="24"/>
              </w:rPr>
              <w:t xml:space="preserve"> for T2D and TNBC</w:t>
            </w:r>
          </w:p>
        </w:tc>
        <w:tc>
          <w:tcPr>
            <w:tcW w:w="1014" w:type="dxa"/>
          </w:tcPr>
          <w:p w14:paraId="7525DD90" w14:textId="54A81AE2" w:rsidR="000D5361"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13</w:t>
            </w:r>
          </w:p>
        </w:tc>
      </w:tr>
      <w:tr w:rsidR="00210D07" w:rsidRPr="00FB1113" w14:paraId="11A1882F" w14:textId="77777777" w:rsidTr="00335C84">
        <w:trPr>
          <w:trHeight w:val="425"/>
          <w:jc w:val="center"/>
        </w:trPr>
        <w:tc>
          <w:tcPr>
            <w:tcW w:w="8863" w:type="dxa"/>
          </w:tcPr>
          <w:p w14:paraId="4179B982" w14:textId="4396F223" w:rsidR="00210D07" w:rsidRPr="00FB1113" w:rsidRDefault="00FB1113" w:rsidP="00FB1113">
            <w:pPr>
              <w:spacing w:line="360" w:lineRule="auto"/>
              <w:jc w:val="both"/>
              <w:rPr>
                <w:rFonts w:ascii="Times New Roman" w:hAnsi="Times New Roman" w:cs="Times New Roman"/>
                <w:sz w:val="24"/>
                <w:szCs w:val="24"/>
              </w:rPr>
            </w:pPr>
            <w:r w:rsidRPr="00FB1113">
              <w:rPr>
                <w:rFonts w:ascii="Times New Roman" w:hAnsi="Times New Roman" w:cs="Times New Roman"/>
                <w:sz w:val="24"/>
                <w:szCs w:val="24"/>
              </w:rPr>
              <w:t>Table S5. Binding Pocket Identification and Druggability Assessment of the target protein.</w:t>
            </w:r>
          </w:p>
        </w:tc>
        <w:tc>
          <w:tcPr>
            <w:tcW w:w="1014" w:type="dxa"/>
          </w:tcPr>
          <w:p w14:paraId="75CE97C6" w14:textId="72A66AE8" w:rsidR="00210D07" w:rsidRPr="00FB1113" w:rsidRDefault="00210D07"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14</w:t>
            </w:r>
          </w:p>
        </w:tc>
      </w:tr>
      <w:tr w:rsidR="00356D32" w:rsidRPr="00FB1113" w14:paraId="31025CEF" w14:textId="77777777" w:rsidTr="00335C84">
        <w:trPr>
          <w:trHeight w:val="425"/>
          <w:jc w:val="center"/>
        </w:trPr>
        <w:tc>
          <w:tcPr>
            <w:tcW w:w="8863" w:type="dxa"/>
          </w:tcPr>
          <w:p w14:paraId="54FB7D35" w14:textId="60E0E965" w:rsidR="00356D32" w:rsidRPr="00FB1113" w:rsidRDefault="00356D32" w:rsidP="00FB1113">
            <w:pPr>
              <w:spacing w:line="360" w:lineRule="auto"/>
              <w:jc w:val="both"/>
              <w:rPr>
                <w:rFonts w:ascii="Times New Roman" w:hAnsi="Times New Roman" w:cs="Times New Roman"/>
                <w:sz w:val="24"/>
                <w:szCs w:val="24"/>
              </w:rPr>
            </w:pPr>
            <w:r w:rsidRPr="00FB1113">
              <w:rPr>
                <w:rFonts w:ascii="Times New Roman" w:hAnsi="Times New Roman" w:cs="Times New Roman"/>
                <w:sz w:val="24"/>
                <w:szCs w:val="24"/>
              </w:rPr>
              <w:t>Table S</w:t>
            </w:r>
            <w:r w:rsidR="00210D07" w:rsidRPr="00FB1113">
              <w:rPr>
                <w:rFonts w:ascii="Times New Roman" w:hAnsi="Times New Roman" w:cs="Times New Roman"/>
                <w:sz w:val="24"/>
                <w:szCs w:val="24"/>
              </w:rPr>
              <w:t>6</w:t>
            </w:r>
            <w:r w:rsidRPr="00FB1113">
              <w:rPr>
                <w:rFonts w:ascii="Times New Roman" w:hAnsi="Times New Roman" w:cs="Times New Roman"/>
                <w:sz w:val="24"/>
                <w:szCs w:val="24"/>
              </w:rPr>
              <w:t xml:space="preserve">. Binding affinity scores of 50 drugs molecule from 146 molecule with </w:t>
            </w:r>
            <w:proofErr w:type="spellStart"/>
            <w:r w:rsidRPr="00FB1113">
              <w:rPr>
                <w:rFonts w:ascii="Times New Roman" w:hAnsi="Times New Roman" w:cs="Times New Roman"/>
                <w:sz w:val="24"/>
                <w:szCs w:val="24"/>
              </w:rPr>
              <w:t>sKGs</w:t>
            </w:r>
            <w:proofErr w:type="spellEnd"/>
            <w:r w:rsidRPr="00FB1113">
              <w:rPr>
                <w:rFonts w:ascii="Times New Roman" w:hAnsi="Times New Roman" w:cs="Times New Roman"/>
                <w:sz w:val="24"/>
                <w:szCs w:val="24"/>
              </w:rPr>
              <w:t xml:space="preserve"> and TFs</w:t>
            </w:r>
          </w:p>
        </w:tc>
        <w:tc>
          <w:tcPr>
            <w:tcW w:w="1014" w:type="dxa"/>
          </w:tcPr>
          <w:p w14:paraId="4EFF3E35" w14:textId="00FD630F" w:rsidR="00356D32" w:rsidRPr="00FB1113" w:rsidRDefault="00FB1113" w:rsidP="00FB1113">
            <w:pPr>
              <w:spacing w:line="360" w:lineRule="auto"/>
              <w:jc w:val="center"/>
              <w:rPr>
                <w:rFonts w:ascii="Times New Roman" w:hAnsi="Times New Roman" w:cs="Times New Roman"/>
                <w:bCs/>
                <w:sz w:val="24"/>
                <w:szCs w:val="24"/>
              </w:rPr>
            </w:pPr>
            <w:r w:rsidRPr="00FB1113">
              <w:rPr>
                <w:rFonts w:ascii="Times New Roman" w:hAnsi="Times New Roman" w:cs="Times New Roman"/>
                <w:bCs/>
                <w:sz w:val="24"/>
                <w:szCs w:val="24"/>
              </w:rPr>
              <w:t>14-15</w:t>
            </w:r>
          </w:p>
        </w:tc>
      </w:tr>
    </w:tbl>
    <w:p w14:paraId="46BB3A29" w14:textId="77777777" w:rsidR="00401B43" w:rsidRDefault="00401B43" w:rsidP="00FC3FB5">
      <w:pPr>
        <w:spacing w:line="360" w:lineRule="auto"/>
        <w:jc w:val="both"/>
        <w:rPr>
          <w:rFonts w:ascii="Times New Roman" w:hAnsi="Times New Roman" w:cs="Times New Roman"/>
          <w:b/>
          <w:bCs/>
          <w:color w:val="000000" w:themeColor="text1"/>
          <w:sz w:val="36"/>
          <w:szCs w:val="36"/>
        </w:rPr>
      </w:pPr>
    </w:p>
    <w:p w14:paraId="28253A69" w14:textId="77777777" w:rsidR="00210D07" w:rsidRDefault="00210D07" w:rsidP="00FC3FB5">
      <w:pPr>
        <w:spacing w:line="360" w:lineRule="auto"/>
        <w:jc w:val="both"/>
        <w:rPr>
          <w:rFonts w:ascii="Times New Roman" w:hAnsi="Times New Roman" w:cs="Times New Roman"/>
          <w:b/>
          <w:bCs/>
          <w:color w:val="000000" w:themeColor="text1"/>
          <w:sz w:val="36"/>
          <w:szCs w:val="36"/>
        </w:rPr>
      </w:pPr>
    </w:p>
    <w:p w14:paraId="19802310" w14:textId="377E52D7" w:rsidR="00356D32" w:rsidRDefault="00356D32" w:rsidP="00356D32">
      <w:pPr>
        <w:jc w:val="center"/>
        <w:rPr>
          <w:rFonts w:ascii="Times New Roman" w:hAnsi="Times New Roman" w:cs="Times New Roman"/>
          <w:b/>
          <w:bCs/>
          <w:sz w:val="32"/>
          <w:szCs w:val="32"/>
          <w:u w:val="single"/>
        </w:rPr>
      </w:pPr>
      <w:r w:rsidRPr="001E7569">
        <w:rPr>
          <w:rFonts w:ascii="Times New Roman" w:hAnsi="Times New Roman" w:cs="Times New Roman"/>
          <w:b/>
          <w:bCs/>
          <w:sz w:val="32"/>
          <w:szCs w:val="32"/>
          <w:u w:val="single"/>
        </w:rPr>
        <w:lastRenderedPageBreak/>
        <w:t xml:space="preserve">Supporting </w:t>
      </w:r>
      <w:r>
        <w:rPr>
          <w:rFonts w:ascii="Times New Roman" w:hAnsi="Times New Roman" w:cs="Times New Roman"/>
          <w:b/>
          <w:bCs/>
          <w:sz w:val="32"/>
          <w:szCs w:val="32"/>
          <w:u w:val="single"/>
        </w:rPr>
        <w:t>methods</w:t>
      </w:r>
    </w:p>
    <w:p w14:paraId="5211A1BC" w14:textId="0B8AA187" w:rsidR="00356D32" w:rsidRPr="00356D32" w:rsidRDefault="00423EE4" w:rsidP="00356D32">
      <w:pPr>
        <w:rPr>
          <w:rFonts w:ascii="Times New Roman" w:hAnsi="Times New Roman" w:cs="Times New Roman"/>
          <w:b/>
          <w:bCs/>
          <w:u w:val="single"/>
        </w:rPr>
      </w:pPr>
      <w:r w:rsidRPr="00423EE4">
        <w:rPr>
          <w:rFonts w:ascii="Times New Roman" w:hAnsi="Times New Roman" w:cs="Times New Roman"/>
          <w:b/>
          <w:bCs/>
        </w:rPr>
        <w:t xml:space="preserve">Method S1: </w:t>
      </w:r>
      <w:r w:rsidR="00356D32" w:rsidRPr="00423EE4">
        <w:rPr>
          <w:rFonts w:ascii="Times New Roman" w:hAnsi="Times New Roman" w:cs="Times New Roman"/>
          <w:b/>
          <w:bCs/>
        </w:rPr>
        <w:t>Linear Model for Microarray (LIMMA)</w:t>
      </w:r>
    </w:p>
    <w:p w14:paraId="1D815D73" w14:textId="584CAC48" w:rsidR="00356D32" w:rsidRPr="00356D32" w:rsidRDefault="00356D32" w:rsidP="00356D32">
      <w:pPr>
        <w:rPr>
          <w:rFonts w:ascii="Times New Roman" w:hAnsi="Times New Roman" w:cs="Times New Roman"/>
          <w:sz w:val="22"/>
          <w:szCs w:val="22"/>
        </w:rPr>
      </w:pPr>
      <w:r w:rsidRPr="00356D32">
        <w:rPr>
          <w:rFonts w:ascii="Times New Roman" w:hAnsi="Times New Roman" w:cs="Times New Roman"/>
          <w:sz w:val="22"/>
          <w:szCs w:val="22"/>
        </w:rPr>
        <w:t xml:space="preserve">The statistical linear models for microarray (LIMMA) data analysis is a popular approach for identification of differentially expressed genes (DEGs) between case and control samples </w:t>
      </w:r>
    </w:p>
    <w:p w14:paraId="06EABCE7" w14:textId="77777777" w:rsidR="00356D32" w:rsidRPr="00356D32" w:rsidRDefault="00356D32" w:rsidP="00356D32">
      <w:pPr>
        <w:rPr>
          <w:rFonts w:ascii="Times New Roman" w:hAnsi="Times New Roman" w:cs="Times New Roman"/>
          <w:sz w:val="22"/>
          <w:szCs w:val="22"/>
        </w:rPr>
      </w:pPr>
      <w:r w:rsidRPr="00356D32">
        <w:rPr>
          <w:rFonts w:ascii="Times New Roman" w:hAnsi="Times New Roman" w:cs="Times New Roman"/>
          <w:sz w:val="22"/>
          <w:szCs w:val="22"/>
        </w:rPr>
        <w:t>The LIMMA model is written as,</w:t>
      </w:r>
    </w:p>
    <w:p w14:paraId="765D9F44" w14:textId="77777777" w:rsidR="00356D32" w:rsidRPr="00356D32" w:rsidRDefault="00356D32" w:rsidP="00356D32">
      <w:pPr>
        <w:rPr>
          <w:rFonts w:ascii="Times New Roman" w:hAnsi="Times New Roman" w:cs="Times New Roman"/>
          <w:sz w:val="22"/>
          <w:szCs w:val="22"/>
        </w:rPr>
      </w:pPr>
    </w:p>
    <w:p w14:paraId="00B3DA22" w14:textId="2481B8F5" w:rsidR="00356D32" w:rsidRPr="00356D32" w:rsidRDefault="002F6AF3" w:rsidP="00356D32">
      <w:pPr>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z</m:t>
              </m:r>
            </m:e>
            <m:sub>
              <m:r>
                <w:rPr>
                  <w:rFonts w:ascii="Cambria Math" w:hAnsi="Cambria Math" w:cs="Times New Roman"/>
                  <w:sz w:val="22"/>
                  <w:szCs w:val="22"/>
                </w:rPr>
                <m:t>g</m:t>
              </m:r>
            </m:sub>
          </m:sSub>
          <m:r>
            <w:rPr>
              <w:rFonts w:ascii="Cambria Math" w:hAnsi="Cambria Math" w:cs="Times New Roman"/>
              <w:sz w:val="22"/>
              <w:szCs w:val="22"/>
            </w:rPr>
            <m:t>=</m:t>
          </m:r>
          <m:sSub>
            <m:sSubPr>
              <m:ctrlPr>
                <w:rPr>
                  <w:rFonts w:ascii="Cambria Math" w:hAnsi="Cambria Math" w:cs="Times New Roman"/>
                  <w:i/>
                  <w:sz w:val="22"/>
                  <w:szCs w:val="22"/>
                </w:rPr>
              </m:ctrlPr>
            </m:sSubPr>
            <m:e>
              <m:r>
                <m:rPr>
                  <m:sty m:val="p"/>
                </m:rPr>
                <w:rPr>
                  <w:rFonts w:ascii="Cambria Math" w:hAnsi="Cambria Math" w:cs="Times New Roman"/>
                  <w:sz w:val="22"/>
                  <w:szCs w:val="22"/>
                </w:rPr>
                <m:t>Xα</m:t>
              </m:r>
            </m:e>
            <m:sub>
              <m:r>
                <w:rPr>
                  <w:rFonts w:ascii="Cambria Math" w:hAnsi="Cambria Math" w:cs="Times New Roman"/>
                  <w:sz w:val="22"/>
                  <w:szCs w:val="22"/>
                </w:rPr>
                <m:t>g</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w:rPr>
                  <w:rFonts w:ascii="Cambria Math" w:hAnsi="Cambria Math" w:cs="Times New Roman"/>
                  <w:sz w:val="22"/>
                  <w:szCs w:val="22"/>
                </w:rPr>
                <m:t>∈</m:t>
              </m:r>
            </m:e>
            <m:sub>
              <m:r>
                <w:rPr>
                  <w:rFonts w:ascii="Cambria Math" w:hAnsi="Cambria Math" w:cs="Times New Roman"/>
                  <w:sz w:val="22"/>
                  <w:szCs w:val="22"/>
                </w:rPr>
                <m:t>g</m:t>
              </m:r>
            </m:sub>
          </m:sSub>
          <m:r>
            <w:rPr>
              <w:rFonts w:ascii="Cambria Math" w:hAnsi="Cambria Math" w:cs="Times New Roman"/>
              <w:sz w:val="22"/>
              <w:szCs w:val="22"/>
            </w:rPr>
            <m:t xml:space="preserve">  …   1</m:t>
          </m:r>
        </m:oMath>
      </m:oMathPara>
    </w:p>
    <w:p w14:paraId="0EC40985" w14:textId="49962894" w:rsidR="00356D32" w:rsidRDefault="00356D32" w:rsidP="00356D32">
      <w:pPr>
        <w:rPr>
          <w:rFonts w:ascii="Times New Roman" w:hAnsi="Times New Roman" w:cs="Times New Roman"/>
          <w:sz w:val="22"/>
          <w:szCs w:val="22"/>
        </w:rPr>
      </w:pPr>
      <w:r w:rsidRPr="00356D32">
        <w:rPr>
          <w:rFonts w:ascii="Times New Roman" w:hAnsi="Times New Roman" w:cs="Times New Roman"/>
          <w:sz w:val="22"/>
          <w:szCs w:val="22"/>
        </w:rPr>
        <w:t xml:space="preserve">where </w:t>
      </w:r>
      <m:oMath>
        <m:sSub>
          <m:sSubPr>
            <m:ctrlPr>
              <w:rPr>
                <w:rFonts w:ascii="Cambria Math" w:hAnsi="Cambria Math" w:cs="Times New Roman"/>
                <w:i/>
                <w:sz w:val="22"/>
                <w:szCs w:val="22"/>
              </w:rPr>
            </m:ctrlPr>
          </m:sSubPr>
          <m:e>
            <m:r>
              <w:rPr>
                <w:rFonts w:ascii="Cambria Math" w:hAnsi="Cambria Math" w:cs="Times New Roman"/>
                <w:sz w:val="22"/>
                <w:szCs w:val="22"/>
              </w:rPr>
              <m:t>z</m:t>
            </m:r>
          </m:e>
          <m:sub>
            <m:r>
              <w:rPr>
                <w:rFonts w:ascii="Cambria Math" w:hAnsi="Cambria Math" w:cs="Times New Roman"/>
                <w:sz w:val="22"/>
                <w:szCs w:val="22"/>
              </w:rPr>
              <m:t>g</m:t>
            </m:r>
          </m:sub>
        </m:sSub>
        <m:r>
          <w:rPr>
            <w:rFonts w:ascii="Cambria Math" w:hAnsi="Cambria Math" w:cs="Times New Roman"/>
            <w:sz w:val="22"/>
            <w:szCs w:val="22"/>
          </w:rPr>
          <m:t>=</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sSub>
                  <m:sSubPr>
                    <m:ctrlPr>
                      <w:rPr>
                        <w:rFonts w:ascii="Cambria Math" w:hAnsi="Cambria Math" w:cs="Times New Roman"/>
                        <w:i/>
                        <w:sz w:val="22"/>
                        <w:szCs w:val="22"/>
                      </w:rPr>
                    </m:ctrlPr>
                  </m:sSubPr>
                  <m:e>
                    <m:r>
                      <w:rPr>
                        <w:rFonts w:ascii="Cambria Math" w:hAnsi="Cambria Math" w:cs="Times New Roman"/>
                        <w:sz w:val="22"/>
                        <w:szCs w:val="22"/>
                      </w:rPr>
                      <m:t>z</m:t>
                    </m:r>
                  </m:e>
                  <m:sub>
                    <m:r>
                      <w:rPr>
                        <w:rFonts w:ascii="Cambria Math" w:hAnsi="Cambria Math" w:cs="Times New Roman"/>
                        <w:sz w:val="22"/>
                        <w:szCs w:val="22"/>
                      </w:rPr>
                      <m:t>g1</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z</m:t>
                    </m:r>
                  </m:e>
                  <m:sub>
                    <m:r>
                      <w:rPr>
                        <w:rFonts w:ascii="Cambria Math" w:hAnsi="Cambria Math" w:cs="Times New Roman"/>
                        <w:sz w:val="22"/>
                        <w:szCs w:val="22"/>
                      </w:rPr>
                      <m:t>g2</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z</m:t>
                    </m:r>
                  </m:e>
                  <m:sub>
                    <m:r>
                      <w:rPr>
                        <w:rFonts w:ascii="Cambria Math" w:hAnsi="Cambria Math" w:cs="Times New Roman"/>
                        <w:sz w:val="22"/>
                        <w:szCs w:val="22"/>
                      </w:rPr>
                      <m:t>g3</m:t>
                    </m:r>
                  </m:sub>
                </m:sSub>
                <m:r>
                  <w:rPr>
                    <w:rFonts w:ascii="Cambria Math" w:hAnsi="Cambria Math" w:cs="Times New Roman"/>
                    <w:sz w:val="22"/>
                    <w:szCs w:val="22"/>
                  </w:rPr>
                  <m:t xml:space="preserve">, …, </m:t>
                </m:r>
                <m:sSub>
                  <m:sSubPr>
                    <m:ctrlPr>
                      <w:rPr>
                        <w:rFonts w:ascii="Cambria Math" w:hAnsi="Cambria Math" w:cs="Times New Roman"/>
                        <w:i/>
                        <w:sz w:val="22"/>
                        <w:szCs w:val="22"/>
                      </w:rPr>
                    </m:ctrlPr>
                  </m:sSubPr>
                  <m:e>
                    <m:r>
                      <w:rPr>
                        <w:rFonts w:ascii="Cambria Math" w:hAnsi="Cambria Math" w:cs="Times New Roman"/>
                        <w:sz w:val="22"/>
                        <w:szCs w:val="22"/>
                      </w:rPr>
                      <m:t>z</m:t>
                    </m:r>
                  </m:e>
                  <m:sub>
                    <m:r>
                      <w:rPr>
                        <w:rFonts w:ascii="Cambria Math" w:hAnsi="Cambria Math" w:cs="Times New Roman"/>
                        <w:sz w:val="22"/>
                        <w:szCs w:val="22"/>
                      </w:rPr>
                      <m:t>gn</m:t>
                    </m:r>
                  </m:sub>
                </m:sSub>
              </m:e>
            </m:d>
          </m:e>
          <m:sup>
            <m:r>
              <w:rPr>
                <w:rFonts w:ascii="Cambria Math" w:hAnsi="Cambria Math" w:cs="Times New Roman"/>
                <w:sz w:val="22"/>
                <w:szCs w:val="22"/>
              </w:rPr>
              <m:t>'</m:t>
            </m:r>
          </m:sup>
        </m:sSup>
      </m:oMath>
      <w:r w:rsidRPr="00356D32">
        <w:rPr>
          <w:rFonts w:ascii="Times New Roman" w:hAnsi="Times New Roman" w:cs="Times New Roman"/>
          <w:sz w:val="22"/>
          <w:szCs w:val="22"/>
        </w:rPr>
        <w:t xml:space="preserve"> is the responses (expressions) m-vector of gth gene with </w:t>
      </w:r>
      <m:oMath>
        <m:r>
          <w:rPr>
            <w:rFonts w:ascii="Cambria Math" w:hAnsi="Cambria Math" w:cs="Times New Roman"/>
            <w:sz w:val="22"/>
            <w:szCs w:val="22"/>
          </w:rPr>
          <m:t xml:space="preserve">n= </m:t>
        </m:r>
        <m:sSub>
          <m:sSubPr>
            <m:ctrlPr>
              <w:rPr>
                <w:rFonts w:ascii="Cambria Math" w:hAnsi="Cambria Math" w:cs="Times New Roman"/>
                <w:i/>
                <w:sz w:val="22"/>
                <w:szCs w:val="22"/>
              </w:rPr>
            </m:ctrlPr>
          </m:sSubPr>
          <m:e>
            <m:r>
              <w:rPr>
                <w:rFonts w:ascii="Cambria Math" w:hAnsi="Cambria Math" w:cs="Times New Roman"/>
                <w:sz w:val="22"/>
                <w:szCs w:val="22"/>
              </w:rPr>
              <m:t>n</m:t>
            </m:r>
          </m:e>
          <m:sub>
            <m:r>
              <w:rPr>
                <w:rFonts w:ascii="Cambria Math" w:hAnsi="Cambria Math" w:cs="Times New Roman"/>
                <w:sz w:val="22"/>
                <w:szCs w:val="22"/>
              </w:rPr>
              <m:t>1</m:t>
            </m:r>
          </m:sub>
        </m:sSub>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n</m:t>
            </m:r>
          </m:e>
          <m:sub>
            <m:r>
              <w:rPr>
                <w:rFonts w:ascii="Cambria Math" w:hAnsi="Cambria Math" w:cs="Times New Roman"/>
                <w:sz w:val="22"/>
                <w:szCs w:val="22"/>
              </w:rPr>
              <m:t>2</m:t>
            </m:r>
          </m:sub>
        </m:sSub>
        <m:r>
          <w:rPr>
            <w:rFonts w:ascii="Cambria Math" w:hAnsi="Cambria Math" w:cs="Times New Roman"/>
            <w:sz w:val="22"/>
            <w:szCs w:val="22"/>
          </w:rPr>
          <m:t xml:space="preserve"> </m:t>
        </m:r>
      </m:oMath>
      <w:r w:rsidRPr="00356D32">
        <w:rPr>
          <w:rFonts w:ascii="Times New Roman" w:hAnsi="Times New Roman" w:cs="Times New Roman"/>
          <w:sz w:val="22"/>
          <w:szCs w:val="22"/>
        </w:rPr>
        <w:t xml:space="preserve">samples (g = 1, 2,…, G), X is an n×2 design matrix, </w:t>
      </w:r>
      <m:oMath>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m:t>
            </m:r>
          </m:sub>
        </m:sSub>
        <m:r>
          <w:rPr>
            <w:rFonts w:ascii="Cambria Math" w:hAnsi="Cambria Math" w:cs="Times New Roman"/>
            <w:sz w:val="22"/>
            <w:szCs w:val="22"/>
          </w:rPr>
          <m:t>=</m:t>
        </m:r>
        <m:sSup>
          <m:sSupPr>
            <m:ctrlPr>
              <w:rPr>
                <w:rFonts w:ascii="Cambria Math" w:hAnsi="Cambria Math" w:cs="Times New Roman"/>
                <w:i/>
                <w:sz w:val="22"/>
                <w:szCs w:val="22"/>
              </w:rPr>
            </m:ctrlPr>
          </m:sSupPr>
          <m:e>
            <m:d>
              <m:dPr>
                <m:ctrlPr>
                  <w:rPr>
                    <w:rFonts w:ascii="Cambria Math" w:hAnsi="Cambria Math" w:cs="Times New Roman"/>
                    <w:i/>
                    <w:sz w:val="22"/>
                    <w:szCs w:val="22"/>
                  </w:rPr>
                </m:ctrlPr>
              </m:dPr>
              <m:e>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g1</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g2</m:t>
                    </m:r>
                  </m:sub>
                </m:sSub>
              </m:e>
            </m:d>
          </m:e>
          <m:sup>
            <m:r>
              <w:rPr>
                <w:rFonts w:ascii="Cambria Math" w:hAnsi="Cambria Math" w:cs="Times New Roman"/>
                <w:sz w:val="22"/>
                <w:szCs w:val="22"/>
              </w:rPr>
              <m:t>'</m:t>
            </m:r>
          </m:sup>
        </m:sSup>
      </m:oMath>
      <w:r w:rsidRPr="00356D32">
        <w:rPr>
          <w:rFonts w:ascii="Times New Roman" w:hAnsi="Times New Roman" w:cs="Times New Roman"/>
          <w:sz w:val="22"/>
          <w:szCs w:val="22"/>
        </w:rPr>
        <w:t xml:space="preserve">  is a 2-vector (2&lt;n) of effects for ccRCC and control groups of n samples and the error vector </w:t>
      </w:r>
      <m:oMath>
        <m:sSub>
          <m:sSubPr>
            <m:ctrlPr>
              <w:rPr>
                <w:rFonts w:ascii="Cambria Math" w:hAnsi="Cambria Math" w:cs="Times New Roman"/>
                <w:i/>
                <w:sz w:val="22"/>
                <w:szCs w:val="22"/>
              </w:rPr>
            </m:ctrlPr>
          </m:sSubPr>
          <m:e>
            <m:r>
              <w:rPr>
                <w:rFonts w:ascii="Cambria Math" w:hAnsi="Cambria Math" w:cs="Times New Roman"/>
                <w:sz w:val="22"/>
                <w:szCs w:val="22"/>
              </w:rPr>
              <m:t>∈</m:t>
            </m:r>
          </m:e>
          <m:sub>
            <m:r>
              <w:rPr>
                <w:rFonts w:ascii="Cambria Math" w:hAnsi="Cambria Math" w:cs="Times New Roman"/>
                <w:sz w:val="22"/>
                <w:szCs w:val="22"/>
              </w:rPr>
              <m:t>g</m:t>
            </m:r>
          </m:sub>
        </m:sSub>
        <m:r>
          <w:rPr>
            <w:rFonts w:ascii="Cambria Math" w:hAnsi="Cambria Math" w:cs="Times New Roman"/>
            <w:sz w:val="22"/>
            <w:szCs w:val="22"/>
          </w:rPr>
          <m:t xml:space="preserve"> ~ N(0, </m:t>
        </m:r>
        <m:sSub>
          <m:sSubPr>
            <m:ctrlPr>
              <w:rPr>
                <w:rFonts w:ascii="Cambria Math" w:hAnsi="Cambria Math" w:cs="Times New Roman"/>
                <w:i/>
                <w:sz w:val="22"/>
                <w:szCs w:val="22"/>
              </w:rPr>
            </m:ctrlPr>
          </m:sSubPr>
          <m:e>
            <m:r>
              <w:rPr>
                <w:rFonts w:ascii="Cambria Math" w:hAnsi="Cambria Math" w:cs="Times New Roman"/>
                <w:sz w:val="22"/>
                <w:szCs w:val="22"/>
              </w:rPr>
              <m:t xml:space="preserve"> W</m:t>
            </m:r>
          </m:e>
          <m:sub>
            <m:r>
              <w:rPr>
                <w:rFonts w:ascii="Cambria Math" w:hAnsi="Cambria Math" w:cs="Times New Roman"/>
                <w:sz w:val="22"/>
                <w:szCs w:val="22"/>
              </w:rPr>
              <m:t>g</m:t>
            </m:r>
          </m:sub>
        </m:sSub>
        <m:sSubSup>
          <m:sSubSupPr>
            <m:ctrlPr>
              <w:rPr>
                <w:rFonts w:ascii="Cambria Math" w:hAnsi="Cambria Math" w:cs="Times New Roman"/>
                <w:i/>
                <w:sz w:val="22"/>
                <w:szCs w:val="22"/>
              </w:rPr>
            </m:ctrlPr>
          </m:sSubSupPr>
          <m:e>
            <m:r>
              <w:rPr>
                <w:rFonts w:ascii="Cambria Math" w:hAnsi="Cambria Math" w:cs="Times New Roman"/>
                <w:sz w:val="22"/>
                <w:szCs w:val="22"/>
              </w:rPr>
              <m:t>σ</m:t>
            </m:r>
          </m:e>
          <m:sub>
            <m:r>
              <w:rPr>
                <w:rFonts w:ascii="Cambria Math" w:hAnsi="Cambria Math" w:cs="Times New Roman"/>
                <w:sz w:val="22"/>
                <w:szCs w:val="22"/>
              </w:rPr>
              <m:t>g</m:t>
            </m:r>
          </m:sub>
          <m:sup>
            <m:r>
              <w:rPr>
                <w:rFonts w:ascii="Cambria Math" w:hAnsi="Cambria Math" w:cs="Times New Roman"/>
                <w:sz w:val="22"/>
                <w:szCs w:val="22"/>
              </w:rPr>
              <m:t>2</m:t>
            </m:r>
          </m:sup>
        </m:sSubSup>
        <m:r>
          <w:rPr>
            <w:rFonts w:ascii="Cambria Math" w:hAnsi="Cambria Math" w:cs="Times New Roman"/>
            <w:sz w:val="22"/>
            <w:szCs w:val="22"/>
          </w:rPr>
          <m:t>)</m:t>
        </m:r>
      </m:oMath>
      <w:r w:rsidRPr="00356D32">
        <w:rPr>
          <w:rFonts w:ascii="Times New Roman" w:hAnsi="Times New Roman" w:cs="Times New Roman"/>
          <w:sz w:val="22"/>
          <w:szCs w:val="22"/>
        </w:rPr>
        <w:t xml:space="preserve">. The gth gene is said to be equally expressed gene (EEG) if the null hypothesis </w:t>
      </w:r>
      <w:r>
        <w:rPr>
          <w:rFonts w:ascii="Times New Roman" w:hAnsi="Times New Roman" w:cs="Times New Roman"/>
          <w:sz w:val="22"/>
          <w:szCs w:val="22"/>
        </w:rPr>
        <w:t>(</w:t>
      </w:r>
      <m:oMath>
        <m:sSub>
          <m:sSubPr>
            <m:ctrlPr>
              <w:rPr>
                <w:rFonts w:ascii="Cambria Math" w:hAnsi="Cambria Math" w:cs="Times New Roman"/>
                <w:i/>
                <w:sz w:val="22"/>
                <w:szCs w:val="22"/>
              </w:rPr>
            </m:ctrlPr>
          </m:sSubPr>
          <m:e>
            <m:r>
              <m:rPr>
                <m:sty m:val="p"/>
              </m:rPr>
              <w:rPr>
                <w:rFonts w:ascii="Cambria Math" w:hAnsi="Cambria Math" w:cs="Times New Roman"/>
                <w:sz w:val="22"/>
                <w:szCs w:val="22"/>
              </w:rPr>
              <m:t>H</m:t>
            </m:r>
          </m:e>
          <m:sub>
            <m:r>
              <w:rPr>
                <w:rFonts w:ascii="Cambria Math" w:hAnsi="Cambria Math" w:cs="Times New Roman"/>
                <w:sz w:val="22"/>
                <w:szCs w:val="22"/>
              </w:rPr>
              <m:t>0</m:t>
            </m:r>
          </m:sub>
        </m:sSub>
        <m:r>
          <w:rPr>
            <w:rFonts w:ascii="Cambria Math" w:hAnsi="Cambria Math" w:cs="Times New Roman"/>
            <w:sz w:val="22"/>
            <w:szCs w:val="22"/>
          </w:rPr>
          <m:t>)</m:t>
        </m:r>
      </m:oMath>
      <w:r w:rsidRPr="00356D32">
        <w:rPr>
          <w:rFonts w:ascii="Times New Roman" w:hAnsi="Times New Roman" w:cs="Times New Roman"/>
          <w:sz w:val="22"/>
          <w:szCs w:val="22"/>
        </w:rPr>
        <w:t xml:space="preserve">: </w:t>
      </w:r>
      <m:oMath>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g1</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g2</m:t>
            </m:r>
          </m:sub>
        </m:sSub>
        <m:r>
          <w:rPr>
            <w:rFonts w:ascii="Cambria Math" w:hAnsi="Cambria Math" w:cs="Times New Roman"/>
            <w:sz w:val="22"/>
            <w:szCs w:val="22"/>
          </w:rPr>
          <m:t xml:space="preserve">= &gt; </m:t>
        </m:r>
        <m:sSub>
          <m:sSubPr>
            <m:ctrlPr>
              <w:rPr>
                <w:rFonts w:ascii="Cambria Math" w:hAnsi="Cambria Math" w:cs="Times New Roman"/>
                <w:i/>
                <w:sz w:val="22"/>
                <w:szCs w:val="22"/>
              </w:rPr>
            </m:ctrlPr>
          </m:sSubPr>
          <m:e>
            <m:r>
              <m:rPr>
                <m:sty m:val="p"/>
              </m:rPr>
              <w:rPr>
                <w:rFonts w:ascii="Cambria Math" w:hAnsi="Cambria Math" w:cs="Times New Roman"/>
                <w:sz w:val="22"/>
                <w:szCs w:val="22"/>
              </w:rPr>
              <m:t>γ</m:t>
            </m:r>
          </m:e>
          <m:sub>
            <m:r>
              <w:rPr>
                <w:rFonts w:ascii="Cambria Math" w:hAnsi="Cambria Math" w:cs="Times New Roman"/>
                <w:sz w:val="22"/>
                <w:szCs w:val="22"/>
              </w:rPr>
              <m:t>g</m:t>
            </m:r>
          </m:sub>
        </m:sSub>
        <m:r>
          <w:rPr>
            <w:rFonts w:ascii="Cambria Math" w:hAnsi="Cambria Math" w:cs="Times New Roman"/>
            <w:sz w:val="22"/>
            <w:szCs w:val="22"/>
          </w:rPr>
          <m:t>=</m:t>
        </m:r>
        <m:d>
          <m:dPr>
            <m:ctrlPr>
              <w:rPr>
                <w:rFonts w:ascii="Cambria Math" w:hAnsi="Cambria Math" w:cs="Times New Roman"/>
                <w:i/>
                <w:sz w:val="22"/>
                <w:szCs w:val="22"/>
              </w:rPr>
            </m:ctrlPr>
          </m:dPr>
          <m:e>
            <m:r>
              <w:rPr>
                <w:rFonts w:ascii="Cambria Math" w:hAnsi="Cambria Math" w:cs="Times New Roman"/>
                <w:sz w:val="22"/>
                <w:szCs w:val="22"/>
              </w:rPr>
              <m:t xml:space="preserve"> </m:t>
            </m:r>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g1</m:t>
                </m:r>
              </m:sub>
            </m:sSub>
            <m:r>
              <w:rPr>
                <w:rFonts w:ascii="Cambria Math" w:hAnsi="Cambria Math" w:cs="Times New Roman"/>
                <w:sz w:val="22"/>
                <w:szCs w:val="22"/>
              </w:rPr>
              <m:t xml:space="preserve">- </m:t>
            </m:r>
            <m:sSub>
              <m:sSubPr>
                <m:ctrlPr>
                  <w:rPr>
                    <w:rFonts w:ascii="Cambria Math" w:hAnsi="Cambria Math" w:cs="Times New Roman"/>
                    <w:i/>
                    <w:sz w:val="22"/>
                    <w:szCs w:val="22"/>
                  </w:rPr>
                </m:ctrlPr>
              </m:sSubPr>
              <m:e>
                <m:r>
                  <m:rPr>
                    <m:sty m:val="p"/>
                  </m:rPr>
                  <w:rPr>
                    <w:rFonts w:ascii="Cambria Math" w:hAnsi="Cambria Math" w:cs="Times New Roman"/>
                    <w:sz w:val="22"/>
                    <w:szCs w:val="22"/>
                  </w:rPr>
                  <m:t>α</m:t>
                </m:r>
              </m:e>
              <m:sub>
                <m:r>
                  <w:rPr>
                    <w:rFonts w:ascii="Cambria Math" w:hAnsi="Cambria Math" w:cs="Times New Roman"/>
                    <w:sz w:val="22"/>
                    <w:szCs w:val="22"/>
                  </w:rPr>
                  <m:t>g2</m:t>
                </m:r>
              </m:sub>
            </m:sSub>
          </m:e>
        </m:d>
        <m:r>
          <w:rPr>
            <w:rFonts w:ascii="Cambria Math" w:hAnsi="Cambria Math" w:cs="Times New Roman"/>
            <w:sz w:val="22"/>
            <w:szCs w:val="22"/>
          </w:rPr>
          <m:t>=0</m:t>
        </m:r>
      </m:oMath>
      <w:r w:rsidRPr="00356D32">
        <w:rPr>
          <w:rFonts w:ascii="Times New Roman" w:hAnsi="Times New Roman" w:cs="Times New Roman"/>
          <w:sz w:val="22"/>
          <w:szCs w:val="22"/>
        </w:rPr>
        <w:t xml:space="preserve"> is true. Otherwise, it is said to be a differentially expressed gene (DEG). To test the significance of </w:t>
      </w:r>
      <m:oMath>
        <m:sSub>
          <m:sSubPr>
            <m:ctrlPr>
              <w:rPr>
                <w:rFonts w:ascii="Cambria Math" w:hAnsi="Cambria Math" w:cs="Times New Roman"/>
                <w:i/>
                <w:sz w:val="22"/>
                <w:szCs w:val="22"/>
              </w:rPr>
            </m:ctrlPr>
          </m:sSubPr>
          <m:e>
            <m:r>
              <m:rPr>
                <m:sty m:val="p"/>
              </m:rPr>
              <w:rPr>
                <w:rFonts w:ascii="Cambria Math" w:hAnsi="Cambria Math" w:cs="Times New Roman"/>
                <w:sz w:val="22"/>
                <w:szCs w:val="22"/>
              </w:rPr>
              <m:t>H</m:t>
            </m:r>
          </m:e>
          <m:sub>
            <m:r>
              <w:rPr>
                <w:rFonts w:ascii="Cambria Math" w:hAnsi="Cambria Math" w:cs="Times New Roman"/>
                <w:sz w:val="22"/>
                <w:szCs w:val="22"/>
              </w:rPr>
              <m:t>0</m:t>
            </m:r>
          </m:sub>
        </m:sSub>
      </m:oMath>
      <w:r w:rsidRPr="00356D32">
        <w:rPr>
          <w:rFonts w:ascii="Times New Roman" w:hAnsi="Times New Roman" w:cs="Times New Roman"/>
          <w:sz w:val="22"/>
          <w:szCs w:val="22"/>
        </w:rPr>
        <w:t>, the test statistic for LIMMA approach is defined as</w:t>
      </w:r>
    </w:p>
    <w:p w14:paraId="10782AE0" w14:textId="249DE2BC" w:rsidR="00356D32" w:rsidRPr="00356D32" w:rsidRDefault="002F6AF3" w:rsidP="00356D32">
      <w:pPr>
        <w:rPr>
          <w:rFonts w:ascii="Times New Roman" w:hAnsi="Times New Roman" w:cs="Times New Roman"/>
          <w:sz w:val="22"/>
          <w:szCs w:val="22"/>
        </w:rPr>
      </w:pPr>
      <m:oMathPara>
        <m:oMath>
          <m:sSub>
            <m:sSubPr>
              <m:ctrlPr>
                <w:rPr>
                  <w:rFonts w:ascii="Cambria Math" w:hAnsi="Cambria Math" w:cs="Times New Roman"/>
                  <w:i/>
                  <w:sz w:val="22"/>
                  <w:szCs w:val="22"/>
                </w:rPr>
              </m:ctrlPr>
            </m:sSubPr>
            <m:e>
              <m:acc>
                <m:accPr>
                  <m:chr m:val="̃"/>
                  <m:ctrlPr>
                    <w:rPr>
                      <w:rFonts w:ascii="Cambria Math" w:hAnsi="Cambria Math" w:cs="Times New Roman"/>
                      <w:i/>
                      <w:sz w:val="22"/>
                      <w:szCs w:val="22"/>
                    </w:rPr>
                  </m:ctrlPr>
                </m:accPr>
                <m:e>
                  <m:r>
                    <w:rPr>
                      <w:rFonts w:ascii="Cambria Math" w:hAnsi="Cambria Math" w:cs="Times New Roman"/>
                      <w:sz w:val="22"/>
                      <w:szCs w:val="22"/>
                    </w:rPr>
                    <m:t>t</m:t>
                  </m:r>
                </m:e>
              </m:acc>
            </m:e>
            <m:sub>
              <m:r>
                <w:rPr>
                  <w:rFonts w:ascii="Cambria Math" w:hAnsi="Cambria Math" w:cs="Times New Roman"/>
                  <w:sz w:val="22"/>
                  <w:szCs w:val="22"/>
                </w:rPr>
                <m:t>g</m:t>
              </m:r>
            </m:sub>
          </m:sSub>
          <m:r>
            <w:rPr>
              <w:rFonts w:ascii="Cambria Math" w:hAnsi="Cambria Math" w:cs="Times New Roman"/>
              <w:sz w:val="22"/>
              <w:szCs w:val="22"/>
            </w:rPr>
            <m:t xml:space="preserve">= </m:t>
          </m:r>
          <m:f>
            <m:fPr>
              <m:ctrlPr>
                <w:rPr>
                  <w:rFonts w:ascii="Cambria Math" w:hAnsi="Cambria Math" w:cs="Times New Roman"/>
                  <w:i/>
                  <w:sz w:val="22"/>
                  <w:szCs w:val="22"/>
                </w:rPr>
              </m:ctrlPr>
            </m:fPr>
            <m:num>
              <m:sSub>
                <m:sSubPr>
                  <m:ctrlPr>
                    <w:rPr>
                      <w:rFonts w:ascii="Cambria Math" w:hAnsi="Cambria Math" w:cs="Times New Roman"/>
                      <w:i/>
                      <w:sz w:val="22"/>
                      <w:szCs w:val="22"/>
                    </w:rPr>
                  </m:ctrlPr>
                </m:sSubPr>
                <m:e>
                  <m:acc>
                    <m:accPr>
                      <m:ctrlPr>
                        <w:rPr>
                          <w:rFonts w:ascii="Cambria Math" w:hAnsi="Cambria Math" w:cs="Times New Roman"/>
                          <w:i/>
                          <w:sz w:val="22"/>
                          <w:szCs w:val="22"/>
                        </w:rPr>
                      </m:ctrlPr>
                    </m:accPr>
                    <m:e>
                      <m:r>
                        <m:rPr>
                          <m:sty m:val="p"/>
                        </m:rPr>
                        <w:rPr>
                          <w:rFonts w:ascii="Cambria Math" w:hAnsi="Cambria Math" w:cs="Times New Roman"/>
                          <w:sz w:val="22"/>
                          <w:szCs w:val="22"/>
                        </w:rPr>
                        <m:t>γ</m:t>
                      </m:r>
                    </m:e>
                  </m:acc>
                </m:e>
                <m:sub>
                  <m:r>
                    <w:rPr>
                      <w:rFonts w:ascii="Cambria Math" w:hAnsi="Cambria Math" w:cs="Times New Roman"/>
                      <w:sz w:val="22"/>
                      <w:szCs w:val="22"/>
                    </w:rPr>
                    <m:t>g</m:t>
                  </m:r>
                </m:sub>
              </m:sSub>
              <m:r>
                <w:rPr>
                  <w:rFonts w:ascii="Cambria Math" w:hAnsi="Cambria Math" w:cs="Times New Roman"/>
                  <w:sz w:val="22"/>
                  <w:szCs w:val="22"/>
                </w:rPr>
                <m:t>+</m:t>
              </m:r>
              <m:sSub>
                <m:sSubPr>
                  <m:ctrlPr>
                    <w:rPr>
                      <w:rFonts w:ascii="Cambria Math" w:hAnsi="Cambria Math" w:cs="Times New Roman"/>
                      <w:i/>
                      <w:sz w:val="22"/>
                      <w:szCs w:val="22"/>
                    </w:rPr>
                  </m:ctrlPr>
                </m:sSubPr>
                <m:e>
                  <m:r>
                    <m:rPr>
                      <m:sty m:val="p"/>
                    </m:rPr>
                    <w:rPr>
                      <w:rFonts w:ascii="Cambria Math" w:hAnsi="Cambria Math" w:cs="Times New Roman"/>
                      <w:sz w:val="22"/>
                      <w:szCs w:val="22"/>
                    </w:rPr>
                    <m:t>γ</m:t>
                  </m:r>
                </m:e>
                <m:sub>
                  <m:r>
                    <w:rPr>
                      <w:rFonts w:ascii="Cambria Math" w:hAnsi="Cambria Math" w:cs="Times New Roman"/>
                      <w:sz w:val="22"/>
                      <w:szCs w:val="22"/>
                    </w:rPr>
                    <m:t>g</m:t>
                  </m:r>
                </m:sub>
              </m:sSub>
            </m:num>
            <m:den>
              <m:sSub>
                <m:sSubPr>
                  <m:ctrlPr>
                    <w:rPr>
                      <w:rFonts w:ascii="Cambria Math" w:hAnsi="Cambria Math" w:cs="Times New Roman"/>
                      <w:i/>
                      <w:sz w:val="22"/>
                      <w:szCs w:val="22"/>
                    </w:rPr>
                  </m:ctrlPr>
                </m:sSubPr>
                <m:e>
                  <m:acc>
                    <m:accPr>
                      <m:chr m:val="̃"/>
                      <m:ctrlPr>
                        <w:rPr>
                          <w:rFonts w:ascii="Cambria Math" w:hAnsi="Cambria Math" w:cs="Times New Roman"/>
                          <w:i/>
                          <w:sz w:val="22"/>
                          <w:szCs w:val="22"/>
                        </w:rPr>
                      </m:ctrlPr>
                    </m:accPr>
                    <m:e>
                      <m:r>
                        <w:rPr>
                          <w:rFonts w:ascii="Cambria Math" w:hAnsi="Cambria Math" w:cs="Times New Roman"/>
                          <w:sz w:val="22"/>
                          <w:szCs w:val="22"/>
                        </w:rPr>
                        <m:t>S</m:t>
                      </m:r>
                    </m:e>
                  </m:acc>
                </m:e>
                <m:sub>
                  <m:r>
                    <w:rPr>
                      <w:rFonts w:ascii="Cambria Math" w:hAnsi="Cambria Math" w:cs="Times New Roman"/>
                      <w:sz w:val="22"/>
                      <w:szCs w:val="22"/>
                    </w:rPr>
                    <m:t>g</m:t>
                  </m:r>
                </m:sub>
              </m:sSub>
              <m:r>
                <w:rPr>
                  <w:rFonts w:ascii="Cambria Math" w:hAnsi="Cambria Math" w:cs="Times New Roman"/>
                  <w:sz w:val="22"/>
                  <w:szCs w:val="22"/>
                </w:rPr>
                <m:t xml:space="preserve"> </m:t>
              </m:r>
              <m:rad>
                <m:radPr>
                  <m:degHide m:val="1"/>
                  <m:ctrlPr>
                    <w:rPr>
                      <w:rFonts w:ascii="Cambria Math" w:hAnsi="Cambria Math" w:cs="Times New Roman"/>
                      <w:i/>
                      <w:sz w:val="22"/>
                      <w:szCs w:val="22"/>
                    </w:rPr>
                  </m:ctrlPr>
                </m:radPr>
                <m:deg/>
                <m:e>
                  <m:sSub>
                    <m:sSubPr>
                      <m:ctrlPr>
                        <w:rPr>
                          <w:rFonts w:ascii="Cambria Math" w:hAnsi="Cambria Math" w:cs="Times New Roman"/>
                          <w:i/>
                          <w:sz w:val="22"/>
                          <w:szCs w:val="22"/>
                        </w:rPr>
                      </m:ctrlPr>
                    </m:sSubPr>
                    <m:e>
                      <m:r>
                        <w:rPr>
                          <w:rFonts w:ascii="Cambria Math" w:hAnsi="Cambria Math" w:cs="Times New Roman"/>
                          <w:sz w:val="22"/>
                          <w:szCs w:val="22"/>
                        </w:rPr>
                        <m:t>δ</m:t>
                      </m:r>
                    </m:e>
                    <m:sub>
                      <m:r>
                        <w:rPr>
                          <w:rFonts w:ascii="Cambria Math" w:hAnsi="Cambria Math" w:cs="Times New Roman"/>
                          <w:sz w:val="22"/>
                          <w:szCs w:val="22"/>
                        </w:rPr>
                        <m:t>g</m:t>
                      </m:r>
                    </m:sub>
                  </m:sSub>
                </m:e>
              </m:rad>
            </m:den>
          </m:f>
          <m:r>
            <w:rPr>
              <w:rFonts w:ascii="Cambria Math" w:eastAsiaTheme="minorEastAsia" w:hAnsi="Cambria Math" w:cs="Times New Roman"/>
              <w:sz w:val="22"/>
              <w:szCs w:val="22"/>
            </w:rPr>
            <m:t xml:space="preserve">   …2 </m:t>
          </m:r>
        </m:oMath>
      </m:oMathPara>
    </w:p>
    <w:p w14:paraId="791E0A25" w14:textId="77777777" w:rsidR="00356D32" w:rsidRPr="00356D32" w:rsidRDefault="00356D32" w:rsidP="00356D32">
      <w:pPr>
        <w:rPr>
          <w:rFonts w:ascii="Times New Roman" w:hAnsi="Times New Roman" w:cs="Times New Roman"/>
          <w:sz w:val="22"/>
          <w:szCs w:val="22"/>
        </w:rPr>
      </w:pPr>
    </w:p>
    <w:p w14:paraId="6954FD35" w14:textId="48C3477E" w:rsidR="00356D32" w:rsidRPr="00356D32" w:rsidRDefault="00356D32" w:rsidP="00356D32">
      <w:pPr>
        <w:rPr>
          <w:rFonts w:ascii="Times New Roman" w:hAnsi="Times New Roman" w:cs="Times New Roman"/>
          <w:sz w:val="16"/>
          <w:szCs w:val="16"/>
        </w:rPr>
      </w:pPr>
      <w:r w:rsidRPr="00356D32">
        <w:rPr>
          <w:rFonts w:ascii="Times New Roman" w:hAnsi="Times New Roman" w:cs="Times New Roman"/>
          <w:sz w:val="22"/>
          <w:szCs w:val="22"/>
        </w:rPr>
        <w:t xml:space="preserve">which follows t-distribution under </w:t>
      </w:r>
      <m:oMath>
        <m:sSub>
          <m:sSubPr>
            <m:ctrlPr>
              <w:rPr>
                <w:rFonts w:ascii="Cambria Math" w:hAnsi="Cambria Math" w:cs="Times New Roman"/>
                <w:i/>
                <w:sz w:val="22"/>
                <w:szCs w:val="22"/>
              </w:rPr>
            </m:ctrlPr>
          </m:sSubPr>
          <m:e>
            <m:r>
              <m:rPr>
                <m:sty m:val="p"/>
              </m:rPr>
              <w:rPr>
                <w:rFonts w:ascii="Cambria Math" w:hAnsi="Cambria Math" w:cs="Times New Roman"/>
                <w:sz w:val="22"/>
                <w:szCs w:val="22"/>
              </w:rPr>
              <m:t>H</m:t>
            </m:r>
          </m:e>
          <m:sub>
            <m:r>
              <w:rPr>
                <w:rFonts w:ascii="Cambria Math" w:hAnsi="Cambria Math" w:cs="Times New Roman"/>
                <w:sz w:val="22"/>
                <w:szCs w:val="22"/>
              </w:rPr>
              <m:t>0</m:t>
            </m:r>
          </m:sub>
        </m:sSub>
      </m:oMath>
      <w:r>
        <w:rPr>
          <w:rFonts w:ascii="Times New Roman" w:eastAsiaTheme="minorEastAsia" w:hAnsi="Times New Roman" w:cs="Times New Roman"/>
          <w:sz w:val="22"/>
          <w:szCs w:val="22"/>
        </w:rPr>
        <w:t>.</w:t>
      </w:r>
      <w:r w:rsidRPr="00356D32">
        <w:t xml:space="preserve"> </w:t>
      </w:r>
      <w:r w:rsidRPr="00356D32">
        <w:rPr>
          <w:rFonts w:ascii="Times New Roman" w:eastAsiaTheme="minorEastAsia" w:hAnsi="Times New Roman" w:cs="Times New Roman"/>
          <w:sz w:val="22"/>
          <w:szCs w:val="22"/>
        </w:rPr>
        <w:t>Adjusted P-values based on the moderated t-statistic and the average of log2 fold-change (Log</w:t>
      </w:r>
      <w:r w:rsidRPr="0076066E">
        <w:rPr>
          <w:rFonts w:ascii="Times New Roman" w:eastAsiaTheme="minorEastAsia" w:hAnsi="Times New Roman" w:cs="Times New Roman"/>
          <w:sz w:val="22"/>
          <w:szCs w:val="22"/>
          <w:vertAlign w:val="subscript"/>
        </w:rPr>
        <w:t>2</w:t>
      </w:r>
      <w:r w:rsidRPr="00356D32">
        <w:rPr>
          <w:rFonts w:ascii="Times New Roman" w:eastAsiaTheme="minorEastAsia" w:hAnsi="Times New Roman" w:cs="Times New Roman"/>
          <w:sz w:val="22"/>
          <w:szCs w:val="22"/>
        </w:rPr>
        <w:t>FC) values of treatment group with respect to the control group were used to select DEGs</w:t>
      </w:r>
      <w:r>
        <w:rPr>
          <w:rFonts w:ascii="Times New Roman" w:eastAsiaTheme="minorEastAsia" w:hAnsi="Times New Roman" w:cs="Times New Roman"/>
          <w:sz w:val="22"/>
          <w:szCs w:val="22"/>
        </w:rPr>
        <w:t>.</w:t>
      </w:r>
    </w:p>
    <w:p w14:paraId="15C6B8E2" w14:textId="77777777" w:rsidR="00356D32" w:rsidRPr="00356D32" w:rsidRDefault="00356D32" w:rsidP="00356D32">
      <w:pPr>
        <w:rPr>
          <w:rFonts w:ascii="Times New Roman" w:hAnsi="Times New Roman" w:cs="Times New Roman"/>
          <w:b/>
          <w:bCs/>
          <w:sz w:val="32"/>
          <w:szCs w:val="32"/>
        </w:rPr>
      </w:pPr>
    </w:p>
    <w:p w14:paraId="692067E9" w14:textId="00CE75D2" w:rsidR="00356D32" w:rsidRPr="00356D32" w:rsidRDefault="00423EE4" w:rsidP="00356D32">
      <w:pPr>
        <w:rPr>
          <w:rFonts w:ascii="Times New Roman" w:hAnsi="Times New Roman" w:cs="Times New Roman"/>
          <w:b/>
          <w:bCs/>
        </w:rPr>
      </w:pPr>
      <w:r w:rsidRPr="00423EE4">
        <w:rPr>
          <w:rFonts w:ascii="Times New Roman" w:hAnsi="Times New Roman" w:cs="Times New Roman"/>
          <w:b/>
          <w:bCs/>
        </w:rPr>
        <w:t>Method S</w:t>
      </w:r>
      <w:r>
        <w:rPr>
          <w:rFonts w:ascii="Times New Roman" w:hAnsi="Times New Roman" w:cs="Times New Roman"/>
          <w:b/>
          <w:bCs/>
        </w:rPr>
        <w:t xml:space="preserve">2: </w:t>
      </w:r>
      <w:proofErr w:type="spellStart"/>
      <w:r w:rsidR="00356D32" w:rsidRPr="00356D32">
        <w:rPr>
          <w:rFonts w:ascii="Times New Roman" w:hAnsi="Times New Roman" w:cs="Times New Roman"/>
          <w:b/>
          <w:bCs/>
        </w:rPr>
        <w:t>XGBoost</w:t>
      </w:r>
      <w:proofErr w:type="spellEnd"/>
      <w:r w:rsidR="00356D32" w:rsidRPr="00356D32">
        <w:rPr>
          <w:rFonts w:ascii="Times New Roman" w:hAnsi="Times New Roman" w:cs="Times New Roman"/>
          <w:b/>
          <w:bCs/>
        </w:rPr>
        <w:t xml:space="preserve"> machine learning implementation</w:t>
      </w:r>
    </w:p>
    <w:p w14:paraId="0F53C762" w14:textId="252807DE" w:rsidR="00962E36" w:rsidRDefault="00356D32" w:rsidP="00356D32">
      <w:pPr>
        <w:spacing w:line="360" w:lineRule="auto"/>
        <w:jc w:val="both"/>
        <w:rPr>
          <w:rFonts w:ascii="Times New Roman" w:eastAsiaTheme="minorEastAsia" w:hAnsi="Times New Roman" w:cs="Times New Roman"/>
          <w:iCs/>
          <w:color w:val="000000"/>
          <w:sz w:val="22"/>
          <w:szCs w:val="22"/>
        </w:rPr>
      </w:pPr>
      <w:proofErr w:type="spellStart"/>
      <w:r w:rsidRPr="00356D32">
        <w:rPr>
          <w:rFonts w:ascii="Times New Roman" w:hAnsi="Times New Roman" w:cs="Times New Roman"/>
          <w:color w:val="000000" w:themeColor="text1"/>
          <w:sz w:val="22"/>
          <w:szCs w:val="22"/>
        </w:rPr>
        <w:t>XGBoost</w:t>
      </w:r>
      <w:proofErr w:type="spellEnd"/>
      <w:r w:rsidRPr="00356D32">
        <w:rPr>
          <w:rFonts w:ascii="Times New Roman" w:hAnsi="Times New Roman" w:cs="Times New Roman"/>
          <w:color w:val="000000" w:themeColor="text1"/>
          <w:sz w:val="22"/>
          <w:szCs w:val="22"/>
        </w:rPr>
        <w:t xml:space="preserve"> classifier is a gradient boosting method that combines the regression tree </w:t>
      </w:r>
      <w:r w:rsidRPr="00356D32">
        <w:rPr>
          <w:rFonts w:ascii="Times New Roman" w:hAnsi="Times New Roman" w:cs="Times New Roman"/>
          <w:color w:val="000000" w:themeColor="text1"/>
          <w:sz w:val="22"/>
          <w:szCs w:val="22"/>
        </w:rPr>
        <w:fldChar w:fldCharType="begin" w:fldLock="1"/>
      </w:r>
      <w:r w:rsidRPr="00356D32">
        <w:rPr>
          <w:rFonts w:ascii="Times New Roman" w:hAnsi="Times New Roman" w:cs="Times New Roman"/>
          <w:color w:val="000000" w:themeColor="text1"/>
          <w:sz w:val="22"/>
          <w:szCs w:val="22"/>
        </w:rPr>
        <w:instrText>ADDIN CSL_CITATION {"citationItems":[{"id":"ITEM-1","itemData":{"DOI":"10.1145/2939672.2939785","ISBN":"9781450342322","abstract":"Tree boosting is a highly effective and widely used machine learning method. In this paper, we describe a scalable endto-end tree boosting system called XGBoost, which is used widely by data scientists to achieve state-of-the-art results on many machine learning challenges. We propose a novel sparsity-aware algorithm for sparse data and weighted quantile sketch for approximate tree learning. More importantly, we provide insights on cache access patterns, data compression and sharding to build a scalable tree boosting system. By combining these insights, XGBoost scales beyond billions of examples using far fewer resources than existing systems.","author":[{"dropping-particle":"","family":"Chen","given":"Tianqi","non-dropping-particle":"","parse-names":false,"suffix":""},{"dropping-particle":"","family":"Guestrin","given":"Carlos","non-dropping-particle":"","parse-names":false,"suffix":""}],"container-title":"Proceedings of the ACM SIGKDD International Conference on Knowledge Discovery and Data Mining","id":"ITEM-1","issued":{"date-parts":[["2016"]]},"page":"785-794","title":"XGBoost: A scalable tree boosting system","type":"article-journal","volume":"13-17-August-2016"},"uris":["http://www.mendeley.com/documents/?uuid=2d7a7e5a-d8f0-4030-a5b7-953482107ecb"]}],"mendeley":{"formattedCitation":"[1]","plainTextFormattedCitation":"[1]","previouslyFormattedCitation":"[1]"},"properties":{"noteIndex":0},"schema":"https://github.com/citation-style-language/schema/raw/master/csl-citation.json"}</w:instrText>
      </w:r>
      <w:r w:rsidRPr="00356D32">
        <w:rPr>
          <w:rFonts w:ascii="Times New Roman" w:hAnsi="Times New Roman" w:cs="Times New Roman"/>
          <w:color w:val="000000" w:themeColor="text1"/>
          <w:sz w:val="22"/>
          <w:szCs w:val="22"/>
        </w:rPr>
        <w:fldChar w:fldCharType="separate"/>
      </w:r>
      <w:r w:rsidRPr="00356D32">
        <w:rPr>
          <w:rFonts w:ascii="Times New Roman" w:hAnsi="Times New Roman" w:cs="Times New Roman"/>
          <w:noProof/>
          <w:color w:val="000000" w:themeColor="text1"/>
          <w:sz w:val="22"/>
          <w:szCs w:val="22"/>
        </w:rPr>
        <w:t>[1]</w:t>
      </w:r>
      <w:r w:rsidRPr="00356D32">
        <w:rPr>
          <w:rFonts w:ascii="Times New Roman" w:hAnsi="Times New Roman" w:cs="Times New Roman"/>
          <w:color w:val="000000" w:themeColor="text1"/>
          <w:sz w:val="22"/>
          <w:szCs w:val="22"/>
        </w:rPr>
        <w:fldChar w:fldCharType="end"/>
      </w:r>
      <w:r w:rsidRPr="00356D32">
        <w:rPr>
          <w:rFonts w:ascii="Times New Roman" w:hAnsi="Times New Roman" w:cs="Times New Roman"/>
          <w:color w:val="000000" w:themeColor="text1"/>
          <w:sz w:val="22"/>
          <w:szCs w:val="22"/>
        </w:rPr>
        <w:t xml:space="preserve">. The goal function of the </w:t>
      </w:r>
      <w:proofErr w:type="spellStart"/>
      <w:r w:rsidRPr="00356D32">
        <w:rPr>
          <w:rFonts w:ascii="Times New Roman" w:hAnsi="Times New Roman" w:cs="Times New Roman"/>
          <w:color w:val="000000" w:themeColor="text1"/>
          <w:sz w:val="22"/>
          <w:szCs w:val="22"/>
        </w:rPr>
        <w:t>XGBoost</w:t>
      </w:r>
      <w:proofErr w:type="spellEnd"/>
      <w:r w:rsidRPr="00356D32">
        <w:rPr>
          <w:rFonts w:ascii="Times New Roman" w:hAnsi="Times New Roman" w:cs="Times New Roman"/>
          <w:color w:val="000000" w:themeColor="text1"/>
          <w:sz w:val="22"/>
          <w:szCs w:val="22"/>
        </w:rPr>
        <w:t xml:space="preserve"> algorithm model is</w:t>
      </w:r>
      <w:r w:rsidRPr="00356D32">
        <w:rPr>
          <w:rFonts w:ascii="Times New Roman" w:eastAsiaTheme="minorEastAsia" w:hAnsi="Times New Roman" w:cs="Times New Roman"/>
          <w:color w:val="000000" w:themeColor="text1"/>
          <w:sz w:val="22"/>
          <w:szCs w:val="22"/>
        </w:rPr>
        <w:t xml:space="preserve"> </w:t>
      </w:r>
      <m:oMath>
        <m:r>
          <m:rPr>
            <m:sty m:val="p"/>
          </m:rPr>
          <w:rPr>
            <w:rStyle w:val="fontstyle01"/>
            <w:rFonts w:ascii="Cambria Math" w:hAnsi="Cambria Math" w:cs="Times New Roman"/>
            <w:sz w:val="22"/>
            <w:szCs w:val="22"/>
          </w:rPr>
          <m:t>obj</m:t>
        </m:r>
        <m:r>
          <w:rPr>
            <w:rStyle w:val="fontstyle11"/>
            <w:rFonts w:ascii="Cambria Math" w:hAnsi="Cambria Math" w:cs="Times New Roman"/>
            <w:sz w:val="22"/>
            <w:szCs w:val="22"/>
          </w:rPr>
          <m:t xml:space="preserve">(θ) </m:t>
        </m:r>
        <m:r>
          <m:rPr>
            <m:sty m:val="p"/>
          </m:rPr>
          <w:rPr>
            <w:rStyle w:val="fontstyle31"/>
            <w:rFonts w:ascii="Cambria Math" w:hAnsi="Cambria Math" w:cs="Times New Roman"/>
            <w:sz w:val="22"/>
            <w:szCs w:val="22"/>
          </w:rPr>
          <m:t xml:space="preserve">= </m:t>
        </m:r>
        <m:r>
          <m:rPr>
            <m:sty m:val="p"/>
          </m:rPr>
          <w:rPr>
            <w:rStyle w:val="fontstyle01"/>
            <w:rFonts w:ascii="Cambria Math" w:hAnsi="Cambria Math" w:cs="Times New Roman"/>
            <w:sz w:val="22"/>
            <w:szCs w:val="22"/>
          </w:rPr>
          <m:t>L</m:t>
        </m:r>
        <m:r>
          <w:rPr>
            <w:rStyle w:val="fontstyle11"/>
            <w:rFonts w:ascii="Cambria Math" w:hAnsi="Cambria Math" w:cs="Times New Roman"/>
            <w:sz w:val="22"/>
            <w:szCs w:val="22"/>
          </w:rPr>
          <m:t xml:space="preserve">(θ) </m:t>
        </m:r>
        <m:r>
          <m:rPr>
            <m:sty m:val="p"/>
          </m:rPr>
          <w:rPr>
            <w:rStyle w:val="fontstyle31"/>
            <w:rFonts w:ascii="Cambria Math" w:hAnsi="Cambria Math" w:cs="Times New Roman"/>
            <w:sz w:val="22"/>
            <w:szCs w:val="22"/>
          </w:rPr>
          <m:t>+ Ω</m:t>
        </m:r>
        <m:r>
          <w:rPr>
            <w:rStyle w:val="fontstyle11"/>
            <w:rFonts w:ascii="Cambria Math" w:hAnsi="Cambria Math" w:cs="Times New Roman"/>
            <w:sz w:val="22"/>
            <w:szCs w:val="22"/>
          </w:rPr>
          <m:t>(θ)</m:t>
        </m:r>
        <m:r>
          <m:rPr>
            <m:sty m:val="p"/>
          </m:rPr>
          <w:rPr>
            <w:rFonts w:ascii="Cambria Math" w:hAnsi="Cambria Math" w:cs="Times New Roman"/>
            <w:sz w:val="22"/>
            <w:szCs w:val="22"/>
          </w:rPr>
          <m:t xml:space="preserve"> </m:t>
        </m:r>
      </m:oMath>
      <w:r w:rsidRPr="00356D32">
        <w:rPr>
          <w:rFonts w:ascii="Times New Roman" w:eastAsiaTheme="minorEastAsia" w:hAnsi="Times New Roman" w:cs="Times New Roman"/>
          <w:sz w:val="22"/>
          <w:szCs w:val="22"/>
        </w:rPr>
        <w:t xml:space="preserve">, </w:t>
      </w:r>
      <w:r w:rsidRPr="00356D32">
        <w:rPr>
          <w:rFonts w:ascii="Times New Roman" w:hAnsi="Times New Roman" w:cs="Times New Roman"/>
          <w:color w:val="000000"/>
          <w:sz w:val="22"/>
          <w:szCs w:val="22"/>
        </w:rPr>
        <w:t xml:space="preserve">where L(θ) is the training loss function, and </w:t>
      </w:r>
      <m:oMath>
        <m:r>
          <m:rPr>
            <m:sty m:val="p"/>
          </m:rPr>
          <w:rPr>
            <w:rStyle w:val="fontstyle31"/>
            <w:rFonts w:ascii="Cambria Math" w:hAnsi="Cambria Math" w:cs="Times New Roman"/>
            <w:sz w:val="22"/>
            <w:szCs w:val="22"/>
          </w:rPr>
          <m:t>Ω</m:t>
        </m:r>
        <m:r>
          <w:rPr>
            <w:rStyle w:val="fontstyle11"/>
            <w:rFonts w:ascii="Cambria Math" w:hAnsi="Cambria Math" w:cs="Times New Roman"/>
            <w:sz w:val="22"/>
            <w:szCs w:val="22"/>
          </w:rPr>
          <m:t>(θ)</m:t>
        </m:r>
        <m:r>
          <m:rPr>
            <m:sty m:val="p"/>
          </m:rPr>
          <w:rPr>
            <w:rFonts w:ascii="Cambria Math" w:hAnsi="Cambria Math" w:cs="Times New Roman"/>
            <w:sz w:val="22"/>
            <w:szCs w:val="22"/>
          </w:rPr>
          <m:t xml:space="preserve"> </m:t>
        </m:r>
      </m:oMath>
      <w:r w:rsidRPr="00356D32">
        <w:rPr>
          <w:rFonts w:ascii="Times New Roman" w:hAnsi="Times New Roman" w:cs="Times New Roman"/>
          <w:color w:val="000000"/>
          <w:sz w:val="22"/>
          <w:szCs w:val="22"/>
        </w:rPr>
        <w:t xml:space="preserve"> is the complexity function of the tree. </w:t>
      </w:r>
      <m:oMath>
        <m:r>
          <m:rPr>
            <m:sty m:val="p"/>
          </m:rPr>
          <w:rPr>
            <w:rStyle w:val="fontstyle01"/>
            <w:rFonts w:ascii="Cambria Math" w:hAnsi="Cambria Math" w:cs="Times New Roman"/>
            <w:sz w:val="22"/>
            <w:szCs w:val="22"/>
          </w:rPr>
          <m:t>L</m:t>
        </m:r>
        <m:d>
          <m:dPr>
            <m:ctrlPr>
              <w:rPr>
                <w:rStyle w:val="fontstyle11"/>
                <w:rFonts w:ascii="Cambria Math" w:hAnsi="Cambria Math" w:cs="Times New Roman"/>
                <w:i/>
                <w:iCs/>
                <w:sz w:val="22"/>
                <w:szCs w:val="22"/>
              </w:rPr>
            </m:ctrlPr>
          </m:dPr>
          <m:e>
            <m:r>
              <w:rPr>
                <w:rStyle w:val="fontstyle11"/>
                <w:rFonts w:ascii="Cambria Math" w:hAnsi="Cambria Math" w:cs="Times New Roman"/>
                <w:sz w:val="22"/>
                <w:szCs w:val="22"/>
              </w:rPr>
              <m:t>θ</m:t>
            </m:r>
          </m:e>
        </m:d>
        <m:r>
          <w:rPr>
            <w:rStyle w:val="fontstyle11"/>
            <w:rFonts w:ascii="Cambria Math" w:hAnsi="Cambria Math" w:cs="Times New Roman"/>
            <w:sz w:val="22"/>
            <w:szCs w:val="22"/>
          </w:rPr>
          <m:t xml:space="preserve">= </m:t>
        </m:r>
        <m:nary>
          <m:naryPr>
            <m:chr m:val="∑"/>
            <m:limLoc m:val="subSup"/>
            <m:ctrlPr>
              <w:rPr>
                <w:rStyle w:val="fontstyle11"/>
                <w:rFonts w:ascii="Cambria Math" w:hAnsi="Cambria Math" w:cs="Times New Roman"/>
                <w:i/>
                <w:iCs/>
                <w:sz w:val="22"/>
                <w:szCs w:val="22"/>
              </w:rPr>
            </m:ctrlPr>
          </m:naryPr>
          <m:sub>
            <m:r>
              <w:rPr>
                <w:rStyle w:val="fontstyle11"/>
                <w:rFonts w:ascii="Cambria Math" w:hAnsi="Cambria Math" w:cs="Times New Roman"/>
                <w:sz w:val="22"/>
                <w:szCs w:val="22"/>
              </w:rPr>
              <m:t>i=1</m:t>
            </m:r>
          </m:sub>
          <m:sup>
            <m:r>
              <w:rPr>
                <w:rStyle w:val="fontstyle11"/>
                <w:rFonts w:ascii="Cambria Math" w:hAnsi="Cambria Math" w:cs="Times New Roman"/>
                <w:sz w:val="22"/>
                <w:szCs w:val="22"/>
              </w:rPr>
              <m:t>n</m:t>
            </m:r>
          </m:sup>
          <m:e>
            <m:r>
              <w:rPr>
                <w:rStyle w:val="fontstyle11"/>
                <w:rFonts w:ascii="Cambria Math" w:hAnsi="Cambria Math" w:cs="Times New Roman"/>
                <w:sz w:val="22"/>
                <w:szCs w:val="22"/>
              </w:rPr>
              <m:t>l(</m:t>
            </m:r>
            <m:sSub>
              <m:sSubPr>
                <m:ctrlPr>
                  <w:rPr>
                    <w:rStyle w:val="fontstyle11"/>
                    <w:rFonts w:ascii="Cambria Math" w:hAnsi="Cambria Math" w:cs="Times New Roman"/>
                    <w:i/>
                    <w:iCs/>
                    <w:sz w:val="22"/>
                    <w:szCs w:val="22"/>
                  </w:rPr>
                </m:ctrlPr>
              </m:sSubPr>
              <m:e>
                <m:r>
                  <w:rPr>
                    <w:rStyle w:val="fontstyle11"/>
                    <w:rFonts w:ascii="Cambria Math" w:hAnsi="Cambria Math" w:cs="Times New Roman"/>
                    <w:sz w:val="22"/>
                    <w:szCs w:val="22"/>
                  </w:rPr>
                  <m:t>y</m:t>
                </m:r>
              </m:e>
              <m:sub>
                <m:r>
                  <w:rPr>
                    <w:rStyle w:val="fontstyle11"/>
                    <w:rFonts w:ascii="Cambria Math" w:hAnsi="Cambria Math" w:cs="Times New Roman"/>
                    <w:sz w:val="22"/>
                    <w:szCs w:val="22"/>
                  </w:rPr>
                  <m:t>i</m:t>
                </m:r>
              </m:sub>
            </m:sSub>
            <m:r>
              <w:rPr>
                <w:rStyle w:val="fontstyle11"/>
                <w:rFonts w:ascii="Cambria Math" w:hAnsi="Cambria Math" w:cs="Times New Roman"/>
                <w:sz w:val="22"/>
                <w:szCs w:val="22"/>
              </w:rPr>
              <m:t>,</m:t>
            </m:r>
            <m:sSub>
              <m:sSubPr>
                <m:ctrlPr>
                  <w:rPr>
                    <w:rStyle w:val="fontstyle11"/>
                    <w:rFonts w:ascii="Cambria Math" w:hAnsi="Cambria Math" w:cs="Times New Roman"/>
                    <w:i/>
                    <w:iCs/>
                    <w:sz w:val="22"/>
                    <w:szCs w:val="22"/>
                  </w:rPr>
                </m:ctrlPr>
              </m:sSubPr>
              <m:e>
                <m:r>
                  <w:rPr>
                    <w:rFonts w:ascii="Cambria Math" w:hAnsi="Cambria Math" w:cs="Times New Roman"/>
                    <w:color w:val="000000"/>
                    <w:sz w:val="22"/>
                    <w:szCs w:val="22"/>
                  </w:rPr>
                  <m:t>ŷ</m:t>
                </m:r>
              </m:e>
              <m:sub>
                <m:r>
                  <w:rPr>
                    <w:rStyle w:val="fontstyle11"/>
                    <w:rFonts w:ascii="Cambria Math" w:hAnsi="Cambria Math" w:cs="Times New Roman"/>
                    <w:sz w:val="22"/>
                    <w:szCs w:val="22"/>
                  </w:rPr>
                  <m:t>i</m:t>
                </m:r>
              </m:sub>
            </m:sSub>
            <m:r>
              <w:rPr>
                <w:rStyle w:val="fontstyle11"/>
                <w:rFonts w:ascii="Cambria Math" w:hAnsi="Cambria Math" w:cs="Times New Roman"/>
                <w:sz w:val="22"/>
                <w:szCs w:val="22"/>
              </w:rPr>
              <m:t>)</m:t>
            </m:r>
          </m:e>
        </m:nary>
        <m:r>
          <w:rPr>
            <w:rStyle w:val="fontstyle11"/>
            <w:rFonts w:ascii="Cambria Math" w:hAnsi="Cambria Math" w:cs="Times New Roman"/>
            <w:sz w:val="22"/>
            <w:szCs w:val="22"/>
          </w:rPr>
          <m:t>, l(</m:t>
        </m:r>
        <m:sSub>
          <m:sSubPr>
            <m:ctrlPr>
              <w:rPr>
                <w:rStyle w:val="fontstyle11"/>
                <w:rFonts w:ascii="Cambria Math" w:hAnsi="Cambria Math" w:cs="Times New Roman"/>
                <w:i/>
                <w:iCs/>
                <w:sz w:val="22"/>
                <w:szCs w:val="22"/>
              </w:rPr>
            </m:ctrlPr>
          </m:sSubPr>
          <m:e>
            <m:r>
              <w:rPr>
                <w:rStyle w:val="fontstyle11"/>
                <w:rFonts w:ascii="Cambria Math" w:hAnsi="Cambria Math" w:cs="Times New Roman"/>
                <w:sz w:val="22"/>
                <w:szCs w:val="22"/>
              </w:rPr>
              <m:t>y</m:t>
            </m:r>
          </m:e>
          <m:sub>
            <m:r>
              <w:rPr>
                <w:rStyle w:val="fontstyle11"/>
                <w:rFonts w:ascii="Cambria Math" w:hAnsi="Cambria Math" w:cs="Times New Roman"/>
                <w:sz w:val="22"/>
                <w:szCs w:val="22"/>
              </w:rPr>
              <m:t>i</m:t>
            </m:r>
          </m:sub>
        </m:sSub>
        <m:r>
          <w:rPr>
            <w:rStyle w:val="fontstyle11"/>
            <w:rFonts w:ascii="Cambria Math" w:hAnsi="Cambria Math" w:cs="Times New Roman"/>
            <w:sz w:val="22"/>
            <w:szCs w:val="22"/>
          </w:rPr>
          <m:t>,</m:t>
        </m:r>
        <m:sSub>
          <m:sSubPr>
            <m:ctrlPr>
              <w:rPr>
                <w:rStyle w:val="fontstyle11"/>
                <w:rFonts w:ascii="Cambria Math" w:hAnsi="Cambria Math" w:cs="Times New Roman"/>
                <w:i/>
                <w:iCs/>
                <w:sz w:val="22"/>
                <w:szCs w:val="22"/>
              </w:rPr>
            </m:ctrlPr>
          </m:sSubPr>
          <m:e>
            <m:r>
              <w:rPr>
                <w:rFonts w:ascii="Cambria Math" w:hAnsi="Cambria Math" w:cs="Times New Roman"/>
                <w:color w:val="000000"/>
                <w:sz w:val="22"/>
                <w:szCs w:val="22"/>
              </w:rPr>
              <m:t>ŷ</m:t>
            </m:r>
          </m:e>
          <m:sub>
            <m:r>
              <w:rPr>
                <w:rStyle w:val="fontstyle11"/>
                <w:rFonts w:ascii="Cambria Math" w:hAnsi="Cambria Math" w:cs="Times New Roman"/>
                <w:sz w:val="22"/>
                <w:szCs w:val="22"/>
              </w:rPr>
              <m:t>i</m:t>
            </m:r>
          </m:sub>
        </m:sSub>
        <m:r>
          <w:rPr>
            <w:rStyle w:val="fontstyle11"/>
            <w:rFonts w:ascii="Cambria Math" w:hAnsi="Cambria Math" w:cs="Times New Roman"/>
            <w:sz w:val="22"/>
            <w:szCs w:val="22"/>
          </w:rPr>
          <m:t>)</m:t>
        </m:r>
      </m:oMath>
      <w:r w:rsidRPr="00356D32">
        <w:rPr>
          <w:rStyle w:val="Heading1Char"/>
          <w:rFonts w:ascii="Times New Roman" w:hAnsi="Times New Roman" w:cs="Times New Roman"/>
          <w:sz w:val="22"/>
          <w:szCs w:val="22"/>
        </w:rPr>
        <w:t xml:space="preserve"> </w:t>
      </w:r>
      <w:r w:rsidRPr="00356D32">
        <w:rPr>
          <w:rFonts w:ascii="Times New Roman" w:hAnsi="Times New Roman" w:cs="Times New Roman"/>
          <w:color w:val="000000"/>
          <w:sz w:val="22"/>
          <w:szCs w:val="22"/>
        </w:rPr>
        <w:t>corresponds to the training loss function for each sample, where</w:t>
      </w:r>
      <w:r w:rsidRPr="00356D32">
        <w:rPr>
          <w:rFonts w:ascii="Times New Roman" w:eastAsiaTheme="minorEastAsia" w:hAnsi="Times New Roman" w:cs="Times New Roman"/>
          <w:color w:val="000000"/>
          <w:sz w:val="22"/>
          <w:szCs w:val="22"/>
        </w:rPr>
        <w:t xml:space="preserve"> </w:t>
      </w:r>
      <m:oMath>
        <m:sSub>
          <m:sSubPr>
            <m:ctrlPr>
              <w:rPr>
                <w:rStyle w:val="fontstyle11"/>
                <w:rFonts w:ascii="Cambria Math" w:hAnsi="Cambria Math" w:cs="Times New Roman"/>
                <w:i/>
                <w:iCs/>
                <w:sz w:val="22"/>
                <w:szCs w:val="22"/>
              </w:rPr>
            </m:ctrlPr>
          </m:sSubPr>
          <m:e>
            <m:r>
              <w:rPr>
                <w:rStyle w:val="fontstyle11"/>
                <w:rFonts w:ascii="Cambria Math" w:hAnsi="Cambria Math" w:cs="Times New Roman"/>
                <w:sz w:val="22"/>
                <w:szCs w:val="22"/>
              </w:rPr>
              <m:t>y</m:t>
            </m:r>
          </m:e>
          <m:sub>
            <m:r>
              <w:rPr>
                <w:rStyle w:val="fontstyle11"/>
                <w:rFonts w:ascii="Cambria Math" w:hAnsi="Cambria Math" w:cs="Times New Roman"/>
                <w:sz w:val="22"/>
                <w:szCs w:val="22"/>
              </w:rPr>
              <m:t>i</m:t>
            </m:r>
          </m:sub>
        </m:sSub>
      </m:oMath>
      <w:r w:rsidRPr="00356D32">
        <w:rPr>
          <w:rStyle w:val="fontstyle11"/>
          <w:rFonts w:ascii="Times New Roman" w:eastAsiaTheme="minorEastAsia" w:hAnsi="Times New Roman" w:cs="Times New Roman"/>
          <w:iCs/>
          <w:sz w:val="22"/>
          <w:szCs w:val="22"/>
        </w:rPr>
        <w:t xml:space="preserve"> </w:t>
      </w:r>
      <w:r w:rsidRPr="00356D32">
        <w:rPr>
          <w:rFonts w:ascii="Times New Roman" w:hAnsi="Times New Roman" w:cs="Times New Roman"/>
          <w:color w:val="000000"/>
          <w:sz w:val="22"/>
          <w:szCs w:val="22"/>
        </w:rPr>
        <w:t xml:space="preserve">represents the true value of the </w:t>
      </w:r>
      <w:proofErr w:type="spellStart"/>
      <w:r w:rsidRPr="00356D32">
        <w:rPr>
          <w:rFonts w:ascii="Times New Roman" w:hAnsi="Times New Roman" w:cs="Times New Roman"/>
          <w:i/>
          <w:iCs/>
          <w:color w:val="000000"/>
          <w:sz w:val="22"/>
          <w:szCs w:val="22"/>
        </w:rPr>
        <w:t>i</w:t>
      </w:r>
      <w:r w:rsidRPr="00356D32">
        <w:rPr>
          <w:rFonts w:ascii="Times New Roman" w:hAnsi="Times New Roman" w:cs="Times New Roman"/>
          <w:color w:val="000000"/>
          <w:sz w:val="22"/>
          <w:szCs w:val="22"/>
        </w:rPr>
        <w:t>th</w:t>
      </w:r>
      <w:proofErr w:type="spellEnd"/>
      <w:r w:rsidRPr="00356D32">
        <w:rPr>
          <w:rFonts w:ascii="Times New Roman" w:hAnsi="Times New Roman" w:cs="Times New Roman"/>
          <w:color w:val="000000"/>
          <w:sz w:val="22"/>
          <w:szCs w:val="22"/>
        </w:rPr>
        <w:t xml:space="preserve"> sample, and </w:t>
      </w:r>
      <m:oMath>
        <m:sSub>
          <m:sSubPr>
            <m:ctrlPr>
              <w:rPr>
                <w:rStyle w:val="fontstyle11"/>
                <w:rFonts w:ascii="Cambria Math" w:hAnsi="Cambria Math" w:cs="Times New Roman"/>
                <w:i/>
                <w:iCs/>
                <w:sz w:val="22"/>
                <w:szCs w:val="22"/>
              </w:rPr>
            </m:ctrlPr>
          </m:sSubPr>
          <m:e>
            <m:r>
              <w:rPr>
                <w:rFonts w:ascii="Cambria Math" w:hAnsi="Cambria Math" w:cs="Times New Roman"/>
                <w:color w:val="000000"/>
                <w:sz w:val="22"/>
                <w:szCs w:val="22"/>
              </w:rPr>
              <m:t>ŷ</m:t>
            </m:r>
          </m:e>
          <m:sub>
            <m:r>
              <w:rPr>
                <w:rStyle w:val="fontstyle11"/>
                <w:rFonts w:ascii="Cambria Math" w:hAnsi="Cambria Math" w:cs="Times New Roman"/>
                <w:sz w:val="22"/>
                <w:szCs w:val="22"/>
              </w:rPr>
              <m:t>i</m:t>
            </m:r>
          </m:sub>
        </m:sSub>
      </m:oMath>
      <w:r w:rsidRPr="00356D32">
        <w:rPr>
          <w:rFonts w:ascii="Times New Roman" w:hAnsi="Times New Roman" w:cs="Times New Roman"/>
          <w:color w:val="000000"/>
          <w:sz w:val="22"/>
          <w:szCs w:val="22"/>
        </w:rPr>
        <w:t xml:space="preserve"> represents the estimated value of the </w:t>
      </w:r>
      <w:proofErr w:type="spellStart"/>
      <w:r w:rsidRPr="00356D32">
        <w:rPr>
          <w:rFonts w:ascii="Times New Roman" w:hAnsi="Times New Roman" w:cs="Times New Roman"/>
          <w:i/>
          <w:iCs/>
          <w:color w:val="000000"/>
          <w:sz w:val="22"/>
          <w:szCs w:val="22"/>
        </w:rPr>
        <w:t>i</w:t>
      </w:r>
      <w:r w:rsidRPr="00356D32">
        <w:rPr>
          <w:rFonts w:ascii="Times New Roman" w:hAnsi="Times New Roman" w:cs="Times New Roman"/>
          <w:color w:val="000000"/>
          <w:sz w:val="22"/>
          <w:szCs w:val="22"/>
        </w:rPr>
        <w:t>th</w:t>
      </w:r>
      <w:proofErr w:type="spellEnd"/>
      <w:r w:rsidRPr="00356D32">
        <w:rPr>
          <w:rFonts w:ascii="Times New Roman" w:hAnsi="Times New Roman" w:cs="Times New Roman"/>
          <w:color w:val="000000"/>
          <w:sz w:val="22"/>
          <w:szCs w:val="22"/>
        </w:rPr>
        <w:t xml:space="preserve"> sample. </w:t>
      </w:r>
      <m:oMath>
        <m:sSub>
          <m:sSubPr>
            <m:ctrlPr>
              <w:rPr>
                <w:rStyle w:val="fontstyle11"/>
                <w:rFonts w:ascii="Cambria Math" w:hAnsi="Cambria Math" w:cs="Times New Roman"/>
                <w:i/>
                <w:iCs/>
                <w:sz w:val="22"/>
                <w:szCs w:val="22"/>
              </w:rPr>
            </m:ctrlPr>
          </m:sSubPr>
          <m:e>
            <m:r>
              <w:rPr>
                <w:rFonts w:ascii="Cambria Math" w:hAnsi="Cambria Math" w:cs="Times New Roman"/>
                <w:color w:val="000000"/>
                <w:sz w:val="22"/>
                <w:szCs w:val="22"/>
              </w:rPr>
              <m:t>ŷ</m:t>
            </m:r>
          </m:e>
          <m:sub>
            <m:r>
              <w:rPr>
                <w:rStyle w:val="fontstyle11"/>
                <w:rFonts w:ascii="Cambria Math" w:hAnsi="Cambria Math" w:cs="Times New Roman"/>
                <w:sz w:val="22"/>
                <w:szCs w:val="22"/>
              </w:rPr>
              <m:t>i</m:t>
            </m:r>
          </m:sub>
        </m:sSub>
        <m:r>
          <w:rPr>
            <w:rStyle w:val="fontstyle11"/>
            <w:rFonts w:ascii="Cambria Math" w:hAnsi="Cambria Math" w:cs="Times New Roman"/>
            <w:sz w:val="22"/>
            <w:szCs w:val="22"/>
          </w:rPr>
          <m:t xml:space="preserve">= </m:t>
        </m:r>
        <m:nary>
          <m:naryPr>
            <m:chr m:val="∑"/>
            <m:limLoc m:val="undOvr"/>
            <m:ctrlPr>
              <w:rPr>
                <w:rStyle w:val="fontstyle11"/>
                <w:rFonts w:ascii="Cambria Math" w:hAnsi="Cambria Math" w:cs="Times New Roman"/>
                <w:i/>
                <w:iCs/>
                <w:sz w:val="22"/>
                <w:szCs w:val="22"/>
              </w:rPr>
            </m:ctrlPr>
          </m:naryPr>
          <m:sub>
            <m:r>
              <w:rPr>
                <w:rStyle w:val="fontstyle11"/>
                <w:rFonts w:ascii="Cambria Math" w:hAnsi="Cambria Math" w:cs="Times New Roman"/>
                <w:sz w:val="22"/>
                <w:szCs w:val="22"/>
              </w:rPr>
              <m:t>k=1</m:t>
            </m:r>
          </m:sub>
          <m:sup>
            <m:r>
              <w:rPr>
                <w:rStyle w:val="fontstyle11"/>
                <w:rFonts w:ascii="Cambria Math" w:hAnsi="Cambria Math" w:cs="Times New Roman"/>
                <w:sz w:val="22"/>
                <w:szCs w:val="22"/>
              </w:rPr>
              <m:t>K</m:t>
            </m:r>
          </m:sup>
          <m:e>
            <m:sSub>
              <m:sSubPr>
                <m:ctrlPr>
                  <w:rPr>
                    <w:rStyle w:val="fontstyle11"/>
                    <w:rFonts w:ascii="Cambria Math" w:hAnsi="Cambria Math" w:cs="Times New Roman"/>
                    <w:i/>
                    <w:iCs/>
                    <w:sz w:val="22"/>
                    <w:szCs w:val="22"/>
                  </w:rPr>
                </m:ctrlPr>
              </m:sSubPr>
              <m:e>
                <m:r>
                  <w:rPr>
                    <w:rStyle w:val="fontstyle11"/>
                    <w:rFonts w:ascii="Cambria Math" w:hAnsi="Cambria Math" w:cs="Times New Roman"/>
                    <w:sz w:val="22"/>
                    <w:szCs w:val="22"/>
                  </w:rPr>
                  <m:t>f</m:t>
                </m:r>
              </m:e>
              <m:sub>
                <m:r>
                  <w:rPr>
                    <w:rStyle w:val="fontstyle11"/>
                    <w:rFonts w:ascii="Cambria Math" w:hAnsi="Cambria Math" w:cs="Times New Roman"/>
                    <w:sz w:val="22"/>
                    <w:szCs w:val="22"/>
                  </w:rPr>
                  <m:t>k</m:t>
                </m:r>
              </m:sub>
            </m:sSub>
            <m:r>
              <w:rPr>
                <w:rStyle w:val="fontstyle11"/>
                <w:rFonts w:ascii="Cambria Math" w:hAnsi="Cambria Math" w:cs="Times New Roman"/>
                <w:sz w:val="22"/>
                <w:szCs w:val="22"/>
              </w:rPr>
              <m:t>(</m:t>
            </m:r>
            <m:sSub>
              <m:sSubPr>
                <m:ctrlPr>
                  <w:rPr>
                    <w:rStyle w:val="fontstyle11"/>
                    <w:rFonts w:ascii="Cambria Math" w:hAnsi="Cambria Math" w:cs="Times New Roman"/>
                    <w:i/>
                    <w:iCs/>
                    <w:sz w:val="22"/>
                    <w:szCs w:val="22"/>
                  </w:rPr>
                </m:ctrlPr>
              </m:sSubPr>
              <m:e>
                <m:r>
                  <w:rPr>
                    <w:rStyle w:val="fontstyle11"/>
                    <w:rFonts w:ascii="Cambria Math" w:hAnsi="Cambria Math" w:cs="Times New Roman"/>
                    <w:sz w:val="22"/>
                    <w:szCs w:val="22"/>
                  </w:rPr>
                  <m:t>x</m:t>
                </m:r>
              </m:e>
              <m:sub>
                <m:r>
                  <w:rPr>
                    <w:rStyle w:val="fontstyle11"/>
                    <w:rFonts w:ascii="Cambria Math" w:hAnsi="Cambria Math" w:cs="Times New Roman"/>
                    <w:sz w:val="22"/>
                    <w:szCs w:val="22"/>
                  </w:rPr>
                  <m:t>i</m:t>
                </m:r>
              </m:sub>
            </m:sSub>
            <m:r>
              <w:rPr>
                <w:rStyle w:val="fontstyle11"/>
                <w:rFonts w:ascii="Cambria Math" w:hAnsi="Cambria Math" w:cs="Times New Roman"/>
                <w:sz w:val="22"/>
                <w:szCs w:val="22"/>
              </w:rPr>
              <m:t>)</m:t>
            </m:r>
          </m:e>
        </m:nary>
      </m:oMath>
      <w:r w:rsidRPr="00356D32">
        <w:rPr>
          <w:rStyle w:val="fontstyle11"/>
          <w:rFonts w:ascii="Times New Roman" w:eastAsiaTheme="minorEastAsia" w:hAnsi="Times New Roman" w:cs="Times New Roman"/>
          <w:iCs/>
          <w:sz w:val="22"/>
          <w:szCs w:val="22"/>
        </w:rPr>
        <w:t xml:space="preserve">, </w:t>
      </w:r>
      <m:oMath>
        <m:sSub>
          <m:sSubPr>
            <m:ctrlPr>
              <w:rPr>
                <w:rStyle w:val="fontstyle11"/>
                <w:rFonts w:ascii="Cambria Math" w:hAnsi="Cambria Math" w:cs="Times New Roman"/>
                <w:i/>
                <w:iCs/>
                <w:sz w:val="22"/>
                <w:szCs w:val="22"/>
              </w:rPr>
            </m:ctrlPr>
          </m:sSubPr>
          <m:e>
            <m:r>
              <w:rPr>
                <w:rStyle w:val="fontstyle11"/>
                <w:rFonts w:ascii="Cambria Math" w:hAnsi="Cambria Math" w:cs="Times New Roman"/>
                <w:sz w:val="22"/>
                <w:szCs w:val="22"/>
              </w:rPr>
              <m:t>f</m:t>
            </m:r>
          </m:e>
          <m:sub>
            <m:r>
              <w:rPr>
                <w:rStyle w:val="fontstyle11"/>
                <w:rFonts w:ascii="Cambria Math" w:hAnsi="Cambria Math" w:cs="Times New Roman"/>
                <w:sz w:val="22"/>
                <w:szCs w:val="22"/>
              </w:rPr>
              <m:t>k</m:t>
            </m:r>
          </m:sub>
        </m:sSub>
        <m:r>
          <w:rPr>
            <w:rStyle w:val="fontstyle11"/>
            <w:rFonts w:ascii="Cambria Math" w:hAnsi="Cambria Math" w:cs="Times New Roman"/>
            <w:sz w:val="22"/>
            <w:szCs w:val="22"/>
          </w:rPr>
          <m:t>∈F,</m:t>
        </m:r>
      </m:oMath>
      <w:r w:rsidRPr="00356D32">
        <w:rPr>
          <w:rStyle w:val="Heading1Char"/>
          <w:rFonts w:ascii="Times New Roman" w:hAnsi="Times New Roman" w:cs="Times New Roman"/>
          <w:sz w:val="22"/>
          <w:szCs w:val="22"/>
        </w:rPr>
        <w:t xml:space="preserve"> </w:t>
      </w:r>
      <w:r w:rsidRPr="00356D32">
        <w:rPr>
          <w:rFonts w:ascii="Times New Roman" w:hAnsi="Times New Roman" w:cs="Times New Roman"/>
          <w:color w:val="000000"/>
          <w:sz w:val="22"/>
          <w:szCs w:val="22"/>
        </w:rPr>
        <w:t xml:space="preserve">where </w:t>
      </w:r>
      <w:r w:rsidRPr="00356D32">
        <w:rPr>
          <w:rFonts w:ascii="Times New Roman" w:hAnsi="Times New Roman" w:cs="Times New Roman"/>
          <w:i/>
          <w:iCs/>
          <w:color w:val="000000"/>
          <w:sz w:val="22"/>
          <w:szCs w:val="22"/>
        </w:rPr>
        <w:t xml:space="preserve">K </w:t>
      </w:r>
      <w:r w:rsidRPr="00356D32">
        <w:rPr>
          <w:rFonts w:ascii="Times New Roman" w:hAnsi="Times New Roman" w:cs="Times New Roman"/>
          <w:color w:val="000000"/>
          <w:sz w:val="22"/>
          <w:szCs w:val="22"/>
        </w:rPr>
        <w:t xml:space="preserve">represents the number of trees, </w:t>
      </w:r>
      <w:r w:rsidRPr="00356D32">
        <w:rPr>
          <w:rFonts w:ascii="Times New Roman" w:hAnsi="Times New Roman" w:cs="Times New Roman"/>
          <w:i/>
          <w:iCs/>
          <w:color w:val="000000"/>
          <w:sz w:val="22"/>
          <w:szCs w:val="22"/>
        </w:rPr>
        <w:t xml:space="preserve">F </w:t>
      </w:r>
      <w:r w:rsidRPr="00356D32">
        <w:rPr>
          <w:rFonts w:ascii="Times New Roman" w:hAnsi="Times New Roman" w:cs="Times New Roman"/>
          <w:color w:val="000000"/>
          <w:sz w:val="22"/>
          <w:szCs w:val="22"/>
        </w:rPr>
        <w:t xml:space="preserve">represents all possible DT, and </w:t>
      </w:r>
      <w:r w:rsidRPr="00356D32">
        <w:rPr>
          <w:rFonts w:ascii="Times New Roman" w:hAnsi="Times New Roman" w:cs="Times New Roman"/>
          <w:i/>
          <w:iCs/>
          <w:color w:val="000000"/>
          <w:sz w:val="22"/>
          <w:szCs w:val="22"/>
        </w:rPr>
        <w:t xml:space="preserve">f </w:t>
      </w:r>
      <w:r w:rsidRPr="00356D32">
        <w:rPr>
          <w:rFonts w:ascii="Times New Roman" w:hAnsi="Times New Roman" w:cs="Times New Roman"/>
          <w:color w:val="000000"/>
          <w:sz w:val="22"/>
          <w:szCs w:val="22"/>
        </w:rPr>
        <w:t xml:space="preserve">denotes a specific CART tree. </w:t>
      </w:r>
      <m:oMath>
        <m:r>
          <m:rPr>
            <m:sty m:val="p"/>
          </m:rPr>
          <w:rPr>
            <w:rStyle w:val="fontstyle31"/>
            <w:rFonts w:ascii="Cambria Math" w:hAnsi="Cambria Math" w:cs="Times New Roman"/>
            <w:sz w:val="22"/>
            <w:szCs w:val="22"/>
          </w:rPr>
          <m:t>Ω</m:t>
        </m:r>
        <m:d>
          <m:dPr>
            <m:ctrlPr>
              <w:rPr>
                <w:rStyle w:val="fontstyle11"/>
                <w:rFonts w:ascii="Cambria Math" w:hAnsi="Cambria Math" w:cs="Times New Roman"/>
                <w:i/>
                <w:iCs/>
                <w:sz w:val="22"/>
                <w:szCs w:val="22"/>
              </w:rPr>
            </m:ctrlPr>
          </m:dPr>
          <m:e>
            <m:r>
              <w:rPr>
                <w:rStyle w:val="fontstyle11"/>
                <w:rFonts w:ascii="Cambria Math" w:hAnsi="Cambria Math" w:cs="Times New Roman"/>
                <w:sz w:val="22"/>
                <w:szCs w:val="22"/>
              </w:rPr>
              <m:t>f</m:t>
            </m:r>
          </m:e>
        </m:d>
        <m:r>
          <w:rPr>
            <w:rStyle w:val="fontstyle11"/>
            <w:rFonts w:ascii="Cambria Math" w:hAnsi="Cambria Math" w:cs="Times New Roman"/>
            <w:sz w:val="22"/>
            <w:szCs w:val="22"/>
          </w:rPr>
          <m:t xml:space="preserve">= </m:t>
        </m:r>
        <m:r>
          <w:rPr>
            <w:rFonts w:ascii="Cambria Math" w:hAnsi="Cambria Math" w:cs="Times New Roman"/>
            <w:color w:val="000000"/>
            <w:sz w:val="22"/>
            <w:szCs w:val="22"/>
          </w:rPr>
          <m:t>γT+</m:t>
        </m:r>
        <m:f>
          <m:fPr>
            <m:ctrlPr>
              <w:rPr>
                <w:rFonts w:ascii="Cambria Math" w:hAnsi="Cambria Math" w:cs="Times New Roman"/>
                <w:i/>
                <w:iCs/>
                <w:color w:val="000000"/>
                <w:sz w:val="22"/>
                <w:szCs w:val="22"/>
              </w:rPr>
            </m:ctrlPr>
          </m:fPr>
          <m:num>
            <m:r>
              <w:rPr>
                <w:rFonts w:ascii="Cambria Math" w:hAnsi="Cambria Math" w:cs="Times New Roman"/>
                <w:color w:val="000000"/>
                <w:sz w:val="22"/>
                <w:szCs w:val="22"/>
              </w:rPr>
              <m:t>1</m:t>
            </m:r>
          </m:num>
          <m:den>
            <m:r>
              <w:rPr>
                <w:rFonts w:ascii="Cambria Math" w:hAnsi="Cambria Math" w:cs="Times New Roman"/>
                <w:color w:val="000000"/>
                <w:sz w:val="22"/>
                <w:szCs w:val="22"/>
              </w:rPr>
              <m:t>2</m:t>
            </m:r>
          </m:den>
        </m:f>
        <m:r>
          <w:rPr>
            <w:rFonts w:ascii="Cambria Math" w:hAnsi="Cambria Math" w:cs="Times New Roman"/>
            <w:color w:val="000000"/>
            <w:sz w:val="22"/>
            <w:szCs w:val="22"/>
          </w:rPr>
          <m:t xml:space="preserve">  λ</m:t>
        </m:r>
        <m:nary>
          <m:naryPr>
            <m:chr m:val="∑"/>
            <m:limLoc m:val="undOvr"/>
            <m:ctrlPr>
              <w:rPr>
                <w:rFonts w:ascii="Cambria Math" w:hAnsi="Cambria Math" w:cs="Times New Roman"/>
                <w:i/>
                <w:iCs/>
                <w:color w:val="000000"/>
                <w:sz w:val="22"/>
                <w:szCs w:val="22"/>
              </w:rPr>
            </m:ctrlPr>
          </m:naryPr>
          <m:sub>
            <m:r>
              <w:rPr>
                <w:rFonts w:ascii="Cambria Math" w:hAnsi="Cambria Math" w:cs="Times New Roman"/>
                <w:color w:val="000000"/>
                <w:sz w:val="22"/>
                <w:szCs w:val="22"/>
              </w:rPr>
              <m:t>i =1</m:t>
            </m:r>
          </m:sub>
          <m:sup>
            <m:r>
              <w:rPr>
                <w:rFonts w:ascii="Cambria Math" w:hAnsi="Cambria Math" w:cs="Times New Roman"/>
                <w:color w:val="000000"/>
                <w:sz w:val="22"/>
                <w:szCs w:val="22"/>
              </w:rPr>
              <m:t>T</m:t>
            </m:r>
          </m:sup>
          <m:e>
            <m:sSubSup>
              <m:sSubSupPr>
                <m:ctrlPr>
                  <w:rPr>
                    <w:rFonts w:ascii="Cambria Math" w:hAnsi="Cambria Math" w:cs="Times New Roman"/>
                    <w:i/>
                    <w:iCs/>
                    <w:color w:val="000000"/>
                    <w:sz w:val="22"/>
                    <w:szCs w:val="22"/>
                  </w:rPr>
                </m:ctrlPr>
              </m:sSubSupPr>
              <m:e>
                <m:r>
                  <w:rPr>
                    <w:rFonts w:ascii="Cambria Math" w:hAnsi="Cambria Math" w:cs="Times New Roman"/>
                    <w:color w:val="000000"/>
                    <w:sz w:val="22"/>
                    <w:szCs w:val="22"/>
                  </w:rPr>
                  <m:t>w</m:t>
                </m:r>
              </m:e>
              <m:sub>
                <m:r>
                  <w:rPr>
                    <w:rFonts w:ascii="Cambria Math" w:hAnsi="Cambria Math" w:cs="Times New Roman"/>
                    <w:color w:val="000000"/>
                    <w:sz w:val="22"/>
                    <w:szCs w:val="22"/>
                  </w:rPr>
                  <m:t>i</m:t>
                </m:r>
              </m:sub>
              <m:sup>
                <m:r>
                  <w:rPr>
                    <w:rFonts w:ascii="Cambria Math" w:hAnsi="Cambria Math" w:cs="Times New Roman"/>
                    <w:color w:val="000000"/>
                    <w:sz w:val="22"/>
                    <w:szCs w:val="22"/>
                  </w:rPr>
                  <m:t>2</m:t>
                </m:r>
              </m:sup>
            </m:sSubSup>
            <m:r>
              <w:rPr>
                <w:rFonts w:ascii="Cambria Math" w:hAnsi="Cambria Math" w:cs="Times New Roman"/>
                <w:color w:val="000000"/>
                <w:sz w:val="22"/>
                <w:szCs w:val="22"/>
              </w:rPr>
              <m:t>,</m:t>
            </m:r>
          </m:e>
        </m:nary>
      </m:oMath>
      <w:r w:rsidRPr="00356D32">
        <w:rPr>
          <w:rFonts w:ascii="Times New Roman" w:eastAsiaTheme="minorEastAsia" w:hAnsi="Times New Roman" w:cs="Times New Roman"/>
          <w:iCs/>
          <w:color w:val="000000"/>
          <w:sz w:val="22"/>
          <w:szCs w:val="22"/>
        </w:rPr>
        <w:t xml:space="preserve"> where </w:t>
      </w:r>
      <m:oMath>
        <m:sSubSup>
          <m:sSubSupPr>
            <m:ctrlPr>
              <w:rPr>
                <w:rFonts w:ascii="Cambria Math" w:hAnsi="Cambria Math" w:cs="Times New Roman"/>
                <w:i/>
                <w:iCs/>
                <w:color w:val="000000"/>
                <w:sz w:val="22"/>
                <w:szCs w:val="22"/>
              </w:rPr>
            </m:ctrlPr>
          </m:sSubSupPr>
          <m:e>
            <m:r>
              <w:rPr>
                <w:rFonts w:ascii="Cambria Math" w:hAnsi="Cambria Math" w:cs="Times New Roman"/>
                <w:color w:val="000000"/>
                <w:sz w:val="22"/>
                <w:szCs w:val="22"/>
              </w:rPr>
              <m:t>w</m:t>
            </m:r>
          </m:e>
          <m:sub>
            <m:r>
              <w:rPr>
                <w:rFonts w:ascii="Cambria Math" w:hAnsi="Cambria Math" w:cs="Times New Roman"/>
                <w:color w:val="000000"/>
                <w:sz w:val="22"/>
                <w:szCs w:val="22"/>
              </w:rPr>
              <m:t>i</m:t>
            </m:r>
          </m:sub>
          <m:sup>
            <m:r>
              <w:rPr>
                <w:rFonts w:ascii="Cambria Math" w:hAnsi="Cambria Math" w:cs="Times New Roman"/>
                <w:color w:val="000000"/>
                <w:sz w:val="22"/>
                <w:szCs w:val="22"/>
              </w:rPr>
              <m:t xml:space="preserve"> </m:t>
            </m:r>
          </m:sup>
        </m:sSubSup>
      </m:oMath>
      <w:r w:rsidRPr="00356D32">
        <w:rPr>
          <w:rFonts w:ascii="Times New Roman" w:eastAsiaTheme="minorEastAsia" w:hAnsi="Times New Roman" w:cs="Times New Roman"/>
          <w:iCs/>
          <w:color w:val="000000"/>
          <w:sz w:val="22"/>
          <w:szCs w:val="22"/>
        </w:rPr>
        <w:t xml:space="preserve"> is the score on the ith leaf node, and T is the number of leaf nodes in the tree. By adjusting parameters, the objective function was continuously optimized, and optimal results were obtained. The grid search algorithm was used to optimize the hyper-parameters, including max_depth, min_child_weight, gamma, subsample, colsample_bytree and learning_rate in each iteration</w:t>
      </w:r>
      <w:r w:rsidRPr="00356D32">
        <w:rPr>
          <w:rFonts w:ascii="Times New Roman" w:eastAsiaTheme="minorEastAsia" w:hAnsi="Times New Roman" w:cs="Times New Roman"/>
          <w:iCs/>
          <w:color w:val="000000"/>
          <w:sz w:val="22"/>
          <w:szCs w:val="22"/>
        </w:rPr>
        <w:fldChar w:fldCharType="begin" w:fldLock="1"/>
      </w:r>
      <w:r>
        <w:rPr>
          <w:rFonts w:ascii="Times New Roman" w:eastAsiaTheme="minorEastAsia" w:hAnsi="Times New Roman" w:cs="Times New Roman"/>
          <w:iCs/>
          <w:color w:val="000000"/>
          <w:sz w:val="22"/>
          <w:szCs w:val="22"/>
        </w:rPr>
        <w:instrText>ADDIN CSL_CITATION {"citationItems":[{"id":"ITEM-1","itemData":{"DOI":"10.1186/s12967-022-03369-9","ISSN":"14795876","PMID":"35436939","abstract":"Background: For a long time, breast cancer has been a leading cancer diagnosed in women worldwide, and approximately 90% of cancer-related deaths are caused by metastasis. For this reason, finding new biomarkers related to metastasis is an urgent task to predict the metastatic status of breast cancer and provide new therapeutic targets. Methods: In this research, an efficient model of eXtreme Gradient Boosting (XGBoost) optimized by a grid search algorithm is established to realize auxiliary identification of metastatic breast tumors based on gene expression. Estimated by ten-fold cross-validation, the optimized XGBoost classifier can achieve an overall higher mean AUC of 0.82 compared to other classifiers such as DT, SVM, KNN, LR, and RF. Results: A novel 6-gene signature (SQSTM1, GDF9, LINC01125, PTGS2, GVINP1, and TMEM64) was selected by feature importance ranking and a series of in vitro experiments were conducted to verify the potential role of each biomarker. In general, the effects of SQSTM in tumor cells are assigned as a risk factor, while the effects of the other 5 genes (GDF9, LINC01125, PTGS2, GVINP1, and TMEM64) in immune cells are assigned as protective factors. Conclusions: Our findings will allow for a more accurate prediction of the metastatic status of breast cancer and will benefit the mining of breast cancer metastasis-related biomarkers.","author":[{"dropping-particle":"","family":"Li","given":"Qingqing","non-dropping-particle":"","parse-names":false,"suffix":""},{"dropping-particle":"","family":"Yang","given":"Hui","non-dropping-particle":"","parse-names":false,"suffix":""},{"dropping-particle":"","family":"Wang","given":"Peipei","non-dropping-particle":"","parse-names":false,"suffix":""},{"dropping-particle":"","family":"Liu","given":"Xiaocen","non-dropping-particle":"","parse-names":false,"suffix":""},{"dropping-particle":"","family":"Lv","given":"Kun","non-dropping-particle":"","parse-names":false,"suffix":""},{"dropping-particle":"","family":"Ye","given":"Mingquan","non-dropping-particle":"","parse-names":false,"suffix":""}],"container-title":"Journal of Translational Medicine","id":"ITEM-1","issue":"1","issued":{"date-parts":[["2022"]]},"title":"XGBoost-based and tumor-immune characterized gene signature for the prediction of metastatic status in breast cancer","type":"article-journal","volume":"20"},"uris":["http://www.mendeley.com/documents/?uuid=af6e085b-bd05-475b-b671-2252d3e2d14b"]}],"mendeley":{"formattedCitation":"[2]","plainTextFormattedCitation":"[2]","previouslyFormattedCitation":"[2]"},"properties":{"noteIndex":0},"schema":"https://github.com/citation-style-language/schema/raw/master/csl-citation.json"}</w:instrText>
      </w:r>
      <w:r w:rsidRPr="00356D32">
        <w:rPr>
          <w:rFonts w:ascii="Times New Roman" w:eastAsiaTheme="minorEastAsia" w:hAnsi="Times New Roman" w:cs="Times New Roman"/>
          <w:iCs/>
          <w:color w:val="000000"/>
          <w:sz w:val="22"/>
          <w:szCs w:val="22"/>
        </w:rPr>
        <w:fldChar w:fldCharType="separate"/>
      </w:r>
      <w:r w:rsidRPr="00356D32">
        <w:rPr>
          <w:rFonts w:ascii="Times New Roman" w:eastAsiaTheme="minorEastAsia" w:hAnsi="Times New Roman" w:cs="Times New Roman"/>
          <w:iCs/>
          <w:noProof/>
          <w:color w:val="000000"/>
          <w:sz w:val="22"/>
          <w:szCs w:val="22"/>
        </w:rPr>
        <w:t>[2]</w:t>
      </w:r>
      <w:r w:rsidRPr="00356D32">
        <w:rPr>
          <w:rFonts w:ascii="Times New Roman" w:eastAsiaTheme="minorEastAsia" w:hAnsi="Times New Roman" w:cs="Times New Roman"/>
          <w:iCs/>
          <w:color w:val="000000"/>
          <w:sz w:val="22"/>
          <w:szCs w:val="22"/>
        </w:rPr>
        <w:fldChar w:fldCharType="end"/>
      </w:r>
      <w:r w:rsidRPr="00356D32">
        <w:rPr>
          <w:rFonts w:ascii="Times New Roman" w:eastAsiaTheme="minorEastAsia" w:hAnsi="Times New Roman" w:cs="Times New Roman"/>
          <w:iCs/>
          <w:color w:val="000000"/>
          <w:sz w:val="22"/>
          <w:szCs w:val="22"/>
        </w:rPr>
        <w:t>.</w:t>
      </w:r>
      <w:r w:rsidRPr="00356D32">
        <w:rPr>
          <w:rFonts w:ascii="Times New Roman" w:hAnsi="Times New Roman" w:cs="Times New Roman"/>
          <w:sz w:val="22"/>
          <w:szCs w:val="22"/>
        </w:rPr>
        <w:t xml:space="preserve"> </w:t>
      </w:r>
      <w:proofErr w:type="spellStart"/>
      <w:r w:rsidRPr="00356D32">
        <w:rPr>
          <w:rFonts w:ascii="Times New Roman" w:eastAsiaTheme="minorEastAsia" w:hAnsi="Times New Roman" w:cs="Times New Roman"/>
          <w:iCs/>
          <w:color w:val="000000"/>
          <w:sz w:val="22"/>
          <w:szCs w:val="22"/>
        </w:rPr>
        <w:t>SHapley</w:t>
      </w:r>
      <w:proofErr w:type="spellEnd"/>
      <w:r w:rsidRPr="00356D32">
        <w:rPr>
          <w:rFonts w:ascii="Times New Roman" w:eastAsiaTheme="minorEastAsia" w:hAnsi="Times New Roman" w:cs="Times New Roman"/>
          <w:iCs/>
          <w:color w:val="000000"/>
          <w:sz w:val="22"/>
          <w:szCs w:val="22"/>
        </w:rPr>
        <w:t xml:space="preserve"> Additive </w:t>
      </w:r>
      <w:proofErr w:type="spellStart"/>
      <w:r w:rsidRPr="00356D32">
        <w:rPr>
          <w:rFonts w:ascii="Times New Roman" w:eastAsiaTheme="minorEastAsia" w:hAnsi="Times New Roman" w:cs="Times New Roman"/>
          <w:iCs/>
          <w:color w:val="000000"/>
          <w:sz w:val="22"/>
          <w:szCs w:val="22"/>
        </w:rPr>
        <w:t>exPlanations</w:t>
      </w:r>
      <w:proofErr w:type="spellEnd"/>
      <w:r w:rsidRPr="00356D32">
        <w:rPr>
          <w:rFonts w:ascii="Times New Roman" w:eastAsiaTheme="minorEastAsia" w:hAnsi="Times New Roman" w:cs="Times New Roman"/>
          <w:iCs/>
          <w:color w:val="000000"/>
          <w:sz w:val="22"/>
          <w:szCs w:val="22"/>
        </w:rPr>
        <w:t xml:space="preserve"> </w:t>
      </w:r>
      <w:r w:rsidRPr="00356D32">
        <w:rPr>
          <w:rFonts w:ascii="Times New Roman" w:eastAsiaTheme="minorEastAsia" w:hAnsi="Times New Roman" w:cs="Times New Roman"/>
          <w:iCs/>
          <w:color w:val="000000"/>
          <w:sz w:val="22"/>
          <w:szCs w:val="22"/>
        </w:rPr>
        <w:lastRenderedPageBreak/>
        <w:t>(SHAP)</w:t>
      </w:r>
      <w:r w:rsidRPr="00356D32">
        <w:rPr>
          <w:rFonts w:ascii="Times New Roman" w:hAnsi="Times New Roman" w:cs="Times New Roman"/>
          <w:sz w:val="22"/>
          <w:szCs w:val="22"/>
        </w:rPr>
        <w:t xml:space="preserve"> </w:t>
      </w:r>
      <w:r w:rsidRPr="00356D32">
        <w:rPr>
          <w:rFonts w:ascii="Times New Roman" w:eastAsiaTheme="minorEastAsia" w:hAnsi="Times New Roman" w:cs="Times New Roman"/>
          <w:iCs/>
          <w:color w:val="000000"/>
          <w:sz w:val="22"/>
          <w:szCs w:val="22"/>
        </w:rPr>
        <w:t>-value-based selection is mostly used for important feature selection. SHAP leverages game theory concepts to compute feature importance in two steps: training a classification model using all features in the initial interaction and then computing SHAP values for each feature, subsequently ranking them to identify the most significant features for modeling the target problem</w:t>
      </w:r>
      <w:r>
        <w:rPr>
          <w:rFonts w:ascii="Times New Roman" w:eastAsiaTheme="minorEastAsia" w:hAnsi="Times New Roman" w:cs="Times New Roman"/>
          <w:iCs/>
          <w:color w:val="000000"/>
          <w:sz w:val="22"/>
          <w:szCs w:val="22"/>
        </w:rPr>
        <w:fldChar w:fldCharType="begin" w:fldLock="1"/>
      </w:r>
      <w:r>
        <w:rPr>
          <w:rFonts w:ascii="Times New Roman" w:eastAsiaTheme="minorEastAsia" w:hAnsi="Times New Roman" w:cs="Times New Roman"/>
          <w:iCs/>
          <w:color w:val="000000"/>
          <w:sz w:val="22"/>
          <w:szCs w:val="22"/>
        </w:rPr>
        <w:instrText>ADDIN CSL_CITATION {"citationItems":[{"id":"ITEM-1","itemData":{"DOI":"10.1186/s40537-024-00905-w","ISSN":"21961115","abstract":"In the context of high-dimensional credit card fraud data, researchers and practitioners commonly utilize feature selection techniques to enhance the performance of fraud detection models. This study presents a comparison in model performance using the most important features selected by SHAP (SHapley Additive exPlanations) values and the model’s built-in feature importance list. Both methods rank features and choose the most significant ones for model assessment. To evaluate the effectiveness of these feature selection techniques, classification models are built using five classifiers: XGBoost, Decision Tree, CatBoost, Extremely Randomized Trees, and Random Forest. The Area under the Precision-Recall Curve (AUPRC) serves as the evaluation metric. All experiments are executed on the Kaggle Credit Card Fraud Detection Dataset. The experimental outcomes and statistical tests indicate that feature selection methods based on importance values outperform those based on SHAP values across classifiers and various feature subset sizes. For models trained on larger datasets, it is recommended to use the model’s built-in feature importance list as the primary feature selection method over SHAP. This suggestion is based on the rationale that computing SHAP feature importance is a distinct activity, while models naturally provide built-in feature importance as part of the training process, requiring no additional effort. Consequently, opting for the model’s built-in feature importance list can offer a more efficient and practical approach for larger datasets and more intricate models.","author":[{"dropping-particle":"","family":"Wang","given":"Huanjing","non-dropping-particle":"","parse-names":false,"suffix":""},{"dropping-particle":"","family":"Liang","given":"Qianxin","non-dropping-particle":"","parse-names":false,"suffix":""},{"dropping-particle":"","family":"Hancock","given":"John T.","non-dropping-particle":"","parse-names":false,"suffix":""},{"dropping-particle":"","family":"Khoshgoftaar","given":"Taghi M.","non-dropping-particle":"","parse-names":false,"suffix":""}],"container-title":"Journal of Big Data","id":"ITEM-1","issue":"1","issued":{"date-parts":[["2024"]]},"title":"Feature selection strategies: a comparative analysis of SHAP-value and importance-based methods","type":"article-journal","volume":"11"},"uris":["http://www.mendeley.com/documents/?uuid=8f3e8386-2abd-406f-98ca-46992e9e2be8"]}],"mendeley":{"formattedCitation":"[3]","plainTextFormattedCitation":"[3]"},"properties":{"noteIndex":0},"schema":"https://github.com/citation-style-language/schema/raw/master/csl-citation.json"}</w:instrText>
      </w:r>
      <w:r>
        <w:rPr>
          <w:rFonts w:ascii="Times New Roman" w:eastAsiaTheme="minorEastAsia" w:hAnsi="Times New Roman" w:cs="Times New Roman"/>
          <w:iCs/>
          <w:color w:val="000000"/>
          <w:sz w:val="22"/>
          <w:szCs w:val="22"/>
        </w:rPr>
        <w:fldChar w:fldCharType="separate"/>
      </w:r>
      <w:r w:rsidRPr="00356D32">
        <w:rPr>
          <w:rFonts w:ascii="Times New Roman" w:eastAsiaTheme="minorEastAsia" w:hAnsi="Times New Roman" w:cs="Times New Roman"/>
          <w:iCs/>
          <w:noProof/>
          <w:color w:val="000000"/>
          <w:sz w:val="22"/>
          <w:szCs w:val="22"/>
        </w:rPr>
        <w:t>[3]</w:t>
      </w:r>
      <w:r>
        <w:rPr>
          <w:rFonts w:ascii="Times New Roman" w:eastAsiaTheme="minorEastAsia" w:hAnsi="Times New Roman" w:cs="Times New Roman"/>
          <w:iCs/>
          <w:color w:val="000000"/>
          <w:sz w:val="22"/>
          <w:szCs w:val="22"/>
        </w:rPr>
        <w:fldChar w:fldCharType="end"/>
      </w:r>
      <w:r w:rsidRPr="00356D32">
        <w:rPr>
          <w:rFonts w:ascii="Times New Roman" w:eastAsiaTheme="minorEastAsia" w:hAnsi="Times New Roman" w:cs="Times New Roman"/>
          <w:iCs/>
          <w:color w:val="000000"/>
          <w:sz w:val="22"/>
          <w:szCs w:val="22"/>
        </w:rPr>
        <w:t>.</w:t>
      </w:r>
    </w:p>
    <w:p w14:paraId="325AF562" w14:textId="66847FA6" w:rsidR="00210D07" w:rsidRDefault="000233BE" w:rsidP="00210D07">
      <w:pPr>
        <w:spacing w:line="360" w:lineRule="auto"/>
        <w:jc w:val="both"/>
        <w:rPr>
          <w:rFonts w:ascii="Times New Roman" w:hAnsi="Times New Roman" w:cs="Times New Roman"/>
          <w:b/>
          <w:bCs/>
          <w:sz w:val="32"/>
          <w:szCs w:val="32"/>
          <w:u w:val="single"/>
        </w:rPr>
      </w:pPr>
      <w:r w:rsidRPr="000233BE">
        <w:rPr>
          <w:rFonts w:ascii="Times New Roman" w:eastAsiaTheme="minorEastAsia" w:hAnsi="Times New Roman" w:cs="Times New Roman"/>
          <w:iCs/>
          <w:color w:val="000000"/>
          <w:sz w:val="22"/>
          <w:szCs w:val="22"/>
        </w:rPr>
        <w:t xml:space="preserve">We applied the </w:t>
      </w:r>
      <w:proofErr w:type="spellStart"/>
      <w:r w:rsidRPr="000233BE">
        <w:rPr>
          <w:rFonts w:ascii="Times New Roman" w:eastAsiaTheme="minorEastAsia" w:hAnsi="Times New Roman" w:cs="Times New Roman"/>
          <w:iCs/>
          <w:color w:val="000000"/>
          <w:sz w:val="22"/>
          <w:szCs w:val="22"/>
        </w:rPr>
        <w:t>XGBoost</w:t>
      </w:r>
      <w:proofErr w:type="spellEnd"/>
      <w:r w:rsidRPr="000233BE">
        <w:rPr>
          <w:rFonts w:ascii="Times New Roman" w:eastAsiaTheme="minorEastAsia" w:hAnsi="Times New Roman" w:cs="Times New Roman"/>
          <w:iCs/>
          <w:color w:val="000000"/>
          <w:sz w:val="22"/>
          <w:szCs w:val="22"/>
        </w:rPr>
        <w:t xml:space="preserve"> machine learning model separately to each disease dataset to prioritize genes based on their ability to distinguish disease samples from controls. This approach allowed us to capture potential non-linear relationships within gene expression patterns. To interpret the model and identify the most influential features, SHAP</w:t>
      </w:r>
      <w:r>
        <w:rPr>
          <w:rFonts w:ascii="Times New Roman" w:eastAsiaTheme="minorEastAsia" w:hAnsi="Times New Roman" w:cs="Times New Roman"/>
          <w:iCs/>
          <w:color w:val="000000"/>
          <w:sz w:val="22"/>
          <w:szCs w:val="22"/>
        </w:rPr>
        <w:t xml:space="preserve"> </w:t>
      </w:r>
      <w:r w:rsidRPr="000233BE">
        <w:rPr>
          <w:rFonts w:ascii="Times New Roman" w:eastAsiaTheme="minorEastAsia" w:hAnsi="Times New Roman" w:cs="Times New Roman"/>
          <w:iCs/>
          <w:color w:val="000000"/>
          <w:sz w:val="22"/>
          <w:szCs w:val="22"/>
        </w:rPr>
        <w:t>was used, which highlighted the top contributing genes driving the classification.</w:t>
      </w:r>
      <w:r>
        <w:rPr>
          <w:rFonts w:ascii="Times New Roman" w:eastAsiaTheme="minorEastAsia" w:hAnsi="Times New Roman" w:cs="Times New Roman"/>
          <w:iCs/>
          <w:color w:val="000000"/>
          <w:sz w:val="22"/>
          <w:szCs w:val="22"/>
        </w:rPr>
        <w:t xml:space="preserve"> </w:t>
      </w:r>
      <w:r w:rsidRPr="000233BE">
        <w:rPr>
          <w:rFonts w:ascii="Times New Roman" w:eastAsiaTheme="minorEastAsia" w:hAnsi="Times New Roman" w:cs="Times New Roman"/>
          <w:iCs/>
          <w:color w:val="000000"/>
          <w:sz w:val="22"/>
          <w:szCs w:val="22"/>
        </w:rPr>
        <w:t xml:space="preserve">All available data </w:t>
      </w:r>
      <w:r>
        <w:rPr>
          <w:rFonts w:ascii="Times New Roman" w:eastAsiaTheme="minorEastAsia" w:hAnsi="Times New Roman" w:cs="Times New Roman"/>
          <w:iCs/>
          <w:color w:val="000000"/>
          <w:sz w:val="22"/>
          <w:szCs w:val="22"/>
        </w:rPr>
        <w:t>was</w:t>
      </w:r>
      <w:r w:rsidRPr="000233BE">
        <w:rPr>
          <w:rFonts w:ascii="Times New Roman" w:eastAsiaTheme="minorEastAsia" w:hAnsi="Times New Roman" w:cs="Times New Roman"/>
          <w:iCs/>
          <w:color w:val="000000"/>
          <w:sz w:val="22"/>
          <w:szCs w:val="22"/>
        </w:rPr>
        <w:t xml:space="preserve"> used during model training to capture the full range of gene expression variability and improve model robustness. Prior to model fitting, 5-fold cross-validation was performed to optimize hyperparameters and minimize the risk of overfitting, ensuring reliable and generalizable results.</w:t>
      </w:r>
    </w:p>
    <w:p w14:paraId="25CE1C58" w14:textId="77777777" w:rsidR="00210D07" w:rsidRDefault="00210D07" w:rsidP="00210D07">
      <w:pPr>
        <w:spacing w:line="360" w:lineRule="auto"/>
        <w:jc w:val="both"/>
        <w:rPr>
          <w:rFonts w:ascii="Times New Roman" w:hAnsi="Times New Roman" w:cs="Times New Roman"/>
          <w:b/>
          <w:bCs/>
          <w:sz w:val="32"/>
          <w:szCs w:val="32"/>
          <w:u w:val="single"/>
        </w:rPr>
      </w:pPr>
    </w:p>
    <w:p w14:paraId="19C18A47" w14:textId="32F66A5B" w:rsidR="006B0F5B" w:rsidRPr="00210D07" w:rsidRDefault="006B0F5B" w:rsidP="00210D07">
      <w:pPr>
        <w:spacing w:line="360" w:lineRule="auto"/>
        <w:jc w:val="both"/>
        <w:rPr>
          <w:rFonts w:ascii="Times New Roman" w:eastAsiaTheme="minorEastAsia" w:hAnsi="Times New Roman" w:cs="Times New Roman"/>
          <w:iCs/>
          <w:color w:val="000000"/>
          <w:sz w:val="22"/>
          <w:szCs w:val="22"/>
        </w:rPr>
      </w:pPr>
      <w:r w:rsidRPr="00423EE4">
        <w:rPr>
          <w:rFonts w:ascii="Times New Roman" w:hAnsi="Times New Roman" w:cs="Times New Roman"/>
          <w:b/>
          <w:bCs/>
        </w:rPr>
        <w:t>Method S</w:t>
      </w:r>
      <w:r>
        <w:rPr>
          <w:rFonts w:ascii="Times New Roman" w:hAnsi="Times New Roman" w:cs="Times New Roman"/>
          <w:b/>
          <w:bCs/>
        </w:rPr>
        <w:t>3: ADMET criteria</w:t>
      </w:r>
      <w:r w:rsidR="00FB6428">
        <w:rPr>
          <w:rFonts w:ascii="Times New Roman" w:hAnsi="Times New Roman" w:cs="Times New Roman"/>
          <w:b/>
          <w:bCs/>
        </w:rPr>
        <w:t xml:space="preserve"> </w:t>
      </w:r>
    </w:p>
    <w:p w14:paraId="085D693A" w14:textId="30E29704" w:rsidR="006B0F5B" w:rsidRPr="00210D07" w:rsidRDefault="006B0F5B" w:rsidP="00210D07">
      <w:pPr>
        <w:spacing w:line="360" w:lineRule="auto"/>
        <w:jc w:val="both"/>
        <w:rPr>
          <w:rFonts w:ascii="Times New Roman" w:hAnsi="Times New Roman" w:cs="Times New Roman"/>
          <w:b/>
          <w:bCs/>
          <w:color w:val="000000" w:themeColor="text1"/>
          <w:sz w:val="22"/>
          <w:szCs w:val="22"/>
          <w:u w:val="single"/>
        </w:rPr>
      </w:pPr>
      <w:r w:rsidRPr="00210D07">
        <w:rPr>
          <w:rFonts w:ascii="Times New Roman" w:hAnsi="Times New Roman" w:cs="Times New Roman"/>
          <w:color w:val="000000" w:themeColor="text1"/>
          <w:sz w:val="22"/>
          <w:szCs w:val="22"/>
        </w:rPr>
        <w:t xml:space="preserve">The ADME/T properties of the selected compounds were evaluated using established </w:t>
      </w:r>
      <w:r w:rsidRPr="00210D07">
        <w:rPr>
          <w:rFonts w:ascii="Times New Roman" w:hAnsi="Times New Roman" w:cs="Times New Roman"/>
          <w:i/>
          <w:iCs/>
          <w:color w:val="000000" w:themeColor="text1"/>
          <w:sz w:val="22"/>
          <w:szCs w:val="22"/>
        </w:rPr>
        <w:t>in-silico</w:t>
      </w:r>
      <w:r w:rsidRPr="00210D07">
        <w:rPr>
          <w:rFonts w:ascii="Times New Roman" w:hAnsi="Times New Roman" w:cs="Times New Roman"/>
          <w:color w:val="000000" w:themeColor="text1"/>
          <w:sz w:val="22"/>
          <w:szCs w:val="22"/>
        </w:rPr>
        <w:t xml:space="preserve"> </w:t>
      </w:r>
      <w:proofErr w:type="spellStart"/>
      <w:r w:rsidRPr="00210D07">
        <w:rPr>
          <w:rFonts w:ascii="Times New Roman" w:hAnsi="Times New Roman" w:cs="Times New Roman"/>
          <w:color w:val="000000" w:themeColor="text1"/>
          <w:sz w:val="22"/>
          <w:szCs w:val="22"/>
        </w:rPr>
        <w:t>pkCSM</w:t>
      </w:r>
      <w:proofErr w:type="spellEnd"/>
      <w:r w:rsidRPr="00210D07">
        <w:rPr>
          <w:rFonts w:ascii="Times New Roman" w:hAnsi="Times New Roman" w:cs="Times New Roman"/>
          <w:color w:val="000000" w:themeColor="text1"/>
          <w:sz w:val="22"/>
          <w:szCs w:val="22"/>
        </w:rPr>
        <w:t xml:space="preserve"> prediction platforms (</w:t>
      </w:r>
      <w:proofErr w:type="spellStart"/>
      <w:r w:rsidRPr="00210D07">
        <w:rPr>
          <w:rFonts w:ascii="Times New Roman" w:hAnsi="Times New Roman" w:cs="Times New Roman"/>
          <w:color w:val="000000" w:themeColor="text1"/>
          <w:sz w:val="22"/>
          <w:szCs w:val="22"/>
        </w:rPr>
        <w:t>DeepPK</w:t>
      </w:r>
      <w:proofErr w:type="spellEnd"/>
      <w:r w:rsidRPr="00210D07">
        <w:rPr>
          <w:rFonts w:ascii="Times New Roman" w:hAnsi="Times New Roman" w:cs="Times New Roman"/>
          <w:color w:val="000000" w:themeColor="text1"/>
          <w:sz w:val="22"/>
          <w:szCs w:val="22"/>
        </w:rPr>
        <w:t xml:space="preserve"> and </w:t>
      </w:r>
      <w:proofErr w:type="spellStart"/>
      <w:r w:rsidRPr="00210D07">
        <w:rPr>
          <w:rFonts w:ascii="Times New Roman" w:hAnsi="Times New Roman" w:cs="Times New Roman"/>
          <w:color w:val="000000" w:themeColor="text1"/>
          <w:sz w:val="22"/>
          <w:szCs w:val="22"/>
        </w:rPr>
        <w:t>pkCSM</w:t>
      </w:r>
      <w:proofErr w:type="spellEnd"/>
      <w:r w:rsidRPr="00210D07">
        <w:rPr>
          <w:rFonts w:ascii="Times New Roman" w:hAnsi="Times New Roman" w:cs="Times New Roman"/>
          <w:color w:val="000000" w:themeColor="text1"/>
          <w:sz w:val="22"/>
          <w:szCs w:val="22"/>
        </w:rPr>
        <w:t xml:space="preserve">). These tools estimate pharmacokinetic and toxicity parameters based on molecular structure and graph-based signatures. Drug suitability was determined using widely accepted qualitative and quantitative thresholds for ADMET parameters, as outlined below:  </w:t>
      </w:r>
    </w:p>
    <w:p w14:paraId="442ABC34" w14:textId="77777777" w:rsidR="0003018C" w:rsidRPr="0003018C" w:rsidRDefault="0003018C" w:rsidP="0003018C">
      <w:pPr>
        <w:spacing w:line="360" w:lineRule="auto"/>
        <w:jc w:val="both"/>
        <w:rPr>
          <w:rFonts w:ascii="Times New Roman" w:hAnsi="Times New Roman" w:cs="Times New Roman"/>
          <w:b/>
          <w:bCs/>
        </w:rPr>
      </w:pPr>
      <w:r w:rsidRPr="0003018C">
        <w:rPr>
          <w:rFonts w:ascii="Times New Roman" w:hAnsi="Times New Roman" w:cs="Times New Roman"/>
          <w:b/>
          <w:bCs/>
        </w:rPr>
        <w:t xml:space="preserve">1. Absorption </w:t>
      </w:r>
    </w:p>
    <w:p w14:paraId="3682FA19" w14:textId="77777777" w:rsidR="0003018C" w:rsidRPr="0003018C" w:rsidRDefault="0003018C" w:rsidP="0003018C">
      <w:pPr>
        <w:pStyle w:val="ListParagraph"/>
        <w:numPr>
          <w:ilvl w:val="0"/>
          <w:numId w:val="1"/>
        </w:numPr>
        <w:spacing w:line="360" w:lineRule="auto"/>
        <w:jc w:val="both"/>
        <w:rPr>
          <w:rFonts w:ascii="Times New Roman" w:hAnsi="Times New Roman" w:cs="Times New Roman"/>
        </w:rPr>
      </w:pPr>
      <w:r w:rsidRPr="0003018C">
        <w:rPr>
          <w:rFonts w:ascii="Times New Roman" w:hAnsi="Times New Roman" w:cs="Times New Roman"/>
        </w:rPr>
        <w:t>Caco-2 permeability (</w:t>
      </w:r>
      <w:proofErr w:type="spellStart"/>
      <w:r w:rsidRPr="0003018C">
        <w:rPr>
          <w:rFonts w:ascii="Times New Roman" w:hAnsi="Times New Roman" w:cs="Times New Roman"/>
        </w:rPr>
        <w:t>logPapp</w:t>
      </w:r>
      <w:proofErr w:type="spellEnd"/>
      <w:r w:rsidRPr="0003018C">
        <w:rPr>
          <w:rFonts w:ascii="Times New Roman" w:hAnsi="Times New Roman" w:cs="Times New Roman"/>
        </w:rPr>
        <w:t>): &gt; -6.0 means acceptable permeability.</w:t>
      </w:r>
    </w:p>
    <w:p w14:paraId="59C15770" w14:textId="77777777" w:rsidR="0003018C" w:rsidRPr="0003018C" w:rsidRDefault="0003018C" w:rsidP="0003018C">
      <w:pPr>
        <w:pStyle w:val="ListParagraph"/>
        <w:numPr>
          <w:ilvl w:val="0"/>
          <w:numId w:val="1"/>
        </w:numPr>
        <w:spacing w:line="360" w:lineRule="auto"/>
        <w:jc w:val="both"/>
        <w:rPr>
          <w:rFonts w:ascii="Times New Roman" w:hAnsi="Times New Roman" w:cs="Times New Roman"/>
        </w:rPr>
      </w:pPr>
      <w:r w:rsidRPr="0003018C">
        <w:rPr>
          <w:rFonts w:ascii="Times New Roman" w:hAnsi="Times New Roman" w:cs="Times New Roman"/>
        </w:rPr>
        <w:t xml:space="preserve">Human Intestinal Absorption (HIA): Positive means absorbed otherwise not. </w:t>
      </w:r>
    </w:p>
    <w:p w14:paraId="69445307" w14:textId="77777777" w:rsidR="0003018C" w:rsidRPr="0003018C" w:rsidRDefault="0003018C" w:rsidP="0003018C">
      <w:pPr>
        <w:pStyle w:val="ListParagraph"/>
        <w:numPr>
          <w:ilvl w:val="0"/>
          <w:numId w:val="1"/>
        </w:numPr>
        <w:spacing w:line="360" w:lineRule="auto"/>
        <w:jc w:val="both"/>
        <w:rPr>
          <w:rFonts w:ascii="Times New Roman" w:hAnsi="Times New Roman" w:cs="Times New Roman"/>
        </w:rPr>
      </w:pPr>
      <w:r w:rsidRPr="0003018C">
        <w:rPr>
          <w:rFonts w:ascii="Times New Roman" w:hAnsi="Times New Roman" w:cs="Times New Roman"/>
        </w:rPr>
        <w:t>P-glycoprotein (P-</w:t>
      </w:r>
      <w:proofErr w:type="spellStart"/>
      <w:r w:rsidRPr="0003018C">
        <w:rPr>
          <w:rFonts w:ascii="Times New Roman" w:hAnsi="Times New Roman" w:cs="Times New Roman"/>
        </w:rPr>
        <w:t>gp</w:t>
      </w:r>
      <w:proofErr w:type="spellEnd"/>
      <w:r w:rsidRPr="0003018C">
        <w:rPr>
          <w:rFonts w:ascii="Times New Roman" w:hAnsi="Times New Roman" w:cs="Times New Roman"/>
        </w:rPr>
        <w:t xml:space="preserve">): Inhibitor/non-inhibitor noted (no strict exclusion, but flagged for transport effects). </w:t>
      </w:r>
    </w:p>
    <w:p w14:paraId="7D323098" w14:textId="77777777" w:rsidR="0003018C" w:rsidRPr="0003018C" w:rsidRDefault="0003018C" w:rsidP="0003018C">
      <w:pPr>
        <w:spacing w:line="360" w:lineRule="auto"/>
        <w:jc w:val="both"/>
        <w:rPr>
          <w:rFonts w:ascii="Times New Roman" w:hAnsi="Times New Roman" w:cs="Times New Roman"/>
          <w:b/>
          <w:bCs/>
        </w:rPr>
      </w:pPr>
      <w:r w:rsidRPr="0003018C">
        <w:rPr>
          <w:rFonts w:ascii="Times New Roman" w:hAnsi="Times New Roman" w:cs="Times New Roman"/>
          <w:b/>
          <w:bCs/>
        </w:rPr>
        <w:t xml:space="preserve">2. Distribution </w:t>
      </w:r>
    </w:p>
    <w:p w14:paraId="097F3D7E" w14:textId="77777777" w:rsidR="0003018C" w:rsidRPr="0003018C" w:rsidRDefault="0003018C" w:rsidP="0003018C">
      <w:pPr>
        <w:pStyle w:val="ListParagraph"/>
        <w:numPr>
          <w:ilvl w:val="0"/>
          <w:numId w:val="2"/>
        </w:numPr>
        <w:spacing w:line="360" w:lineRule="auto"/>
        <w:jc w:val="both"/>
        <w:rPr>
          <w:rFonts w:ascii="Times New Roman" w:hAnsi="Times New Roman" w:cs="Times New Roman"/>
        </w:rPr>
      </w:pPr>
      <w:r w:rsidRPr="0003018C">
        <w:rPr>
          <w:rFonts w:ascii="Times New Roman" w:hAnsi="Times New Roman" w:cs="Times New Roman"/>
        </w:rPr>
        <w:t xml:space="preserve">Blood–Brain Barrier (BBB): Penetrable or non-penetrable depending on therapeutic target (no strict cutoff). </w:t>
      </w:r>
    </w:p>
    <w:p w14:paraId="7166D16E" w14:textId="77777777" w:rsidR="0003018C" w:rsidRPr="0003018C" w:rsidRDefault="0003018C" w:rsidP="0003018C">
      <w:pPr>
        <w:pStyle w:val="ListParagraph"/>
        <w:numPr>
          <w:ilvl w:val="0"/>
          <w:numId w:val="2"/>
        </w:numPr>
        <w:spacing w:line="360" w:lineRule="auto"/>
        <w:jc w:val="both"/>
        <w:rPr>
          <w:rFonts w:ascii="Times New Roman" w:hAnsi="Times New Roman" w:cs="Times New Roman"/>
        </w:rPr>
      </w:pPr>
      <w:r w:rsidRPr="0003018C">
        <w:rPr>
          <w:rFonts w:ascii="Times New Roman" w:hAnsi="Times New Roman" w:cs="Times New Roman"/>
        </w:rPr>
        <w:t>CNS permeability (</w:t>
      </w:r>
      <w:proofErr w:type="spellStart"/>
      <w:r w:rsidRPr="0003018C">
        <w:rPr>
          <w:rFonts w:ascii="Times New Roman" w:hAnsi="Times New Roman" w:cs="Times New Roman"/>
        </w:rPr>
        <w:t>logPS</w:t>
      </w:r>
      <w:proofErr w:type="spellEnd"/>
      <w:r w:rsidRPr="0003018C">
        <w:rPr>
          <w:rFonts w:ascii="Times New Roman" w:hAnsi="Times New Roman" w:cs="Times New Roman"/>
        </w:rPr>
        <w:t xml:space="preserve">): between -3.0 and -1.0 means moderate CNS accessibility. </w:t>
      </w:r>
    </w:p>
    <w:p w14:paraId="107D4DD1" w14:textId="77777777" w:rsidR="0003018C" w:rsidRPr="0003018C" w:rsidRDefault="0003018C" w:rsidP="0003018C">
      <w:pPr>
        <w:spacing w:line="360" w:lineRule="auto"/>
        <w:jc w:val="both"/>
        <w:rPr>
          <w:rFonts w:ascii="Times New Roman" w:hAnsi="Times New Roman" w:cs="Times New Roman"/>
          <w:b/>
          <w:bCs/>
        </w:rPr>
      </w:pPr>
      <w:r w:rsidRPr="0003018C">
        <w:rPr>
          <w:rFonts w:ascii="Times New Roman" w:hAnsi="Times New Roman" w:cs="Times New Roman"/>
          <w:b/>
          <w:bCs/>
        </w:rPr>
        <w:t xml:space="preserve">3. Metabolism </w:t>
      </w:r>
    </w:p>
    <w:p w14:paraId="321F1149" w14:textId="77777777" w:rsidR="0003018C" w:rsidRPr="0003018C" w:rsidRDefault="0003018C" w:rsidP="0003018C">
      <w:pPr>
        <w:pStyle w:val="ListParagraph"/>
        <w:numPr>
          <w:ilvl w:val="0"/>
          <w:numId w:val="3"/>
        </w:numPr>
        <w:spacing w:line="360" w:lineRule="auto"/>
        <w:jc w:val="both"/>
        <w:rPr>
          <w:rFonts w:ascii="Times New Roman" w:hAnsi="Times New Roman" w:cs="Times New Roman"/>
        </w:rPr>
      </w:pPr>
      <w:r w:rsidRPr="0003018C">
        <w:rPr>
          <w:rFonts w:ascii="Times New Roman" w:hAnsi="Times New Roman" w:cs="Times New Roman"/>
        </w:rPr>
        <w:t xml:space="preserve">CYP3A4 inhibition: Preferably Non-inhibitor is good. </w:t>
      </w:r>
    </w:p>
    <w:p w14:paraId="6CE6E67F" w14:textId="77777777" w:rsidR="0003018C" w:rsidRPr="0003018C" w:rsidRDefault="0003018C" w:rsidP="0003018C">
      <w:pPr>
        <w:pStyle w:val="ListParagraph"/>
        <w:numPr>
          <w:ilvl w:val="0"/>
          <w:numId w:val="3"/>
        </w:numPr>
        <w:spacing w:line="360" w:lineRule="auto"/>
        <w:jc w:val="both"/>
        <w:rPr>
          <w:rFonts w:ascii="Times New Roman" w:hAnsi="Times New Roman" w:cs="Times New Roman"/>
        </w:rPr>
      </w:pPr>
      <w:r w:rsidRPr="0003018C">
        <w:rPr>
          <w:rFonts w:ascii="Times New Roman" w:hAnsi="Times New Roman" w:cs="Times New Roman"/>
        </w:rPr>
        <w:lastRenderedPageBreak/>
        <w:t xml:space="preserve">CYP2D6 inhibition: Preferably Non-inhibitor is good. </w:t>
      </w:r>
    </w:p>
    <w:p w14:paraId="71259330" w14:textId="77777777" w:rsidR="0003018C" w:rsidRPr="0003018C" w:rsidRDefault="0003018C" w:rsidP="0003018C">
      <w:pPr>
        <w:pStyle w:val="ListParagraph"/>
        <w:spacing w:line="360" w:lineRule="auto"/>
        <w:jc w:val="both"/>
        <w:rPr>
          <w:rFonts w:ascii="Times New Roman" w:hAnsi="Times New Roman" w:cs="Times New Roman"/>
        </w:rPr>
      </w:pPr>
    </w:p>
    <w:p w14:paraId="498C9EC9" w14:textId="77777777" w:rsidR="0003018C" w:rsidRPr="0003018C" w:rsidRDefault="0003018C" w:rsidP="0003018C">
      <w:pPr>
        <w:spacing w:line="360" w:lineRule="auto"/>
        <w:jc w:val="both"/>
        <w:rPr>
          <w:rFonts w:ascii="Times New Roman" w:hAnsi="Times New Roman" w:cs="Times New Roman"/>
          <w:b/>
          <w:bCs/>
        </w:rPr>
      </w:pPr>
      <w:r w:rsidRPr="0003018C">
        <w:rPr>
          <w:rFonts w:ascii="Times New Roman" w:hAnsi="Times New Roman" w:cs="Times New Roman"/>
          <w:b/>
          <w:bCs/>
        </w:rPr>
        <w:t xml:space="preserve">4. Excretion </w:t>
      </w:r>
    </w:p>
    <w:p w14:paraId="32B452B9" w14:textId="77777777" w:rsidR="0003018C" w:rsidRPr="0003018C" w:rsidRDefault="0003018C" w:rsidP="0003018C">
      <w:pPr>
        <w:pStyle w:val="ListParagraph"/>
        <w:numPr>
          <w:ilvl w:val="0"/>
          <w:numId w:val="4"/>
        </w:numPr>
        <w:spacing w:line="360" w:lineRule="auto"/>
        <w:jc w:val="both"/>
        <w:rPr>
          <w:rFonts w:ascii="Times New Roman" w:hAnsi="Times New Roman" w:cs="Times New Roman"/>
          <w:b/>
          <w:bCs/>
        </w:rPr>
      </w:pPr>
      <w:r w:rsidRPr="0003018C">
        <w:rPr>
          <w:rFonts w:ascii="Times New Roman" w:hAnsi="Times New Roman" w:cs="Times New Roman"/>
        </w:rPr>
        <w:t xml:space="preserve">Total Clearance (log ml/min/kg): Moderate range (no strict cutoff; values approximately 5 to 9 considered acceptable). </w:t>
      </w:r>
    </w:p>
    <w:p w14:paraId="4AD6448B" w14:textId="77777777" w:rsidR="0003018C" w:rsidRPr="0003018C" w:rsidRDefault="0003018C" w:rsidP="0003018C">
      <w:pPr>
        <w:pStyle w:val="ListParagraph"/>
        <w:numPr>
          <w:ilvl w:val="0"/>
          <w:numId w:val="4"/>
        </w:numPr>
        <w:spacing w:line="360" w:lineRule="auto"/>
        <w:jc w:val="both"/>
        <w:rPr>
          <w:rFonts w:ascii="Times New Roman" w:hAnsi="Times New Roman" w:cs="Times New Roman"/>
        </w:rPr>
      </w:pPr>
      <w:r w:rsidRPr="0003018C">
        <w:rPr>
          <w:rFonts w:ascii="Times New Roman" w:hAnsi="Times New Roman" w:cs="Times New Roman"/>
        </w:rPr>
        <w:t xml:space="preserve">Half-life &lt; 3 hours means acceptable for early-stage candidates (indicates no excessive accumulation). </w:t>
      </w:r>
    </w:p>
    <w:p w14:paraId="19107153" w14:textId="77777777" w:rsidR="0003018C" w:rsidRPr="0003018C" w:rsidRDefault="0003018C" w:rsidP="0003018C">
      <w:pPr>
        <w:spacing w:line="360" w:lineRule="auto"/>
        <w:jc w:val="both"/>
        <w:rPr>
          <w:rFonts w:ascii="Times New Roman" w:hAnsi="Times New Roman" w:cs="Times New Roman"/>
          <w:b/>
          <w:bCs/>
        </w:rPr>
      </w:pPr>
      <w:r w:rsidRPr="0003018C">
        <w:rPr>
          <w:rFonts w:ascii="Times New Roman" w:hAnsi="Times New Roman" w:cs="Times New Roman"/>
          <w:b/>
          <w:bCs/>
        </w:rPr>
        <w:t xml:space="preserve">5. Toxicity </w:t>
      </w:r>
    </w:p>
    <w:p w14:paraId="26D8350D" w14:textId="77777777" w:rsidR="0003018C" w:rsidRPr="0003018C" w:rsidRDefault="0003018C" w:rsidP="0003018C">
      <w:pPr>
        <w:pStyle w:val="ListParagraph"/>
        <w:numPr>
          <w:ilvl w:val="0"/>
          <w:numId w:val="5"/>
        </w:numPr>
        <w:spacing w:line="360" w:lineRule="auto"/>
        <w:jc w:val="both"/>
        <w:rPr>
          <w:rFonts w:ascii="Times New Roman" w:hAnsi="Times New Roman" w:cs="Times New Roman"/>
        </w:rPr>
      </w:pPr>
      <w:r w:rsidRPr="0003018C">
        <w:rPr>
          <w:rFonts w:ascii="Times New Roman" w:hAnsi="Times New Roman" w:cs="Times New Roman"/>
        </w:rPr>
        <w:t xml:space="preserve">AMES Mutagenicity: Non-mutagenic means safe </w:t>
      </w:r>
    </w:p>
    <w:p w14:paraId="4F77FA87" w14:textId="77777777" w:rsidR="0003018C" w:rsidRPr="0003018C" w:rsidRDefault="0003018C" w:rsidP="0003018C">
      <w:pPr>
        <w:pStyle w:val="ListParagraph"/>
        <w:numPr>
          <w:ilvl w:val="0"/>
          <w:numId w:val="5"/>
        </w:numPr>
        <w:spacing w:line="360" w:lineRule="auto"/>
        <w:jc w:val="both"/>
        <w:rPr>
          <w:rFonts w:ascii="Times New Roman" w:hAnsi="Times New Roman" w:cs="Times New Roman"/>
        </w:rPr>
      </w:pPr>
      <w:r w:rsidRPr="0003018C">
        <w:rPr>
          <w:rFonts w:ascii="Times New Roman" w:hAnsi="Times New Roman" w:cs="Times New Roman"/>
        </w:rPr>
        <w:t xml:space="preserve">Fathead Minnow Toxicity has no strict predicted range </w:t>
      </w:r>
    </w:p>
    <w:p w14:paraId="48D2FFD5" w14:textId="77777777" w:rsidR="0003018C" w:rsidRPr="0003018C" w:rsidRDefault="0003018C" w:rsidP="0003018C">
      <w:pPr>
        <w:pStyle w:val="ListParagraph"/>
        <w:numPr>
          <w:ilvl w:val="0"/>
          <w:numId w:val="5"/>
        </w:numPr>
        <w:spacing w:line="360" w:lineRule="auto"/>
        <w:jc w:val="both"/>
        <w:rPr>
          <w:rFonts w:ascii="Times New Roman" w:hAnsi="Times New Roman" w:cs="Times New Roman"/>
        </w:rPr>
      </w:pPr>
      <w:r w:rsidRPr="0003018C">
        <w:rPr>
          <w:rFonts w:ascii="Times New Roman" w:hAnsi="Times New Roman" w:cs="Times New Roman"/>
        </w:rPr>
        <w:t>Rat Acute Toxicity (LD50): Within safe predicted limits means no high acute toxicity.</w:t>
      </w:r>
    </w:p>
    <w:p w14:paraId="59376A2D" w14:textId="77777777" w:rsidR="00210D07" w:rsidRDefault="00210D07" w:rsidP="0014576C">
      <w:pPr>
        <w:jc w:val="center"/>
        <w:rPr>
          <w:rFonts w:ascii="Times New Roman" w:hAnsi="Times New Roman" w:cs="Times New Roman"/>
          <w:b/>
          <w:bCs/>
          <w:sz w:val="32"/>
          <w:szCs w:val="32"/>
          <w:u w:val="single"/>
        </w:rPr>
      </w:pPr>
    </w:p>
    <w:p w14:paraId="68B6D061" w14:textId="77777777" w:rsidR="00210D07" w:rsidRDefault="00210D07" w:rsidP="0014576C">
      <w:pPr>
        <w:jc w:val="center"/>
        <w:rPr>
          <w:rFonts w:ascii="Times New Roman" w:hAnsi="Times New Roman" w:cs="Times New Roman"/>
          <w:b/>
          <w:bCs/>
          <w:sz w:val="32"/>
          <w:szCs w:val="32"/>
          <w:u w:val="single"/>
        </w:rPr>
      </w:pPr>
    </w:p>
    <w:p w14:paraId="6691381F" w14:textId="77777777" w:rsidR="00210D07" w:rsidRDefault="00210D07" w:rsidP="0014576C">
      <w:pPr>
        <w:jc w:val="center"/>
        <w:rPr>
          <w:rFonts w:ascii="Times New Roman" w:hAnsi="Times New Roman" w:cs="Times New Roman"/>
          <w:b/>
          <w:bCs/>
          <w:sz w:val="32"/>
          <w:szCs w:val="32"/>
          <w:u w:val="single"/>
        </w:rPr>
      </w:pPr>
    </w:p>
    <w:p w14:paraId="12DEACE0" w14:textId="77777777" w:rsidR="00210D07" w:rsidRDefault="00210D07" w:rsidP="0014576C">
      <w:pPr>
        <w:jc w:val="center"/>
        <w:rPr>
          <w:rFonts w:ascii="Times New Roman" w:hAnsi="Times New Roman" w:cs="Times New Roman"/>
          <w:b/>
          <w:bCs/>
          <w:sz w:val="32"/>
          <w:szCs w:val="32"/>
          <w:u w:val="single"/>
        </w:rPr>
      </w:pPr>
    </w:p>
    <w:p w14:paraId="6335B93F" w14:textId="77777777" w:rsidR="00210D07" w:rsidRDefault="00210D07" w:rsidP="0014576C">
      <w:pPr>
        <w:jc w:val="center"/>
        <w:rPr>
          <w:rFonts w:ascii="Times New Roman" w:hAnsi="Times New Roman" w:cs="Times New Roman"/>
          <w:b/>
          <w:bCs/>
          <w:sz w:val="32"/>
          <w:szCs w:val="32"/>
          <w:u w:val="single"/>
        </w:rPr>
      </w:pPr>
    </w:p>
    <w:p w14:paraId="56E41589" w14:textId="77777777" w:rsidR="00210D07" w:rsidRDefault="00210D07" w:rsidP="0014576C">
      <w:pPr>
        <w:jc w:val="center"/>
        <w:rPr>
          <w:rFonts w:ascii="Times New Roman" w:hAnsi="Times New Roman" w:cs="Times New Roman"/>
          <w:b/>
          <w:bCs/>
          <w:sz w:val="32"/>
          <w:szCs w:val="32"/>
          <w:u w:val="single"/>
        </w:rPr>
      </w:pPr>
    </w:p>
    <w:p w14:paraId="329BE835" w14:textId="77777777" w:rsidR="00210D07" w:rsidRDefault="00210D07" w:rsidP="0014576C">
      <w:pPr>
        <w:jc w:val="center"/>
        <w:rPr>
          <w:rFonts w:ascii="Times New Roman" w:hAnsi="Times New Roman" w:cs="Times New Roman"/>
          <w:b/>
          <w:bCs/>
          <w:sz w:val="32"/>
          <w:szCs w:val="32"/>
          <w:u w:val="single"/>
        </w:rPr>
      </w:pPr>
    </w:p>
    <w:p w14:paraId="73DC2F22" w14:textId="77777777" w:rsidR="00210D07" w:rsidRDefault="00210D07" w:rsidP="0014576C">
      <w:pPr>
        <w:jc w:val="center"/>
        <w:rPr>
          <w:rFonts w:ascii="Times New Roman" w:hAnsi="Times New Roman" w:cs="Times New Roman"/>
          <w:b/>
          <w:bCs/>
          <w:sz w:val="32"/>
          <w:szCs w:val="32"/>
          <w:u w:val="single"/>
        </w:rPr>
      </w:pPr>
    </w:p>
    <w:p w14:paraId="36184C82" w14:textId="77777777" w:rsidR="00210D07" w:rsidRDefault="00210D07" w:rsidP="0014576C">
      <w:pPr>
        <w:jc w:val="center"/>
        <w:rPr>
          <w:rFonts w:ascii="Times New Roman" w:hAnsi="Times New Roman" w:cs="Times New Roman"/>
          <w:b/>
          <w:bCs/>
          <w:sz w:val="32"/>
          <w:szCs w:val="32"/>
          <w:u w:val="single"/>
        </w:rPr>
      </w:pPr>
    </w:p>
    <w:p w14:paraId="5F318FA2" w14:textId="77777777" w:rsidR="00210D07" w:rsidRDefault="00210D07" w:rsidP="0014576C">
      <w:pPr>
        <w:jc w:val="center"/>
        <w:rPr>
          <w:rFonts w:ascii="Times New Roman" w:hAnsi="Times New Roman" w:cs="Times New Roman"/>
          <w:b/>
          <w:bCs/>
          <w:sz w:val="32"/>
          <w:szCs w:val="32"/>
          <w:u w:val="single"/>
        </w:rPr>
      </w:pPr>
    </w:p>
    <w:p w14:paraId="7FA9A16D" w14:textId="77777777" w:rsidR="00210D07" w:rsidRDefault="00210D07" w:rsidP="0014576C">
      <w:pPr>
        <w:jc w:val="center"/>
        <w:rPr>
          <w:rFonts w:ascii="Times New Roman" w:hAnsi="Times New Roman" w:cs="Times New Roman"/>
          <w:b/>
          <w:bCs/>
          <w:sz w:val="32"/>
          <w:szCs w:val="32"/>
          <w:u w:val="single"/>
        </w:rPr>
      </w:pPr>
    </w:p>
    <w:p w14:paraId="66A8F25A" w14:textId="77777777" w:rsidR="00210D07" w:rsidRDefault="00210D07" w:rsidP="0014576C">
      <w:pPr>
        <w:jc w:val="center"/>
        <w:rPr>
          <w:rFonts w:ascii="Times New Roman" w:hAnsi="Times New Roman" w:cs="Times New Roman"/>
          <w:b/>
          <w:bCs/>
          <w:sz w:val="32"/>
          <w:szCs w:val="32"/>
          <w:u w:val="single"/>
        </w:rPr>
      </w:pPr>
    </w:p>
    <w:p w14:paraId="4408086D" w14:textId="77777777" w:rsidR="00210D07" w:rsidRDefault="00210D07" w:rsidP="0014576C">
      <w:pPr>
        <w:jc w:val="center"/>
        <w:rPr>
          <w:rFonts w:ascii="Times New Roman" w:hAnsi="Times New Roman" w:cs="Times New Roman"/>
          <w:b/>
          <w:bCs/>
          <w:sz w:val="32"/>
          <w:szCs w:val="32"/>
          <w:u w:val="single"/>
        </w:rPr>
      </w:pPr>
    </w:p>
    <w:p w14:paraId="1EB277FB" w14:textId="15614F4C" w:rsidR="0014576C" w:rsidRPr="001E7569" w:rsidRDefault="005B7229" w:rsidP="0014576C">
      <w:pPr>
        <w:jc w:val="center"/>
        <w:rPr>
          <w:rFonts w:ascii="Times New Roman" w:hAnsi="Times New Roman" w:cs="Times New Roman"/>
          <w:b/>
          <w:bCs/>
          <w:sz w:val="32"/>
          <w:szCs w:val="32"/>
          <w:u w:val="single"/>
        </w:rPr>
      </w:pPr>
      <w:r>
        <w:rPr>
          <w:rFonts w:ascii="Times New Roman" w:hAnsi="Times New Roman" w:cs="Times New Roman"/>
          <w:b/>
          <w:bCs/>
          <w:noProof/>
          <w:color w:val="000000" w:themeColor="text1"/>
          <w:sz w:val="36"/>
          <w:szCs w:val="36"/>
        </w:rPr>
        <w:lastRenderedPageBreak/>
        <w:drawing>
          <wp:anchor distT="0" distB="0" distL="114300" distR="114300" simplePos="0" relativeHeight="251658240" behindDoc="0" locked="0" layoutInCell="1" allowOverlap="1" wp14:anchorId="70E1E999" wp14:editId="26A79C05">
            <wp:simplePos x="0" y="0"/>
            <wp:positionH relativeFrom="column">
              <wp:posOffset>-117043</wp:posOffset>
            </wp:positionH>
            <wp:positionV relativeFrom="paragraph">
              <wp:posOffset>614146</wp:posOffset>
            </wp:positionV>
            <wp:extent cx="6527015" cy="3013863"/>
            <wp:effectExtent l="0" t="0" r="7620" b="0"/>
            <wp:wrapTopAndBottom/>
            <wp:docPr id="109271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10798" name="Picture 10927107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27015" cy="3013863"/>
                    </a:xfrm>
                    <a:prstGeom prst="rect">
                      <a:avLst/>
                    </a:prstGeom>
                  </pic:spPr>
                </pic:pic>
              </a:graphicData>
            </a:graphic>
          </wp:anchor>
        </w:drawing>
      </w:r>
      <w:r w:rsidR="0014576C" w:rsidRPr="001E7569">
        <w:rPr>
          <w:rFonts w:ascii="Times New Roman" w:hAnsi="Times New Roman" w:cs="Times New Roman"/>
          <w:b/>
          <w:bCs/>
          <w:sz w:val="32"/>
          <w:szCs w:val="32"/>
          <w:u w:val="single"/>
        </w:rPr>
        <w:t xml:space="preserve">Supporting </w:t>
      </w:r>
      <w:r w:rsidR="0014576C">
        <w:rPr>
          <w:rFonts w:ascii="Times New Roman" w:hAnsi="Times New Roman" w:cs="Times New Roman"/>
          <w:b/>
          <w:bCs/>
          <w:sz w:val="32"/>
          <w:szCs w:val="32"/>
          <w:u w:val="single"/>
        </w:rPr>
        <w:t>Figures</w:t>
      </w:r>
    </w:p>
    <w:p w14:paraId="4E57642E" w14:textId="1EBEB638" w:rsidR="00962E36" w:rsidRDefault="00962E36" w:rsidP="00FC3FB5">
      <w:pPr>
        <w:spacing w:line="360" w:lineRule="auto"/>
        <w:jc w:val="both"/>
        <w:rPr>
          <w:rFonts w:ascii="Times New Roman" w:hAnsi="Times New Roman" w:cs="Times New Roman"/>
          <w:b/>
          <w:bCs/>
          <w:color w:val="000000" w:themeColor="text1"/>
          <w:sz w:val="36"/>
          <w:szCs w:val="36"/>
        </w:rPr>
      </w:pPr>
    </w:p>
    <w:p w14:paraId="07003CBB" w14:textId="64FA00C1" w:rsidR="00B63818" w:rsidRDefault="00962E36" w:rsidP="00356D32">
      <w:pPr>
        <w:spacing w:line="360" w:lineRule="auto"/>
        <w:jc w:val="both"/>
        <w:rPr>
          <w:rFonts w:ascii="Times New Roman" w:hAnsi="Times New Roman" w:cs="Times New Roman"/>
          <w:b/>
          <w:bCs/>
          <w:color w:val="000000" w:themeColor="text1"/>
          <w:sz w:val="22"/>
          <w:szCs w:val="22"/>
        </w:rPr>
      </w:pPr>
      <w:r w:rsidRPr="00962E36">
        <w:rPr>
          <w:rFonts w:ascii="Times New Roman" w:hAnsi="Times New Roman" w:cs="Times New Roman"/>
          <w:b/>
          <w:bCs/>
          <w:color w:val="000000" w:themeColor="text1"/>
          <w:sz w:val="22"/>
          <w:szCs w:val="22"/>
        </w:rPr>
        <w:t>Fig</w:t>
      </w:r>
      <w:r w:rsidR="005B7229">
        <w:rPr>
          <w:rFonts w:ascii="Times New Roman" w:hAnsi="Times New Roman" w:cs="Times New Roman"/>
          <w:b/>
          <w:bCs/>
          <w:color w:val="000000" w:themeColor="text1"/>
          <w:sz w:val="22"/>
          <w:szCs w:val="22"/>
        </w:rPr>
        <w:t xml:space="preserve">. </w:t>
      </w:r>
      <w:r w:rsidRPr="00962E36">
        <w:rPr>
          <w:rFonts w:ascii="Times New Roman" w:hAnsi="Times New Roman" w:cs="Times New Roman"/>
          <w:b/>
          <w:bCs/>
          <w:color w:val="000000" w:themeColor="text1"/>
          <w:sz w:val="22"/>
          <w:szCs w:val="22"/>
        </w:rPr>
        <w:t>S</w:t>
      </w:r>
      <w:r>
        <w:rPr>
          <w:rFonts w:ascii="Times New Roman" w:hAnsi="Times New Roman" w:cs="Times New Roman"/>
          <w:b/>
          <w:bCs/>
          <w:color w:val="000000" w:themeColor="text1"/>
          <w:sz w:val="22"/>
          <w:szCs w:val="22"/>
        </w:rPr>
        <w:t>1</w:t>
      </w:r>
      <w:r w:rsidR="005B7229">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 xml:space="preserve">A) Integrated T2D samples before batch-effect correction using </w:t>
      </w:r>
      <w:proofErr w:type="spellStart"/>
      <w:r w:rsidR="00356D32" w:rsidRPr="00356D32">
        <w:rPr>
          <w:rFonts w:ascii="Times New Roman" w:hAnsi="Times New Roman" w:cs="Times New Roman"/>
          <w:b/>
          <w:bCs/>
          <w:color w:val="000000" w:themeColor="text1"/>
          <w:sz w:val="22"/>
          <w:szCs w:val="22"/>
        </w:rPr>
        <w:t>pyComBat</w:t>
      </w:r>
      <w:proofErr w:type="spellEnd"/>
      <w:r w:rsidR="00356D32" w:rsidRPr="00356D32">
        <w:rPr>
          <w:rFonts w:ascii="Times New Roman" w:hAnsi="Times New Roman" w:cs="Times New Roman"/>
          <w:b/>
          <w:bCs/>
          <w:color w:val="000000" w:themeColor="text1"/>
          <w:sz w:val="22"/>
          <w:szCs w:val="22"/>
        </w:rPr>
        <w:t>.</w:t>
      </w:r>
      <w:r w:rsidR="00356D32">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 xml:space="preserve">(B) Integrated TNBC samples before batch-effect correction using </w:t>
      </w:r>
      <w:proofErr w:type="spellStart"/>
      <w:r w:rsidR="00356D32" w:rsidRPr="00356D32">
        <w:rPr>
          <w:rFonts w:ascii="Times New Roman" w:hAnsi="Times New Roman" w:cs="Times New Roman"/>
          <w:b/>
          <w:bCs/>
          <w:color w:val="000000" w:themeColor="text1"/>
          <w:sz w:val="22"/>
          <w:szCs w:val="22"/>
        </w:rPr>
        <w:t>pyComBat</w:t>
      </w:r>
      <w:proofErr w:type="spellEnd"/>
      <w:r w:rsidR="00356D32" w:rsidRPr="00356D32">
        <w:rPr>
          <w:rFonts w:ascii="Times New Roman" w:hAnsi="Times New Roman" w:cs="Times New Roman"/>
          <w:b/>
          <w:bCs/>
          <w:color w:val="000000" w:themeColor="text1"/>
          <w:sz w:val="22"/>
          <w:szCs w:val="22"/>
        </w:rPr>
        <w:t>.</w:t>
      </w:r>
      <w:r w:rsidR="00356D32">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 xml:space="preserve">(C) Integrated T2D samples after batch-effect correction using </w:t>
      </w:r>
      <w:proofErr w:type="spellStart"/>
      <w:r w:rsidR="00356D32" w:rsidRPr="00356D32">
        <w:rPr>
          <w:rFonts w:ascii="Times New Roman" w:hAnsi="Times New Roman" w:cs="Times New Roman"/>
          <w:b/>
          <w:bCs/>
          <w:color w:val="000000" w:themeColor="text1"/>
          <w:sz w:val="22"/>
          <w:szCs w:val="22"/>
        </w:rPr>
        <w:t>pyComBat</w:t>
      </w:r>
      <w:proofErr w:type="spellEnd"/>
      <w:r w:rsidR="00356D32" w:rsidRPr="00356D32">
        <w:rPr>
          <w:rFonts w:ascii="Times New Roman" w:hAnsi="Times New Roman" w:cs="Times New Roman"/>
          <w:b/>
          <w:bCs/>
          <w:color w:val="000000" w:themeColor="text1"/>
          <w:sz w:val="22"/>
          <w:szCs w:val="22"/>
        </w:rPr>
        <w:t>.</w:t>
      </w:r>
      <w:r w:rsidR="00356D32">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 xml:space="preserve">(D) Integrated TNBC samples after batch-effect correction using </w:t>
      </w:r>
      <w:proofErr w:type="spellStart"/>
      <w:r w:rsidR="00356D32" w:rsidRPr="00356D32">
        <w:rPr>
          <w:rFonts w:ascii="Times New Roman" w:hAnsi="Times New Roman" w:cs="Times New Roman"/>
          <w:b/>
          <w:bCs/>
          <w:color w:val="000000" w:themeColor="text1"/>
          <w:sz w:val="22"/>
          <w:szCs w:val="22"/>
        </w:rPr>
        <w:t>pyComBat</w:t>
      </w:r>
      <w:proofErr w:type="spellEnd"/>
      <w:r w:rsidR="00356D32" w:rsidRPr="00356D32">
        <w:rPr>
          <w:rFonts w:ascii="Times New Roman" w:hAnsi="Times New Roman" w:cs="Times New Roman"/>
          <w:b/>
          <w:bCs/>
          <w:color w:val="000000" w:themeColor="text1"/>
          <w:sz w:val="22"/>
          <w:szCs w:val="22"/>
        </w:rPr>
        <w:t>.</w:t>
      </w:r>
    </w:p>
    <w:p w14:paraId="4E8CC4C8" w14:textId="77777777" w:rsidR="00B63818" w:rsidRDefault="00B63818">
      <w:pPr>
        <w:rPr>
          <w:rFonts w:ascii="Times New Roman" w:hAnsi="Times New Roman" w:cs="Times New Roman"/>
          <w:b/>
          <w:bCs/>
          <w:color w:val="000000" w:themeColor="text1"/>
          <w:sz w:val="22"/>
          <w:szCs w:val="22"/>
        </w:rPr>
      </w:pPr>
      <w:r>
        <w:rPr>
          <w:rFonts w:ascii="Times New Roman" w:hAnsi="Times New Roman" w:cs="Times New Roman"/>
          <w:b/>
          <w:bCs/>
          <w:color w:val="000000" w:themeColor="text1"/>
          <w:sz w:val="22"/>
          <w:szCs w:val="22"/>
        </w:rPr>
        <w:br w:type="page"/>
      </w:r>
    </w:p>
    <w:p w14:paraId="728F7FD6" w14:textId="4C066C2A" w:rsidR="00B63818" w:rsidRDefault="00FD4A2A" w:rsidP="00356D32">
      <w:pPr>
        <w:spacing w:line="360" w:lineRule="auto"/>
        <w:jc w:val="both"/>
        <w:rPr>
          <w:rFonts w:ascii="Times New Roman" w:hAnsi="Times New Roman" w:cs="Times New Roman"/>
          <w:b/>
          <w:bCs/>
          <w:color w:val="000000" w:themeColor="text1"/>
          <w:sz w:val="22"/>
          <w:szCs w:val="22"/>
        </w:rPr>
      </w:pPr>
      <w:r>
        <w:rPr>
          <w:rFonts w:ascii="Times New Roman" w:hAnsi="Times New Roman" w:cs="Times New Roman"/>
          <w:b/>
          <w:bCs/>
          <w:noProof/>
          <w:color w:val="000000" w:themeColor="text1"/>
          <w:sz w:val="22"/>
          <w:szCs w:val="22"/>
        </w:rPr>
        <w:lastRenderedPageBreak/>
        <w:drawing>
          <wp:inline distT="0" distB="0" distL="0" distR="0" wp14:anchorId="2D70606D" wp14:editId="4219DAFE">
            <wp:extent cx="5943600" cy="4852035"/>
            <wp:effectExtent l="0" t="0" r="0" b="5715"/>
            <wp:docPr id="1169236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236357" name="Picture 11692363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852035"/>
                    </a:xfrm>
                    <a:prstGeom prst="rect">
                      <a:avLst/>
                    </a:prstGeom>
                  </pic:spPr>
                </pic:pic>
              </a:graphicData>
            </a:graphic>
          </wp:inline>
        </w:drawing>
      </w:r>
    </w:p>
    <w:p w14:paraId="3A390E76" w14:textId="3AF2AA0D" w:rsidR="00B63818" w:rsidRDefault="00B63818" w:rsidP="00B63818">
      <w:pPr>
        <w:spacing w:line="360" w:lineRule="auto"/>
        <w:jc w:val="both"/>
        <w:rPr>
          <w:rFonts w:ascii="Times New Roman" w:hAnsi="Times New Roman" w:cs="Times New Roman"/>
          <w:b/>
          <w:bCs/>
          <w:color w:val="000000" w:themeColor="text1"/>
          <w:sz w:val="22"/>
          <w:szCs w:val="22"/>
        </w:rPr>
      </w:pPr>
      <w:r w:rsidRPr="00962E36">
        <w:rPr>
          <w:rFonts w:ascii="Times New Roman" w:hAnsi="Times New Roman" w:cs="Times New Roman"/>
          <w:b/>
          <w:bCs/>
          <w:color w:val="000000" w:themeColor="text1"/>
          <w:sz w:val="22"/>
          <w:szCs w:val="22"/>
        </w:rPr>
        <w:t>Fig</w:t>
      </w:r>
      <w:r w:rsidR="005B7229">
        <w:rPr>
          <w:rFonts w:ascii="Times New Roman" w:hAnsi="Times New Roman" w:cs="Times New Roman"/>
          <w:b/>
          <w:bCs/>
          <w:color w:val="000000" w:themeColor="text1"/>
          <w:sz w:val="22"/>
          <w:szCs w:val="22"/>
        </w:rPr>
        <w:t>.</w:t>
      </w:r>
      <w:r w:rsidRPr="00962E36">
        <w:rPr>
          <w:rFonts w:ascii="Times New Roman" w:hAnsi="Times New Roman" w:cs="Times New Roman"/>
          <w:b/>
          <w:bCs/>
          <w:color w:val="000000" w:themeColor="text1"/>
          <w:sz w:val="22"/>
          <w:szCs w:val="22"/>
        </w:rPr>
        <w:t xml:space="preserve"> S</w:t>
      </w:r>
      <w:r>
        <w:rPr>
          <w:rFonts w:ascii="Times New Roman" w:hAnsi="Times New Roman" w:cs="Times New Roman"/>
          <w:b/>
          <w:bCs/>
          <w:color w:val="000000" w:themeColor="text1"/>
          <w:sz w:val="22"/>
          <w:szCs w:val="22"/>
        </w:rPr>
        <w:t>2</w:t>
      </w:r>
      <w:r w:rsidR="005B7229">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 xml:space="preserve"> Visualization of principal component analysis </w:t>
      </w:r>
      <w:r w:rsidRPr="00356D32">
        <w:rPr>
          <w:rFonts w:ascii="Times New Roman" w:hAnsi="Times New Roman" w:cs="Times New Roman"/>
          <w:b/>
          <w:bCs/>
          <w:color w:val="000000" w:themeColor="text1"/>
          <w:sz w:val="22"/>
          <w:szCs w:val="22"/>
        </w:rPr>
        <w:t xml:space="preserve">A) </w:t>
      </w:r>
      <w:r>
        <w:rPr>
          <w:rFonts w:ascii="Times New Roman" w:hAnsi="Times New Roman" w:cs="Times New Roman"/>
          <w:b/>
          <w:bCs/>
          <w:color w:val="000000" w:themeColor="text1"/>
          <w:sz w:val="22"/>
          <w:szCs w:val="22"/>
        </w:rPr>
        <w:t xml:space="preserve">TNBC dataset before batch correction </w:t>
      </w:r>
      <w:r w:rsidRPr="00356D32">
        <w:rPr>
          <w:rFonts w:ascii="Times New Roman" w:hAnsi="Times New Roman" w:cs="Times New Roman"/>
          <w:b/>
          <w:bCs/>
          <w:color w:val="000000" w:themeColor="text1"/>
          <w:sz w:val="22"/>
          <w:szCs w:val="22"/>
        </w:rPr>
        <w:t xml:space="preserve">(B) </w:t>
      </w:r>
      <w:r>
        <w:rPr>
          <w:rFonts w:ascii="Times New Roman" w:hAnsi="Times New Roman" w:cs="Times New Roman"/>
          <w:b/>
          <w:bCs/>
          <w:color w:val="000000" w:themeColor="text1"/>
          <w:sz w:val="22"/>
          <w:szCs w:val="22"/>
        </w:rPr>
        <w:t>TNBC dataset after batch correction</w:t>
      </w:r>
      <w:r w:rsidRPr="00356D32">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 xml:space="preserve"> </w:t>
      </w:r>
      <w:r w:rsidRPr="00356D32">
        <w:rPr>
          <w:rFonts w:ascii="Times New Roman" w:hAnsi="Times New Roman" w:cs="Times New Roman"/>
          <w:b/>
          <w:bCs/>
          <w:color w:val="000000" w:themeColor="text1"/>
          <w:sz w:val="22"/>
          <w:szCs w:val="22"/>
        </w:rPr>
        <w:t xml:space="preserve">(C) </w:t>
      </w:r>
      <w:r w:rsidRPr="00B63818">
        <w:rPr>
          <w:rFonts w:ascii="Times New Roman" w:hAnsi="Times New Roman" w:cs="Times New Roman"/>
          <w:b/>
          <w:bCs/>
          <w:color w:val="000000" w:themeColor="text1"/>
          <w:sz w:val="22"/>
          <w:szCs w:val="22"/>
        </w:rPr>
        <w:t>T</w:t>
      </w:r>
      <w:r>
        <w:rPr>
          <w:rFonts w:ascii="Times New Roman" w:hAnsi="Times New Roman" w:cs="Times New Roman"/>
          <w:b/>
          <w:bCs/>
          <w:color w:val="000000" w:themeColor="text1"/>
          <w:sz w:val="22"/>
          <w:szCs w:val="22"/>
        </w:rPr>
        <w:t>2D</w:t>
      </w:r>
      <w:r w:rsidRPr="00B63818">
        <w:rPr>
          <w:rFonts w:ascii="Times New Roman" w:hAnsi="Times New Roman" w:cs="Times New Roman"/>
          <w:b/>
          <w:bCs/>
          <w:color w:val="000000" w:themeColor="text1"/>
          <w:sz w:val="22"/>
          <w:szCs w:val="22"/>
        </w:rPr>
        <w:t xml:space="preserve"> dataset </w:t>
      </w:r>
      <w:r>
        <w:rPr>
          <w:rFonts w:ascii="Times New Roman" w:hAnsi="Times New Roman" w:cs="Times New Roman"/>
          <w:b/>
          <w:bCs/>
          <w:color w:val="000000" w:themeColor="text1"/>
          <w:sz w:val="22"/>
          <w:szCs w:val="22"/>
        </w:rPr>
        <w:t>before</w:t>
      </w:r>
      <w:r w:rsidRPr="00B63818">
        <w:rPr>
          <w:rFonts w:ascii="Times New Roman" w:hAnsi="Times New Roman" w:cs="Times New Roman"/>
          <w:b/>
          <w:bCs/>
          <w:color w:val="000000" w:themeColor="text1"/>
          <w:sz w:val="22"/>
          <w:szCs w:val="22"/>
        </w:rPr>
        <w:t xml:space="preserve"> batch correction</w:t>
      </w:r>
      <w:r w:rsidRPr="00356D32">
        <w:rPr>
          <w:rFonts w:ascii="Times New Roman" w:hAnsi="Times New Roman" w:cs="Times New Roman"/>
          <w:b/>
          <w:bCs/>
          <w:color w:val="000000" w:themeColor="text1"/>
          <w:sz w:val="22"/>
          <w:szCs w:val="22"/>
        </w:rPr>
        <w:t>.</w:t>
      </w:r>
      <w:r>
        <w:rPr>
          <w:rFonts w:ascii="Times New Roman" w:hAnsi="Times New Roman" w:cs="Times New Roman"/>
          <w:b/>
          <w:bCs/>
          <w:color w:val="000000" w:themeColor="text1"/>
          <w:sz w:val="22"/>
          <w:szCs w:val="22"/>
        </w:rPr>
        <w:t xml:space="preserve"> </w:t>
      </w:r>
      <w:r w:rsidRPr="00356D32">
        <w:rPr>
          <w:rFonts w:ascii="Times New Roman" w:hAnsi="Times New Roman" w:cs="Times New Roman"/>
          <w:b/>
          <w:bCs/>
          <w:color w:val="000000" w:themeColor="text1"/>
          <w:sz w:val="22"/>
          <w:szCs w:val="22"/>
        </w:rPr>
        <w:t>(D</w:t>
      </w:r>
      <w:r w:rsidRPr="00B63818">
        <w:rPr>
          <w:rFonts w:ascii="Times New Roman" w:hAnsi="Times New Roman" w:cs="Times New Roman"/>
          <w:b/>
          <w:bCs/>
          <w:color w:val="000000" w:themeColor="text1"/>
          <w:sz w:val="22"/>
          <w:szCs w:val="22"/>
        </w:rPr>
        <w:t xml:space="preserve"> </w:t>
      </w:r>
      <w:r>
        <w:rPr>
          <w:rFonts w:ascii="Times New Roman" w:hAnsi="Times New Roman" w:cs="Times New Roman"/>
          <w:b/>
          <w:bCs/>
          <w:color w:val="000000" w:themeColor="text1"/>
          <w:sz w:val="22"/>
          <w:szCs w:val="22"/>
        </w:rPr>
        <w:t xml:space="preserve">T2D dataset after batch correction. </w:t>
      </w:r>
      <w:r>
        <w:rPr>
          <w:rFonts w:ascii="Times New Roman" w:hAnsi="Times New Roman" w:cs="Times New Roman"/>
          <w:b/>
          <w:bCs/>
          <w:color w:val="000000" w:themeColor="text1"/>
          <w:sz w:val="22"/>
          <w:szCs w:val="22"/>
        </w:rPr>
        <w:br w:type="page"/>
      </w:r>
    </w:p>
    <w:p w14:paraId="2C6CCCC8" w14:textId="1D95C464" w:rsidR="00962E36" w:rsidRPr="00962E36" w:rsidRDefault="005B7229" w:rsidP="00356D32">
      <w:pPr>
        <w:spacing w:line="360" w:lineRule="auto"/>
        <w:jc w:val="both"/>
        <w:rPr>
          <w:rFonts w:ascii="Times New Roman" w:hAnsi="Times New Roman" w:cs="Times New Roman"/>
          <w:b/>
          <w:bCs/>
          <w:color w:val="000000" w:themeColor="text1"/>
          <w:sz w:val="22"/>
          <w:szCs w:val="22"/>
        </w:rPr>
      </w:pPr>
      <w:r>
        <w:rPr>
          <w:rFonts w:ascii="Times New Roman" w:hAnsi="Times New Roman" w:cs="Times New Roman"/>
          <w:b/>
          <w:bCs/>
          <w:noProof/>
          <w:color w:val="000000" w:themeColor="text1"/>
          <w:sz w:val="36"/>
          <w:szCs w:val="36"/>
        </w:rPr>
        <w:lastRenderedPageBreak/>
        <w:drawing>
          <wp:anchor distT="0" distB="0" distL="114300" distR="114300" simplePos="0" relativeHeight="251659264" behindDoc="0" locked="0" layoutInCell="1" allowOverlap="1" wp14:anchorId="003630E5" wp14:editId="721EE798">
            <wp:simplePos x="0" y="0"/>
            <wp:positionH relativeFrom="margin">
              <wp:align>right</wp:align>
            </wp:positionH>
            <wp:positionV relativeFrom="paragraph">
              <wp:posOffset>540817</wp:posOffset>
            </wp:positionV>
            <wp:extent cx="5943600" cy="3817620"/>
            <wp:effectExtent l="0" t="0" r="0" b="0"/>
            <wp:wrapTopAndBottom/>
            <wp:docPr id="275629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29343" name="Picture 2756293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817620"/>
                    </a:xfrm>
                    <a:prstGeom prst="rect">
                      <a:avLst/>
                    </a:prstGeom>
                  </pic:spPr>
                </pic:pic>
              </a:graphicData>
            </a:graphic>
          </wp:anchor>
        </w:drawing>
      </w:r>
    </w:p>
    <w:p w14:paraId="534ECEBE" w14:textId="77777777" w:rsidR="005B7229" w:rsidRDefault="005B7229" w:rsidP="00356D32">
      <w:pPr>
        <w:spacing w:line="360" w:lineRule="auto"/>
        <w:jc w:val="both"/>
        <w:rPr>
          <w:rFonts w:ascii="Times New Roman" w:hAnsi="Times New Roman" w:cs="Times New Roman"/>
          <w:b/>
          <w:bCs/>
          <w:noProof/>
          <w:color w:val="000000" w:themeColor="text1"/>
          <w:sz w:val="36"/>
          <w:szCs w:val="36"/>
        </w:rPr>
      </w:pPr>
    </w:p>
    <w:p w14:paraId="1FF17DC8" w14:textId="411FFE80" w:rsidR="00D31988" w:rsidRDefault="00962E36" w:rsidP="00356D32">
      <w:pPr>
        <w:spacing w:line="360" w:lineRule="auto"/>
        <w:jc w:val="both"/>
        <w:rPr>
          <w:rFonts w:ascii="Times New Roman" w:hAnsi="Times New Roman" w:cs="Times New Roman"/>
          <w:b/>
          <w:bCs/>
          <w:color w:val="000000" w:themeColor="text1"/>
          <w:sz w:val="22"/>
          <w:szCs w:val="22"/>
        </w:rPr>
      </w:pPr>
      <w:r w:rsidRPr="00962E36">
        <w:rPr>
          <w:rFonts w:ascii="Times New Roman" w:hAnsi="Times New Roman" w:cs="Times New Roman"/>
          <w:b/>
          <w:bCs/>
          <w:color w:val="000000" w:themeColor="text1"/>
          <w:sz w:val="22"/>
          <w:szCs w:val="22"/>
        </w:rPr>
        <w:t>Fig</w:t>
      </w:r>
      <w:r w:rsidR="005B7229">
        <w:rPr>
          <w:rFonts w:ascii="Times New Roman" w:hAnsi="Times New Roman" w:cs="Times New Roman"/>
          <w:b/>
          <w:bCs/>
          <w:color w:val="000000" w:themeColor="text1"/>
          <w:sz w:val="22"/>
          <w:szCs w:val="22"/>
        </w:rPr>
        <w:t>.</w:t>
      </w:r>
      <w:r w:rsidRPr="00962E36">
        <w:rPr>
          <w:rFonts w:ascii="Times New Roman" w:hAnsi="Times New Roman" w:cs="Times New Roman"/>
          <w:b/>
          <w:bCs/>
          <w:color w:val="000000" w:themeColor="text1"/>
          <w:sz w:val="22"/>
          <w:szCs w:val="22"/>
        </w:rPr>
        <w:t xml:space="preserve"> S</w:t>
      </w:r>
      <w:r w:rsidR="00B63818">
        <w:rPr>
          <w:rFonts w:ascii="Times New Roman" w:hAnsi="Times New Roman" w:cs="Times New Roman"/>
          <w:b/>
          <w:bCs/>
          <w:color w:val="000000" w:themeColor="text1"/>
          <w:sz w:val="22"/>
          <w:szCs w:val="22"/>
        </w:rPr>
        <w:t>3</w:t>
      </w:r>
      <w:r w:rsidR="005B7229">
        <w:rPr>
          <w:rFonts w:ascii="Times New Roman" w:hAnsi="Times New Roman" w:cs="Times New Roman"/>
          <w:b/>
          <w:bCs/>
          <w:color w:val="000000" w:themeColor="text1"/>
          <w:sz w:val="22"/>
          <w:szCs w:val="22"/>
        </w:rPr>
        <w:t>.</w:t>
      </w:r>
      <w:r w:rsidR="0076066E">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 xml:space="preserve">(A) SHAP values and effect directions of the top 20 </w:t>
      </w:r>
      <w:r w:rsidR="004A2DB9">
        <w:rPr>
          <w:rFonts w:ascii="Times New Roman" w:hAnsi="Times New Roman" w:cs="Times New Roman"/>
          <w:b/>
          <w:bCs/>
          <w:color w:val="000000" w:themeColor="text1"/>
          <w:sz w:val="22"/>
          <w:szCs w:val="22"/>
        </w:rPr>
        <w:t xml:space="preserve">contributing </w:t>
      </w:r>
      <w:proofErr w:type="spellStart"/>
      <w:r w:rsidR="00B41FF8">
        <w:rPr>
          <w:rFonts w:ascii="Times New Roman" w:hAnsi="Times New Roman" w:cs="Times New Roman"/>
          <w:b/>
          <w:bCs/>
          <w:color w:val="000000" w:themeColor="text1"/>
          <w:sz w:val="22"/>
          <w:szCs w:val="22"/>
        </w:rPr>
        <w:t>sDEGs</w:t>
      </w:r>
      <w:proofErr w:type="spellEnd"/>
      <w:r w:rsidR="00356D32" w:rsidRPr="00356D32">
        <w:rPr>
          <w:rFonts w:ascii="Times New Roman" w:hAnsi="Times New Roman" w:cs="Times New Roman"/>
          <w:b/>
          <w:bCs/>
          <w:color w:val="000000" w:themeColor="text1"/>
          <w:sz w:val="22"/>
          <w:szCs w:val="22"/>
        </w:rPr>
        <w:t xml:space="preserve"> in the T2D</w:t>
      </w:r>
      <w:r w:rsidR="005B7229">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machine-learning model.</w:t>
      </w:r>
      <w:r w:rsidR="00356D32">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 xml:space="preserve">(B) SHAP values and effect directions of the top 20 </w:t>
      </w:r>
      <w:r w:rsidR="004A2DB9">
        <w:rPr>
          <w:rFonts w:ascii="Times New Roman" w:hAnsi="Times New Roman" w:cs="Times New Roman"/>
          <w:b/>
          <w:bCs/>
          <w:color w:val="000000" w:themeColor="text1"/>
          <w:sz w:val="22"/>
          <w:szCs w:val="22"/>
        </w:rPr>
        <w:t xml:space="preserve">contributing </w:t>
      </w:r>
      <w:proofErr w:type="spellStart"/>
      <w:r w:rsidR="00B41FF8">
        <w:rPr>
          <w:rFonts w:ascii="Times New Roman" w:hAnsi="Times New Roman" w:cs="Times New Roman"/>
          <w:b/>
          <w:bCs/>
          <w:color w:val="000000" w:themeColor="text1"/>
          <w:sz w:val="22"/>
          <w:szCs w:val="22"/>
        </w:rPr>
        <w:t>sDEGs</w:t>
      </w:r>
      <w:proofErr w:type="spellEnd"/>
      <w:r w:rsidR="00B41FF8" w:rsidRPr="00356D32">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in the TNBC machine-learning model.</w:t>
      </w:r>
      <w:r w:rsidR="00356D32">
        <w:rPr>
          <w:rFonts w:ascii="Times New Roman" w:hAnsi="Times New Roman" w:cs="Times New Roman"/>
          <w:b/>
          <w:bCs/>
          <w:color w:val="000000" w:themeColor="text1"/>
          <w:sz w:val="22"/>
          <w:szCs w:val="22"/>
        </w:rPr>
        <w:t xml:space="preserve"> </w:t>
      </w:r>
      <w:r w:rsidR="00356D32" w:rsidRPr="00356D32">
        <w:rPr>
          <w:rFonts w:ascii="Times New Roman" w:hAnsi="Times New Roman" w:cs="Times New Roman"/>
          <w:b/>
          <w:bCs/>
          <w:color w:val="000000" w:themeColor="text1"/>
          <w:sz w:val="22"/>
          <w:szCs w:val="22"/>
        </w:rPr>
        <w:t>Positive SHAP values indicate a higher likelihood of disease status, whereas negative SHAP values indicate a tendency toward the normal (control) state.</w:t>
      </w:r>
    </w:p>
    <w:p w14:paraId="6584AE58" w14:textId="77777777" w:rsidR="00B63818" w:rsidRDefault="00B63818" w:rsidP="00356D32">
      <w:pPr>
        <w:spacing w:line="360" w:lineRule="auto"/>
        <w:jc w:val="both"/>
        <w:rPr>
          <w:rFonts w:ascii="Times New Roman" w:hAnsi="Times New Roman" w:cs="Times New Roman"/>
          <w:b/>
          <w:bCs/>
          <w:color w:val="000000" w:themeColor="text1"/>
          <w:sz w:val="22"/>
          <w:szCs w:val="22"/>
        </w:rPr>
      </w:pPr>
    </w:p>
    <w:p w14:paraId="51FA9BEC" w14:textId="77777777" w:rsidR="00B63818" w:rsidRDefault="00B63818" w:rsidP="00356D32">
      <w:pPr>
        <w:spacing w:line="360" w:lineRule="auto"/>
        <w:jc w:val="both"/>
        <w:rPr>
          <w:rFonts w:ascii="Times New Roman" w:hAnsi="Times New Roman" w:cs="Times New Roman"/>
          <w:b/>
          <w:bCs/>
          <w:color w:val="000000" w:themeColor="text1"/>
          <w:sz w:val="22"/>
          <w:szCs w:val="22"/>
        </w:rPr>
      </w:pPr>
    </w:p>
    <w:p w14:paraId="2E1443C5" w14:textId="77777777" w:rsidR="00B63818" w:rsidRDefault="00B63818" w:rsidP="00356D32">
      <w:pPr>
        <w:spacing w:line="360" w:lineRule="auto"/>
        <w:jc w:val="both"/>
        <w:rPr>
          <w:rFonts w:ascii="Times New Roman" w:hAnsi="Times New Roman" w:cs="Times New Roman"/>
          <w:b/>
          <w:bCs/>
          <w:color w:val="000000" w:themeColor="text1"/>
          <w:sz w:val="22"/>
          <w:szCs w:val="22"/>
        </w:rPr>
      </w:pPr>
    </w:p>
    <w:p w14:paraId="62093BD3" w14:textId="77777777" w:rsidR="00B63818" w:rsidRDefault="00B63818" w:rsidP="00356D32">
      <w:pPr>
        <w:spacing w:line="360" w:lineRule="auto"/>
        <w:jc w:val="both"/>
        <w:rPr>
          <w:rFonts w:ascii="Times New Roman" w:hAnsi="Times New Roman" w:cs="Times New Roman"/>
          <w:b/>
          <w:bCs/>
          <w:color w:val="000000" w:themeColor="text1"/>
          <w:sz w:val="22"/>
          <w:szCs w:val="22"/>
        </w:rPr>
      </w:pPr>
    </w:p>
    <w:p w14:paraId="662FD88D" w14:textId="77777777" w:rsidR="00B63818" w:rsidRDefault="00B63818" w:rsidP="00356D32">
      <w:pPr>
        <w:spacing w:line="360" w:lineRule="auto"/>
        <w:jc w:val="both"/>
        <w:rPr>
          <w:rFonts w:ascii="Times New Roman" w:hAnsi="Times New Roman" w:cs="Times New Roman"/>
          <w:b/>
          <w:bCs/>
          <w:color w:val="000000" w:themeColor="text1"/>
          <w:sz w:val="22"/>
          <w:szCs w:val="22"/>
        </w:rPr>
      </w:pPr>
    </w:p>
    <w:p w14:paraId="6307E6D4" w14:textId="77777777" w:rsidR="005B7229" w:rsidRDefault="005B7229" w:rsidP="00356D32">
      <w:pPr>
        <w:spacing w:line="360" w:lineRule="auto"/>
        <w:jc w:val="both"/>
        <w:rPr>
          <w:rFonts w:ascii="Times New Roman" w:hAnsi="Times New Roman" w:cs="Times New Roman"/>
          <w:b/>
          <w:bCs/>
          <w:color w:val="000000" w:themeColor="text1"/>
          <w:sz w:val="22"/>
          <w:szCs w:val="22"/>
        </w:rPr>
      </w:pPr>
    </w:p>
    <w:p w14:paraId="3AA5FC79" w14:textId="77777777" w:rsidR="00B63818" w:rsidRPr="00356D32" w:rsidRDefault="00B63818" w:rsidP="00356D32">
      <w:pPr>
        <w:spacing w:line="360" w:lineRule="auto"/>
        <w:jc w:val="both"/>
        <w:rPr>
          <w:rFonts w:ascii="Times New Roman" w:hAnsi="Times New Roman" w:cs="Times New Roman"/>
          <w:b/>
          <w:bCs/>
          <w:color w:val="000000" w:themeColor="text1"/>
          <w:sz w:val="22"/>
          <w:szCs w:val="22"/>
        </w:rPr>
      </w:pPr>
    </w:p>
    <w:p w14:paraId="0E731296" w14:textId="77777777" w:rsidR="00D31988" w:rsidRPr="001E7569" w:rsidRDefault="00D31988" w:rsidP="00433BFC">
      <w:pPr>
        <w:jc w:val="center"/>
        <w:rPr>
          <w:rFonts w:ascii="Times New Roman" w:hAnsi="Times New Roman" w:cs="Times New Roman"/>
          <w:b/>
          <w:bCs/>
          <w:sz w:val="32"/>
          <w:szCs w:val="32"/>
          <w:u w:val="single"/>
        </w:rPr>
      </w:pPr>
      <w:r w:rsidRPr="001E7569">
        <w:rPr>
          <w:rFonts w:ascii="Times New Roman" w:hAnsi="Times New Roman" w:cs="Times New Roman"/>
          <w:b/>
          <w:bCs/>
          <w:sz w:val="32"/>
          <w:szCs w:val="32"/>
          <w:u w:val="single"/>
        </w:rPr>
        <w:lastRenderedPageBreak/>
        <w:t>Supporting Tables</w:t>
      </w:r>
    </w:p>
    <w:tbl>
      <w:tblPr>
        <w:tblStyle w:val="GridTable1Light-Accent61"/>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306"/>
      </w:tblGrid>
      <w:tr w:rsidR="00D31988" w:rsidRPr="001E7569" w14:paraId="6DCE2E49" w14:textId="77777777" w:rsidTr="00FC2105">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9566" w:type="dxa"/>
            <w:gridSpan w:val="2"/>
            <w:tcBorders>
              <w:top w:val="nil"/>
              <w:left w:val="nil"/>
              <w:bottom w:val="single" w:sz="4" w:space="0" w:color="auto"/>
              <w:right w:val="nil"/>
            </w:tcBorders>
          </w:tcPr>
          <w:p w14:paraId="6F9CCF6B" w14:textId="29232DA8" w:rsidR="00D31988" w:rsidRPr="001E7569" w:rsidRDefault="00D31988" w:rsidP="00D31988">
            <w:pPr>
              <w:jc w:val="both"/>
              <w:rPr>
                <w:rFonts w:ascii="Times New Roman" w:eastAsia="Calibri" w:hAnsi="Times New Roman" w:cs="Times New Roman"/>
              </w:rPr>
            </w:pPr>
            <w:bookmarkStart w:id="4" w:name="_Hlk215661398"/>
            <w:bookmarkStart w:id="5" w:name="_Hlk124337185"/>
            <w:r w:rsidRPr="001E7569">
              <w:rPr>
                <w:rFonts w:ascii="Times New Roman" w:eastAsia="Calibri" w:hAnsi="Times New Roman" w:cs="Times New Roman"/>
              </w:rPr>
              <w:t>Table S</w:t>
            </w:r>
            <w:r w:rsidR="00852EE0" w:rsidRPr="001E7569">
              <w:rPr>
                <w:rFonts w:ascii="Times New Roman" w:eastAsia="Calibri" w:hAnsi="Times New Roman" w:cs="Times New Roman"/>
              </w:rPr>
              <w:t>1</w:t>
            </w:r>
            <w:r w:rsidRPr="001E7569">
              <w:rPr>
                <w:rFonts w:ascii="Times New Roman" w:eastAsia="Calibri" w:hAnsi="Times New Roman" w:cs="Times New Roman"/>
              </w:rPr>
              <w:t xml:space="preserve">. Collection of type-2 diabetes (T2D) related candidate drug agents from published </w:t>
            </w:r>
            <w:r w:rsidRPr="001E7569">
              <w:rPr>
                <w:rFonts w:ascii="Times New Roman" w:eastAsia="Calibri" w:hAnsi="Times New Roman" w:cs="Times New Roman"/>
                <w:szCs w:val="20"/>
              </w:rPr>
              <w:t xml:space="preserve">articles and </w:t>
            </w:r>
            <w:r w:rsidRPr="001E7569">
              <w:rPr>
                <w:rFonts w:ascii="Times New Roman" w:eastAsia="Calibri" w:hAnsi="Times New Roman" w:cs="Times New Roman"/>
              </w:rPr>
              <w:t>other sources</w:t>
            </w:r>
            <w:bookmarkEnd w:id="4"/>
          </w:p>
        </w:tc>
      </w:tr>
      <w:tr w:rsidR="00D31988" w:rsidRPr="001E7569" w14:paraId="113BE46D" w14:textId="77777777" w:rsidTr="00801559">
        <w:trPr>
          <w:trHeight w:val="363"/>
        </w:trPr>
        <w:tc>
          <w:tcPr>
            <w:cnfStyle w:val="001000000000" w:firstRow="0" w:lastRow="0" w:firstColumn="1" w:lastColumn="0" w:oddVBand="0" w:evenVBand="0" w:oddHBand="0" w:evenHBand="0" w:firstRowFirstColumn="0" w:firstRowLastColumn="0" w:lastRowFirstColumn="0" w:lastRowLastColumn="0"/>
            <w:tcW w:w="1260" w:type="dxa"/>
            <w:tcBorders>
              <w:top w:val="single" w:sz="4" w:space="0" w:color="auto"/>
            </w:tcBorders>
          </w:tcPr>
          <w:p w14:paraId="19D28E73" w14:textId="77777777" w:rsidR="00D31988" w:rsidRPr="001E7569" w:rsidRDefault="00D31988" w:rsidP="00D31988">
            <w:pPr>
              <w:jc w:val="center"/>
              <w:rPr>
                <w:rFonts w:ascii="Times New Roman" w:eastAsia="Calibri" w:hAnsi="Times New Roman" w:cs="Times New Roman"/>
              </w:rPr>
            </w:pPr>
            <w:r w:rsidRPr="001E7569">
              <w:rPr>
                <w:rFonts w:ascii="Times New Roman" w:eastAsia="Calibri" w:hAnsi="Times New Roman" w:cs="Times New Roman"/>
              </w:rPr>
              <w:t>Articles</w:t>
            </w:r>
          </w:p>
        </w:tc>
        <w:tc>
          <w:tcPr>
            <w:tcW w:w="8306" w:type="dxa"/>
            <w:tcBorders>
              <w:top w:val="single" w:sz="4" w:space="0" w:color="auto"/>
            </w:tcBorders>
          </w:tcPr>
          <w:p w14:paraId="3DAF82DB" w14:textId="77777777" w:rsidR="00D31988" w:rsidRPr="001E7569" w:rsidRDefault="00D31988" w:rsidP="00D3198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r w:rsidRPr="001E7569">
              <w:rPr>
                <w:rFonts w:ascii="Times New Roman" w:eastAsia="Calibri" w:hAnsi="Times New Roman" w:cs="Times New Roman"/>
                <w:b/>
              </w:rPr>
              <w:t>Drug agents</w:t>
            </w:r>
          </w:p>
        </w:tc>
      </w:tr>
      <w:tr w:rsidR="00D31988" w:rsidRPr="001E7569" w14:paraId="27C253F5" w14:textId="77777777" w:rsidTr="00801559">
        <w:trPr>
          <w:trHeight w:val="423"/>
        </w:trPr>
        <w:tc>
          <w:tcPr>
            <w:cnfStyle w:val="001000000000" w:firstRow="0" w:lastRow="0" w:firstColumn="1" w:lastColumn="0" w:oddVBand="0" w:evenVBand="0" w:oddHBand="0" w:evenHBand="0" w:firstRowFirstColumn="0" w:firstRowLastColumn="0" w:lastRowFirstColumn="0" w:lastRowLastColumn="0"/>
            <w:tcW w:w="1260" w:type="dxa"/>
          </w:tcPr>
          <w:p w14:paraId="41B6ED68" w14:textId="3C68D600"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{"citationItems":[{"id":"ITEM-1","itemData":{"DOI":"10.1016/S2213-8587(15)00462-3","ISSN":"22138595","PMID":"26809680","abstract":"The multivariable and progressive natural history of type 2 diabetes limits the effectiveness of available glucose-lowering drugs. Constraints imposed by comorbidities (notably cardiovascular disease and renal impairment) and the need to avoid hypoglycaemia, weight gain, and drug interactions further complicate the treatment process. These challenges have prompted the development of new formulations and delivery methods for existing drugs alongside research into novel pharmacological entities. Advances in incretin-based therapies include a miniature implantable osmotic pump to give continuous delivery of a glucagon-like peptide-1 receptor agonist for 6-12 months and once-weekly tablets of dipeptidyl peptidase-4 inhibitors. Hybrid molecules that combine the properties of selected incretins and other peptides are at early stages of development, and proof of concept has been shown for small non-peptide molecules to activate glucagon-like peptide-1 receptors. Additional sodium-glucose co-transporter inhibitors are progressing in development as well as possible new insulin-releasing biological agents and small-molecule inhibitors of glucagon action. Adiponectin receptor agonists, selective peroxisome proliferator-activated receptor modulators, cellular glucocorticoid inhibitors, and analogues of fibroblast growth factor 21 are being considered as potential new approaches to glucose lowering. Compounds that can enhance insulin receptor and post-receptor signalling cascades or directly promote selected pathways of glucose metabolism have suggested opportunities for future treatments. However, pharmacological interventions that are able to restore normal β-cell function and β-cell mass, normalise insulin action, and fully correct glucose homoeostasis are a distant vision.","author":[{"dropping-particle":"","family":"Bailey","given":"Clifford J.","non-dropping-particle":"","parse-names":false,"suffix":""},{"dropping-particle":"","family":"Tahrani","given":"Abd A.","non-dropping-particle":"","parse-names":false,"suffix":""},{"dropping-particle":"","family":"Barnett","given":"Anthony H.","non-dropping-particle":"","parse-names":false,"suffix":""}],"container-title":"The Lancet Diabetes and Endocrinology","id":"ITEM-1","issue":"4","issued":{"date-parts":[["2016"]]},"page":"350-359","title":"Future glucose-lowering drugs for type 2 diabetes","type":"article-journal","volume":"4"},"uris":["http://www.mendeley.com/documents/?uuid=a5d1204e-73ee-4a96-bb51-d0c43bd1d8b9"]}],"mendeley":{"formattedCitation":"[4]","plainTextFormattedCitation":"[4]","previouslyFormattedCitation":"[3]"},"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[4]</w:t>
            </w:r>
            <w:r w:rsidRPr="001E7569">
              <w:rPr>
                <w:rFonts w:ascii="Times New Roman" w:eastAsia="Noto Sans CJK SC" w:hAnsi="Times New Roman" w:cs="Times New Roman"/>
                <w:lang w:eastAsia="zh-CN" w:bidi="hi-IN"/>
              </w:rPr>
              <w:fldChar w:fldCharType="end"/>
            </w:r>
          </w:p>
        </w:tc>
        <w:tc>
          <w:tcPr>
            <w:tcW w:w="8306" w:type="dxa"/>
          </w:tcPr>
          <w:p w14:paraId="21BE9762"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Alogliptin, </w:t>
            </w:r>
            <w:proofErr w:type="spellStart"/>
            <w:r w:rsidRPr="001E7569">
              <w:rPr>
                <w:rFonts w:ascii="Times New Roman" w:eastAsia="Noto Sans CJK SC" w:hAnsi="Times New Roman" w:cs="Times New Roman"/>
                <w:lang w:eastAsia="zh-CN" w:bidi="hi-IN"/>
              </w:rPr>
              <w:t>Saxagliptin</w:t>
            </w:r>
            <w:proofErr w:type="spellEnd"/>
            <w:r w:rsidRPr="001E7569">
              <w:rPr>
                <w:rFonts w:ascii="Times New Roman" w:eastAsia="Noto Sans CJK SC" w:hAnsi="Times New Roman" w:cs="Times New Roman"/>
                <w:lang w:eastAsia="zh-CN" w:bidi="hi-IN"/>
              </w:rPr>
              <w:t xml:space="preserve">, Sitagliptin, Lixisenatide, </w:t>
            </w:r>
            <w:proofErr w:type="spellStart"/>
            <w:r w:rsidRPr="001E7569">
              <w:rPr>
                <w:rFonts w:ascii="Times New Roman" w:eastAsia="Noto Sans CJK SC" w:hAnsi="Times New Roman" w:cs="Times New Roman"/>
                <w:lang w:eastAsia="zh-CN" w:bidi="hi-IN"/>
              </w:rPr>
              <w:t>Empaglifl</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ozin</w:t>
            </w:r>
            <w:proofErr w:type="spellEnd"/>
            <w:r w:rsidRPr="001E7569">
              <w:rPr>
                <w:rFonts w:ascii="Times New Roman" w:eastAsia="Noto Sans CJK SC" w:hAnsi="Times New Roman" w:cs="Times New Roman"/>
                <w:lang w:eastAsia="zh-CN" w:bidi="hi-IN"/>
              </w:rPr>
              <w:t xml:space="preserve">, Liraglutide, </w:t>
            </w:r>
            <w:proofErr w:type="spellStart"/>
            <w:r w:rsidRPr="001E7569">
              <w:rPr>
                <w:rFonts w:ascii="Times New Roman" w:eastAsia="Noto Sans CJK SC" w:hAnsi="Times New Roman" w:cs="Times New Roman"/>
                <w:lang w:eastAsia="zh-CN" w:bidi="hi-IN"/>
              </w:rPr>
              <w:t>Canaglifl</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ozin</w:t>
            </w:r>
            <w:proofErr w:type="spellEnd"/>
            <w:r w:rsidRPr="001E7569">
              <w:rPr>
                <w:rFonts w:ascii="Times New Roman" w:eastAsia="Noto Sans CJK SC" w:hAnsi="Times New Roman" w:cs="Times New Roman"/>
                <w:lang w:eastAsia="zh-CN" w:bidi="hi-IN"/>
              </w:rPr>
              <w:t xml:space="preserve">, Exenatide, Linagliptin, </w:t>
            </w:r>
            <w:proofErr w:type="spellStart"/>
            <w:r w:rsidRPr="001E7569">
              <w:rPr>
                <w:rFonts w:ascii="Times New Roman" w:eastAsia="Noto Sans CJK SC" w:hAnsi="Times New Roman" w:cs="Times New Roman"/>
                <w:lang w:eastAsia="zh-CN" w:bidi="hi-IN"/>
              </w:rPr>
              <w:t>Dapaglifl</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ozin</w:t>
            </w:r>
            <w:proofErr w:type="spellEnd"/>
            <w:r w:rsidRPr="001E7569">
              <w:rPr>
                <w:rFonts w:ascii="Times New Roman" w:eastAsia="Noto Sans CJK SC" w:hAnsi="Times New Roman" w:cs="Times New Roman"/>
                <w:lang w:eastAsia="zh-CN" w:bidi="hi-IN"/>
              </w:rPr>
              <w:t>, Dulaglutide, Acarbose</w:t>
            </w:r>
          </w:p>
        </w:tc>
      </w:tr>
      <w:tr w:rsidR="00D31988" w:rsidRPr="001E7569" w14:paraId="3AFF8D33"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651BB12C" w14:textId="44ACBBA0"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{"citationItems":[{"id":"ITEM-1","itemData":{"DOI":"10.2165/00003495-200868150-00005","ISSN":"0012-6667","abstract":"Oral therapy for type 2 diabetes mellitus, when used appropriately, can safely assist patients to achieve glycaemic targets in the short to medium term. However, the progressive nature of type 2 diabetes usually requires a combination of two or more oral agents in the longer term, often as a prelude to insulin therapy. Issues of safety and tolerability, notably weight gain, often limit the optimal application of anti-diabetic drugs such as sulfonylureas and thiazolidinediones. Moreover, the impact of different drugs, even within a single class, on the risk of long-term vascular complications has come under scrutiny. For example, recent publication of evidence suggesting potential detrimental effects of rosiglitazone on myocardial events generated a heated debate and led to a reduction in use of this drug. In contrast, current evidence supports the view that pioglitazone has vasculoprotective properties. Both drugs are contraindicated in patients who are at risk of heart failure. An additional recently identified safety concern is an increased risk of fractures, especially in postmenopausal women. Several new drugs with glucose-lowering efficacy that may offer certain advantages have recently become available. These include (i) injectable glucagon-like peptide-1 (GLP-1) receptor agonists and oral dipeptidyl peptidase-4 (DPP-4) inhibitors; (ii) the amylin analogue pramlintide; and (iii) selective cannabinoid receptor-1 (CB1) antagonists. GLP-1 receptor agonists, such as exenatide, stimulate nutrient-induced insulin secretion and reduce inappropriate glucagon secretion while delaying gastric emptying and reducing appetite. These agents offer a low risk of hypoglycaemia combined with sustained weight loss. The DPP-4 inhibitors sitagliptin and vildagliptin are generally weight neutral, with less marked gastrointestinal adverse effects than the GLP-1 receptor agonists. Potential benefits of GLP-1 receptor stimulation on β cell neogenesis are under investigation. Pancreatitis has been reported in exenatide-treated patients. Pramlintide, an injected peptide used in combination with insulin, can reduce insulin dose and body weight. The CB1 receptor antagonist rimonabant promotes weight loss and has favourable effects on aspects of the metabolic syndrome, including the hyperglycaemia of type 2 diabetes. However, in 2007 the US FDA declined approval of rimonabant, requiring more data on adverse effects, notably depression. The future of dual peroxisome proliferato…","author":[{"dropping-particle":"","family":"Krentz","given":"Andrew J","non-dropping-particle":"","parse-names":false,"suffix":""},{"dropping-particle":"","family":"Patel","given":"Mayank B","non-dropping-particle":"","parse-names":false,"suffix":""},{"dropping-particle":"","family":"Bailey","given":"Clifford J","non-dropping-particle":"","parse-names":false,"suffix":""}],"container-title":"Drugs","id":"ITEM-1","issue":"15","issued":{"date-parts":[["2008"]]},"page":"2131-2162","title":"New Drugs for Type 2 Diabetes Mellitus","type":"article-journal","volume":"68"},"uris":["http://www.mendeley.com/documents/?uuid=64e792a3-b398-4d05-9cb4-3df90b1b6567"]}],"mendeley":{"formattedCitation":"[5]","plainTextFormattedCitation":"[5]","previouslyFormattedCitation":"[4]"},"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[5]</w:t>
            </w:r>
            <w:r w:rsidRPr="001E7569">
              <w:rPr>
                <w:rFonts w:ascii="Times New Roman" w:eastAsia="Noto Sans CJK SC" w:hAnsi="Times New Roman" w:cs="Times New Roman"/>
                <w:lang w:eastAsia="zh-CN" w:bidi="hi-IN"/>
              </w:rPr>
              <w:fldChar w:fldCharType="end"/>
            </w:r>
          </w:p>
        </w:tc>
        <w:tc>
          <w:tcPr>
            <w:tcW w:w="8306" w:type="dxa"/>
          </w:tcPr>
          <w:p w14:paraId="7268D6A6"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Sulfonylureas, Meglitinides, Metformin, Thiazolidinediones, α-Glucosidase, </w:t>
            </w:r>
            <w:proofErr w:type="spellStart"/>
            <w:r w:rsidRPr="001E7569">
              <w:rPr>
                <w:rFonts w:ascii="Times New Roman" w:eastAsia="Noto Sans CJK SC" w:hAnsi="Times New Roman" w:cs="Times New Roman"/>
                <w:lang w:eastAsia="zh-CN" w:bidi="hi-IN"/>
              </w:rPr>
              <w:t>nhibitors</w:t>
            </w:r>
            <w:proofErr w:type="spellEnd"/>
            <w:r w:rsidRPr="001E7569">
              <w:rPr>
                <w:rFonts w:ascii="Times New Roman" w:eastAsia="Noto Sans CJK SC" w:hAnsi="Times New Roman" w:cs="Times New Roman"/>
                <w:lang w:eastAsia="zh-CN" w:bidi="hi-IN"/>
              </w:rPr>
              <w:t>, Insulin</w:t>
            </w:r>
          </w:p>
        </w:tc>
      </w:tr>
      <w:tr w:rsidR="00D31988" w:rsidRPr="001E7569" w14:paraId="744A8572"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78D8B0C5" w14:textId="16DCC145"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{"citationItems":[{"id":"ITEM-1","itemData":{"DOI":"10.1111/j.1463-1326.2011.01512.x","ISSN":"14631326","PMID":"21958121","abstract":"Aim: We assessed the efficacy of eight classes of diabetes medications used in current clinical practice [metformin, sulphonylureas, α-glucosidase inhibitors, thiazolidinediones, glinides, dipeptidyl peptidase-4 inhibitors, glucagon-like peptide-1 (GLP-1) analogues and insulin analogues] to reach the HbA1c target &lt;7% in type 2 diabetes. Methods: MEDLINE, EMBASE and the Cochrane CENTRAL were searched from inception through April 2011 for randomized controlled trials (RCTs) involving antidiabetic drugs. RCTs had to report the effect of any diabetes medication on the HbA1c levels, to include at least 30 subjects in every arm of the study, and to report the effect of therapy after a minimum of 12 weeks. Data were summarized across studies using random-effects meta-regression. Results: A total of 218 RCTs (339 arms and 77 950 patients) met the inclusion criteria. The proportion of patients who achieved the HbA1c goal ranged from 25.9% (95% CI 18.5-34.9) with α-glucosidase inhibitors to 63.2% (54.1-71.5) with the long-acting GLP-1 analogue. There was a progressive decrease of the proportion of patients at target for each 0.5% increase in baseline HbA1c, ranging from 57.8% for HbA1c ≤7.5% to 20.8% for HbA1c ≥10% (p for trend &lt;0.0001), with some difference between insulin and non-insulin drugs: for insulin, the proportion of patients at goal reached a plateau for basal HbA1c value &gt;9.0% with no further decrease, whereas for non-insulin drugs the relationship was continuous without any evidence of plateau. Conclusions: There is a considerable variability with regard to attainment of HbA1c goal of &lt;7% among the different classes of diabetes medications; baseline HbA1c is an important determinant of observed efficacy. © 2011 Blackwell Publishing Ltd.","author":[{"dropping-particle":"","family":"Esposito","given":"K.","non-dropping-particle":"","parse-names":false,"suffix":""},{"dropping-particle":"","family":"Chiodini","given":"P.","non-dropping-particle":"","parse-names":false,"suffix":""},{"dropping-particle":"","family":"Bellastella","given":"G.","non-dropping-particle":"","parse-names":false,"suffix":""},{"dropping-particle":"","family":"Maiorino","given":"M. I.","non-dropping-particle":"","parse-names":false,"suffix":""},{"dropping-particle":"","family":"Giugliano","given":"D.","non-dropping-particle":"","parse-names":false,"suffix":""}],"container-title":"Diabetes, Obesity and Metabolism","id":"ITEM-1","issue":"3","issued":{"date-parts":[["2012"]]},"page":"228-233","title":"Proportion of patients at HbA1c target &lt;7% with eight classes of antidiabetic drugs in type 2 diabetes: Systematic review of 218 randomized controlled trials with 78 945 patients","type":"article-journal","volume":"14"},"uris":["http://www.mendeley.com/documents/?uuid=1cdb925a-7b50-4e66-bf69-dc643c07facc"]}],"mendeley":{"formattedCitation":"[6]","plainTextFormattedCitation":"[6]","previouslyFormattedCitation":"[5]"},"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[6]</w:t>
            </w:r>
            <w:r w:rsidRPr="001E7569">
              <w:rPr>
                <w:rFonts w:ascii="Times New Roman" w:eastAsia="Noto Sans CJK SC" w:hAnsi="Times New Roman" w:cs="Times New Roman"/>
                <w:lang w:eastAsia="zh-CN" w:bidi="hi-IN"/>
              </w:rPr>
              <w:fldChar w:fldCharType="end"/>
            </w:r>
          </w:p>
        </w:tc>
        <w:tc>
          <w:tcPr>
            <w:tcW w:w="8306" w:type="dxa"/>
          </w:tcPr>
          <w:p w14:paraId="2C026E34" w14:textId="129A7ACD"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Basal, Biphasic, Prandial, Basal bolus, GLP-1 agonists, Exenatide LAR, DPP-4 </w:t>
            </w:r>
            <w:r w:rsidR="00B231D5" w:rsidRPr="001E7569">
              <w:rPr>
                <w:rFonts w:ascii="Times New Roman" w:eastAsia="Noto Sans CJK SC" w:hAnsi="Times New Roman" w:cs="Times New Roman"/>
                <w:lang w:eastAsia="zh-CN" w:bidi="hi-IN"/>
              </w:rPr>
              <w:t>inhibitors, AGI</w:t>
            </w:r>
            <w:r w:rsidRPr="001E7569">
              <w:rPr>
                <w:rFonts w:ascii="Times New Roman" w:eastAsia="Noto Sans CJK SC" w:hAnsi="Times New Roman" w:cs="Times New Roman"/>
                <w:lang w:eastAsia="zh-CN" w:bidi="hi-IN"/>
              </w:rPr>
              <w:t xml:space="preserve">, Thiazolidinediones, </w:t>
            </w:r>
            <w:proofErr w:type="spellStart"/>
            <w:r w:rsidRPr="001E7569">
              <w:rPr>
                <w:rFonts w:ascii="Times New Roman" w:eastAsia="Noto Sans CJK SC" w:hAnsi="Times New Roman" w:cs="Times New Roman"/>
                <w:lang w:eastAsia="zh-CN" w:bidi="hi-IN"/>
              </w:rPr>
              <w:t>Sulphonylureas</w:t>
            </w:r>
            <w:proofErr w:type="spellEnd"/>
            <w:r w:rsidRPr="001E7569">
              <w:rPr>
                <w:rFonts w:ascii="Times New Roman" w:eastAsia="Noto Sans CJK SC" w:hAnsi="Times New Roman" w:cs="Times New Roman"/>
                <w:lang w:eastAsia="zh-CN" w:bidi="hi-IN"/>
              </w:rPr>
              <w:t>, Glinides, Metformin</w:t>
            </w:r>
          </w:p>
        </w:tc>
      </w:tr>
      <w:tr w:rsidR="00D31988" w:rsidRPr="001E7569" w14:paraId="08021F69"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69EE6E55" w14:textId="554EA91F"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noProof/>
                <w:lang w:eastAsia="zh-CN" w:bidi="hi-IN"/>
              </w:rPr>
              <w:fldChar w:fldCharType="begin" w:fldLock="1"/>
            </w:r>
            <w:r w:rsidR="00356D32">
              <w:rPr>
                <w:rFonts w:ascii="Times New Roman" w:eastAsia="Noto Sans CJK SC" w:hAnsi="Times New Roman" w:cs="Times New Roman"/>
                <w:noProof/>
                <w:lang w:eastAsia="zh-CN" w:bidi="hi-IN"/>
              </w:rPr>
              <w:instrText>ADDIN CSL_CITATION {"citationItems":[{"id":"ITEM-1","itemData":{"DOI":"10.2165/00003495-200868150-00005","ISSN":"0012-6667","abstract":"Oral therapy for type 2 diabetes mellitus, when used appropriately, can safely assist patients to achieve glycaemic targets in the short to medium term. However, the progressive nature of type 2 diabetes usually requires a combination of two or more oral agents in the longer term, often as a prelude to insulin therapy. Issues of safety and tolerability, notably weight gain, often limit the optimal application of anti-diabetic drugs such as sulfonylureas and thiazolidinediones. Moreover, the impact of different drugs, even within a single class, on the risk of long-term vascular complications has come under scrutiny. For example, recent publication of evidence suggesting potential detrimental effects of rosiglitazone on myocardial events generated a heated debate and led to a reduction in use of this drug. In contrast, current evidence supports the view that pioglitazone has vasculoprotective properties. Both drugs are contraindicated in patients who are at risk of heart failure. An additional recently identified safety concern is an increased risk of fractures, especially in postmenopausal women. Several new drugs with glucose-lowering efficacy that may offer certain advantages have recently become available. These include (i) injectable glucagon-like peptide-1 (GLP-1) receptor agonists and oral dipeptidyl peptidase-4 (DPP-4) inhibitors; (ii) the amylin analogue pramlintide; and (iii) selective cannabinoid receptor-1 (CB1) antagonists. GLP-1 receptor agonists, such as exenatide, stimulate nutrient-induced insulin secretion and reduce inappropriate glucagon secretion while delaying gastric emptying and reducing appetite. These agents offer a low risk of hypoglycaemia combined with sustained weight loss. The DPP-4 inhibitors sitagliptin and vildagliptin are generally weight neutral, with less marked gastrointestinal adverse effects than the GLP-1 receptor agonists. Potential benefits of GLP-1 receptor stimulation on β cell neogenesis are under investigation. Pancreatitis has been reported in exenatide-treated patients. Pramlintide, an injected peptide used in combination with insulin, can reduce insulin dose and body weight. The CB1 receptor antagonist rimonabant promotes weight loss and has favourable effects on aspects of the metabolic syndrome, including the hyperglycaemia of type 2 diabetes. However, in 2007 the US FDA declined approval of rimonabant, requiring more data on adverse effects, notably depression. The future of dual peroxisome proliferato…","author":[{"dropping-particle":"","family":"Krentz","given":"Andrew J","non-dropping-particle":"","parse-names":false,"suffix":""},{"dropping-particle":"","family":"Patel","given":"Mayank B","non-dropping-particle":"","parse-names":false,"suffix":""},{"dropping-particle":"","family":"Bailey","given":"Clifford J","non-dropping-particle":"","parse-names":false,"suffix":""}],"container-title":"Drugs","id":"ITEM-1","issue":"15","issued":{"date-parts":[["2008"]]},"page":"2131-2162","title":"New Drugs for Type 2 Diabetes Mellitus","type":"article-journal","volume":"68"},"uris":["http://www.mendeley.com/documents/?uuid=64e792a3-b398-4d05-9cb4-3df90b1b6567"]}],"mendeley":{"formattedCitation":"[5]","plainTextFormattedCitation":"[5]","previouslyFormattedCitation":"[4]"},"properties":{"noteIndex":0},"schema":"https://github.com/citation-style-language/schema/raw/master/csl-citation.json"}</w:instrText>
            </w:r>
            <w:r w:rsidRPr="001E7569">
              <w:rPr>
                <w:rFonts w:ascii="Times New Roman" w:eastAsia="Noto Sans CJK SC" w:hAnsi="Times New Roman" w:cs="Times New Roman"/>
                <w:noProof/>
                <w:lang w:eastAsia="zh-CN" w:bidi="hi-IN"/>
              </w:rPr>
              <w:fldChar w:fldCharType="separate"/>
            </w:r>
            <w:r w:rsidR="00356D32" w:rsidRPr="00356D32">
              <w:rPr>
                <w:rFonts w:ascii="Times New Roman" w:eastAsia="Noto Sans CJK SC" w:hAnsi="Times New Roman" w:cs="Times New Roman"/>
                <w:b w:val="0"/>
                <w:noProof/>
                <w:lang w:eastAsia="zh-CN" w:bidi="hi-IN"/>
              </w:rPr>
              <w:t>[5]</w:t>
            </w:r>
            <w:r w:rsidRPr="001E7569">
              <w:rPr>
                <w:rFonts w:ascii="Times New Roman" w:eastAsia="Noto Sans CJK SC" w:hAnsi="Times New Roman" w:cs="Times New Roman"/>
                <w:noProof/>
                <w:lang w:eastAsia="zh-CN" w:bidi="hi-IN"/>
              </w:rPr>
              <w:fldChar w:fldCharType="end"/>
            </w:r>
          </w:p>
        </w:tc>
        <w:tc>
          <w:tcPr>
            <w:tcW w:w="8306" w:type="dxa"/>
          </w:tcPr>
          <w:p w14:paraId="7B0B9FE5" w14:textId="6B4F308A" w:rsidR="00D31988" w:rsidRPr="001E7569" w:rsidRDefault="00B231D5"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Insulin,</w:t>
            </w:r>
            <w:r w:rsidR="00D31988"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Sulphonylureas</w:t>
            </w:r>
            <w:proofErr w:type="spellEnd"/>
            <w:r w:rsidRPr="001E7569">
              <w:rPr>
                <w:rFonts w:ascii="Times New Roman" w:eastAsia="Noto Sans CJK SC" w:hAnsi="Times New Roman" w:cs="Times New Roman"/>
                <w:lang w:eastAsia="zh-CN" w:bidi="hi-IN"/>
              </w:rPr>
              <w:t>, Metformin</w:t>
            </w:r>
            <w:r w:rsidR="00D31988" w:rsidRPr="001E7569">
              <w:rPr>
                <w:rFonts w:ascii="Times New Roman" w:eastAsia="Noto Sans CJK SC" w:hAnsi="Times New Roman" w:cs="Times New Roman"/>
                <w:lang w:eastAsia="zh-CN" w:bidi="hi-IN"/>
              </w:rPr>
              <w:t>, Acarbose, Pioglitazone, rosiglitazone</w:t>
            </w:r>
          </w:p>
        </w:tc>
      </w:tr>
      <w:tr w:rsidR="00D31988" w:rsidRPr="001E7569" w14:paraId="6AC46B29"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547BC580" w14:textId="6FBE7C32"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{"citationItems":[{"id":"ITEM-1","itemData":{"ISSN":"0012-6667","abstract":"Several new pharmacological agents have recently been developed to optimise the management of type 2 (non-insulin-dependent) diabetes mellitus. The aim of this article is to briefly review the various therapeutic agents available for management of patients with type 2 diabetes mellitus and to suggest a potential approach to drug selection. There are three general therapeutic modalities relevant to diabetes care. The first modality is lifestyle adjusments aimed at improving endogenous insulin sensitivity or insulin effect. This can be achieved by increased physical activity and bodyweight reduction with diet and behavioural modification, and the use of pharmacological agents or surgery. This first modality is not discussed in depth in this article. The second modality involves increasing insulin availability by the administration of exogenous insulin, insulin analogues, sulphonylureas and the new insulin secretagogue, repaglinide. The most frequently encountered adverse effect of these agents is hypoglycaemia. Bodyweight gain can also be a concern, especially in patients who are obese. The association between hyperinsulinaemia and premature atherosclerosis is still a debatable question. The third modality consists of agents such as biguanides and thiazolidinediones which enhance insulin sensitivity, or agents that decrease insulin requirements like the α-glucosidase inhibitors. Type 2 diabetes mellitus is a heterogenous disease with multiple underlying pathophysiological processes. Therapy should be individualised based on the degree of hyperglycaemia, hyperinsulinaemia or insulin deficiency. In addition, several factors have to be considered when prescribing a specific therapeutic agent. These factors include efficacy, safety, affordability and ease of administration.","author":[{"dropping-particle":"","family":"J.M.","given":"Chehade","non-dropping-particle":"","parse-names":false,"suffix":""},{"dropping-particle":"","family":"A.D.","given":"Mooradian","non-dropping-particle":"","parse-names":false,"suffix":""}],"container-title":"Drugs","id":"ITEM-1","issue":"1","issued":{"date-parts":[["2000"]]},"page":"95-113","title":"A rational approach to drug therapy of type 2 diabetes mellitus","type":"article-journal","volume":"60"},"uris":["http://www.mendeley.com/documents/?uuid=de8b54f6-56e3-400c-88b1-4ed089a88212"]}],"mendeley":{"formattedCitation":"[7]","plainTextFormattedCitation":"[7]","previouslyFormattedCitation":"[6]"},"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[7]</w:t>
            </w:r>
            <w:r w:rsidRPr="001E7569">
              <w:rPr>
                <w:rFonts w:ascii="Times New Roman" w:eastAsia="Noto Sans CJK SC" w:hAnsi="Times New Roman" w:cs="Times New Roman"/>
                <w:lang w:eastAsia="zh-CN" w:bidi="hi-IN"/>
              </w:rPr>
              <w:fldChar w:fldCharType="end"/>
            </w:r>
          </w:p>
        </w:tc>
        <w:tc>
          <w:tcPr>
            <w:tcW w:w="8306" w:type="dxa"/>
          </w:tcPr>
          <w:p w14:paraId="2B54AED8"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Acetohexamide, </w:t>
            </w:r>
            <w:proofErr w:type="spellStart"/>
            <w:r w:rsidRPr="001E7569">
              <w:rPr>
                <w:rFonts w:ascii="Times New Roman" w:eastAsia="Noto Sans CJK SC" w:hAnsi="Times New Roman" w:cs="Times New Roman"/>
                <w:lang w:eastAsia="zh-CN" w:bidi="hi-IN"/>
              </w:rPr>
              <w:t>olbutamide</w:t>
            </w:r>
            <w:proofErr w:type="spellEnd"/>
            <w:r w:rsidRPr="001E7569">
              <w:rPr>
                <w:rFonts w:ascii="Times New Roman" w:eastAsia="Noto Sans CJK SC" w:hAnsi="Times New Roman" w:cs="Times New Roman"/>
                <w:lang w:eastAsia="zh-CN" w:bidi="hi-IN"/>
              </w:rPr>
              <w:t xml:space="preserve">, Chlorpropamide, Tolazamide, Glipizide, Glipizide, Glyburide, Glyburide </w:t>
            </w:r>
            <w:proofErr w:type="spellStart"/>
            <w:r w:rsidRPr="001E7569">
              <w:rPr>
                <w:rFonts w:ascii="Times New Roman" w:eastAsia="Noto Sans CJK SC" w:hAnsi="Times New Roman" w:cs="Times New Roman"/>
                <w:lang w:eastAsia="zh-CN" w:bidi="hi-IN"/>
              </w:rPr>
              <w:t>micronised</w:t>
            </w:r>
            <w:proofErr w:type="spellEnd"/>
            <w:r w:rsidRPr="001E7569">
              <w:rPr>
                <w:rFonts w:ascii="Times New Roman" w:eastAsia="Noto Sans CJK SC" w:hAnsi="Times New Roman" w:cs="Times New Roman"/>
                <w:lang w:eastAsia="zh-CN" w:bidi="hi-IN"/>
              </w:rPr>
              <w:t>, Glimepiride, Gliquidone, Gliclazide</w:t>
            </w:r>
          </w:p>
        </w:tc>
      </w:tr>
      <w:tr w:rsidR="00D31988" w:rsidRPr="001E7569" w14:paraId="76C8F2A0"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0C4FE3CE" w14:textId="34E81451"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{"citationItems":[{"id":"ITEM-1","itemData":{"DOI":"10.1089/dia.2006.8.18","ISSN":"15209156","PMID":"16472047","abstract":"There is a growing body of evidence for the role of inflammation in type 2 diabetes. In addition to the evidence presented elsewhere, evidence is emerging that many drugs that have apparent \"anti-inflammatory\" properties may reduce the incidence and/or delay the onset of type 2 diabetes. Statins have been found to lower inflammatory markers, and a post hoc analysis of the West of Scotland Coronary Prevention Study (WOSCOPS) suggested that pravastatin may reduce the risk of developing diabetes, although the Lipid Lowering Arm of the Anglo-Scandinavian Cardiac Outcomes Trial (ASCOT) found no statistically significant effect of atorvastatin on risk of developing diabetes. Fibrates have been found to lower some markers of inflammation, and a prospective trial found that bezafibrate reduces risk of developing diabetes. Angiotensin converting enzyme (ACE) inhibitors and angiotensin receptor blockers appear to reduce some markers of inflammation, and a meta-analysis concluded that ACE inhibitors and angiotensin receptor blockers reduce risk of developing type 2 diabetes. Metformin is known to reduce the risk of developing diabetes, and more recent evidence suggests it also lowers C-reactive protein, in part because of its modest weight-reducing effect. Thiazolidinediones reduce risk of developing diabetes, and consistently lower inflammatory markers independent of adiposity effects. High-dose aspirin inhibits cyclooxygenase and IκB kinase-β and reduces fasting plasma glucose concentration, although there has not, as yet, been a large-scale trial to examine the effect of aspirin on the risk of developing diabetes. We conclude that although many drugs with potential anti-inflammatory properties reduce the risk of developing diabetes, it is difficult to prove that such anti-inflammatory properties contribute to their diabetes prevention since nearly all drugs have other, often more pronounced, actions. Studies with more specific inhibitors of inflammatory pathways (e.g., interleukin-6 blockers) and mendelian randomization (genetic studies) will help determine whether targeting the inflammation axis is a fertile mechanism to treat or prevent type 2 diabetes. © Mary Ann Liebert, Inc.","author":[{"dropping-particle":"","family":"Deans","given":"Kevin A.","non-dropping-particle":"","parse-names":false,"suffix":""},{"dropping-particle":"","family":"Sattar","given":"Naveed","non-dropping-particle":"","parse-names":false,"suffix":""}],"container-title":"Diabetes Technology and Therapeutics","id":"ITEM-1","issue":"1","issued":{"date-parts":[["2006"]]},"page":"18-27","title":"\"Anti-inflammatory\" drugs and their effects on type 2 Diabetes","type":"article-journal","volume":"8"},"uris":["http://www.mendeley.com/documents/?uuid=b8e8261c-c243-4c5b-955e-eaf205b3ef9a"]}],"mendeley":{"formattedCitation":"[8]","plainTextFormattedCitation":"[8]","previouslyFormattedCitation":"[7]"},"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[8]</w:t>
            </w:r>
            <w:r w:rsidRPr="001E7569">
              <w:rPr>
                <w:rFonts w:ascii="Times New Roman" w:eastAsia="Noto Sans CJK SC" w:hAnsi="Times New Roman" w:cs="Times New Roman"/>
                <w:lang w:eastAsia="zh-CN" w:bidi="hi-IN"/>
              </w:rPr>
              <w:fldChar w:fldCharType="end"/>
            </w:r>
          </w:p>
        </w:tc>
        <w:tc>
          <w:tcPr>
            <w:tcW w:w="8306" w:type="dxa"/>
          </w:tcPr>
          <w:p w14:paraId="6FE31C7E"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Statins, Fibrates, ACE inhibitors and ARBs, Aspirin, Metformin, </w:t>
            </w:r>
            <w:proofErr w:type="spellStart"/>
            <w:r w:rsidRPr="001E7569">
              <w:rPr>
                <w:rFonts w:ascii="Times New Roman" w:eastAsia="Noto Sans CJK SC" w:hAnsi="Times New Roman" w:cs="Times New Roman"/>
                <w:lang w:eastAsia="zh-CN" w:bidi="hi-IN"/>
              </w:rPr>
              <w:t>Glitazones</w:t>
            </w:r>
            <w:proofErr w:type="spellEnd"/>
          </w:p>
        </w:tc>
      </w:tr>
      <w:tr w:rsidR="00D31988" w:rsidRPr="005B7229" w14:paraId="20D52B21"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1610D0D9" w14:textId="182D2531"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{"citationItems":[{"id":"ITEM-1","itemData":{"DOI":"10.2174/092986708783330656","ISSN":"09298673","abstract":"Type II diabetes is a heterogeneous disease where environment and genetics are important factors for the expression of the disease. The high cost for treating complications of diabetes is a burden for public health systems and governments worldwide. Type II diabetes has been causing debilitation worldwide for many decades, and a single drug that safely treats the disease has yet to be discovered. Sulfonylureas, biguanides, α-glucosidase, meglitinides, DPP-4 inhibitors and thiazolidinediones are among the classes of oral hypoglycemic drugs available to treat Type II diabetes, but concerns exist regarding safety and efficacy of these drugs. In this article we present the pros and cons of the six classes and discuss some of the latest advances towards the development of new drugs for the treatment of Type II diabetes. © 2008 Bentham Science Publishers Ltd.","author":[{"dropping-particle":"","family":"Avery","given":"Mitchell","non-dropping-particle":"","parse-names":false,"suffix":""},{"dropping-particle":"","family":"Mizuno","given":"Cassia","non-dropping-particle":"","parse-names":false,"suffix":""},{"dropping-particle":"","family":"Chittiboyina","given":"Amar","non-dropping-particle":"","parse-names":false,"suffix":""},{"dropping-particle":"","family":"Kurtz","given":"Theodore","non-dropping-particle":"","parse-names":false,"suffix":""},{"dropping-particle":"","family":"Pershadsingh","given":"Harrihar","non-dropping-particle":"","parse-names":false,"suffix":""}],"container-title":"Current Medicinal Chemistry","id":"ITEM-1","issue":"1","issued":{"date-parts":[["2008"]]},"page":"61-74","title":"Type 2 Diabetes and Oral Antihyperglycemic Drugs","type":"article-journal","volume":"15"},"uris":["http://www.mendeley.com/documents/?uuid=3648c2dd-c94d-4733-aa78-a611cdc67c5c"]}],"mendeley":{"formattedCitation":"[9]","plainTextFormattedCitation":"[9]","previouslyFormattedCitation":"[8]"},"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[9]</w:t>
            </w:r>
            <w:r w:rsidRPr="001E7569">
              <w:rPr>
                <w:rFonts w:ascii="Times New Roman" w:eastAsia="Noto Sans CJK SC" w:hAnsi="Times New Roman" w:cs="Times New Roman"/>
                <w:lang w:eastAsia="zh-CN" w:bidi="hi-IN"/>
              </w:rPr>
              <w:fldChar w:fldCharType="end"/>
            </w:r>
          </w:p>
        </w:tc>
        <w:tc>
          <w:tcPr>
            <w:tcW w:w="8306" w:type="dxa"/>
          </w:tcPr>
          <w:p w14:paraId="1E28DDE4"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val="it-IT" w:eastAsia="zh-CN" w:bidi="hi-IN"/>
              </w:rPr>
            </w:pPr>
            <w:r w:rsidRPr="001E7569">
              <w:rPr>
                <w:rFonts w:ascii="Times New Roman" w:eastAsia="Noto Sans CJK SC" w:hAnsi="Times New Roman" w:cs="Times New Roman"/>
                <w:lang w:val="it-IT" w:eastAsia="zh-CN" w:bidi="hi-IN"/>
              </w:rPr>
              <w:t>Ciglitazone, Troglitazone, Pioglitazone, Englitazone, Darglitazone, Rosiglitazone, Isaglitazone</w:t>
            </w:r>
          </w:p>
        </w:tc>
      </w:tr>
      <w:tr w:rsidR="00D31988" w:rsidRPr="001E7569" w14:paraId="3689EA77"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2CE4466A" w14:textId="7B8913CD" w:rsidR="00D31988" w:rsidRPr="001E7569" w:rsidRDefault="00217ABE"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{"citationItems":[{"id":"ITEM-1","itemData":{"DOI":"10.1016/j.amjcard.2017.05.015","ISSN":"18791913","PMID":"28606340","abstract":"Patients with type 2 diabetes (T2DM) have a significantly higher risk of developing cardiovascular disease (CVD)—namely myocardial infarction, heart failure, and stroke. Despite clear advances in the prevention and treatment of CVD, the impact of T2DM on CVD outcome remains high and continues to escalate. Available evidence indicates that the risk of macrovascular complications increases with the severity of hyperglycemia, thus suggesting that the relation between metabolic disturbances and vascular damage is approximately linear. Although current antidiabetic drugs are highly effective for the management of hyperglycemia, most T2DM patients remain exposed to a substantial and concrete risk of CVD. Over the last decade many glucose-lowering agents have been tested for their safety and efficacy in T2DM with CVD. Noteworthy, most of these studies failed to show a significant benefit in terms of CV morbidity and mortality, despite intensive glycemic control. The recent trials Empagliflozin Cardiovascular Outcome Event Trial in Type 2 Diabetes Mellitus Patients–Removing Excess Glucose (EMPA-REG OUTCOME); Trial to Evaluate Cardiovascular and Other Long-term Outcomes with Semaglutide in Subjects with Type 2 Diabetes (SUSTAIN-6); Liraglutide Effect and Action in Diabetes: Evaluation of Cardiovascular Outcome Results (LEADER); and Insulin Resistance Intervention After Stroke (IRIS) have shed some light on this important clinical issue, thus showing a convincing effect of empagliflozin, liraglutide, and pioglitazone on CVD outcomes. Here we provide a critical and updated overview of the main glucose-lowering agents and their risk/benefit ratio for the prevention of CVD in patients with T2DM.","author":[{"dropping-particle":"","family":"Paneni","given":"Francesco","non-dropping-particle":"","parse-names":false,"suffix":""},{"dropping-particle":"","family":"Lüscher","given":"Thomas F.","non-dropping-particle":"","parse-names":false,"suffix":""}],"container-title":"American Journal of Cardiology","id":"ITEM-1","issue":"1","issued":{"date-parts":[["2017"]]},"page":"S17-S27","title":"Cardiovascular Protection in the Treatment of Type 2 Diabetes: A Review of Clinical Trial Results Across Drug Classes","type":"article-journal","volume":"120"},"uris":["http://www.mendeley.com/documents/?uuid=1a7eb2aa-813e-4973-b55b-5adaf4c44668"]}],"mendeley":{"formattedCitation":"[10]","plainTextFormattedCitation":"[10]","previouslyFormattedCitation":"[9]"},"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[10]</w:t>
            </w:r>
            <w:r w:rsidRPr="001E7569">
              <w:rPr>
                <w:rFonts w:ascii="Times New Roman" w:eastAsia="Noto Sans CJK SC" w:hAnsi="Times New Roman" w:cs="Times New Roman"/>
                <w:lang w:eastAsia="zh-CN" w:bidi="hi-IN"/>
              </w:rPr>
              <w:fldChar w:fldCharType="end"/>
            </w:r>
          </w:p>
        </w:tc>
        <w:tc>
          <w:tcPr>
            <w:tcW w:w="8306" w:type="dxa"/>
          </w:tcPr>
          <w:p w14:paraId="4C6E178A"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Biguanides, Sulfonylureas, Thiazolidinediones, peptide-1 receptor, Dipeptidyl peptidase-4, Sodium glucose</w:t>
            </w:r>
          </w:p>
        </w:tc>
      </w:tr>
      <w:tr w:rsidR="00D31988" w:rsidRPr="001E7569" w14:paraId="293B86BE"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63F4AF32" w14:textId="622F2A4A"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{"citationItems":[{"id":"ITEM-1","itemData":{"DOI":"10.1080/13543784.2021.1865914","ISSN":"17447658","PMID":"33327794","author":[{"dropping-particle":"","family":"Adeghate","given":"Ernest A.","non-dropping-particle":"","parse-names":false,"suffix":""},{"dropping-particle":"","family":"Kalász","given":"Huba","non-dropping-particle":"","parse-names":false,"suffix":""},{"dropping-particle":"","family":"Jaberi","given":"Saeeda","non-dropping-particle":"Al","parse-names":false,"suffix":""},{"dropping-particle":"","family":"Adeghate","given":"Jennifer","non-dropping-particle":"","parse-names":false,"suffix":""},{"dropping-particle":"","family":"Tekes","given":"Kornelia","non-dropping-particle":"","parse-names":false,"suffix":""}],"container-title":"Expert Opinion on Investigational Drugs","id":"ITEM-1","issue":"2","issued":{"date-parts":[["2021"]]},"page":"85-93","title":"Tackling type 2 diabetes-associated cardiovascular and renal comorbidities: a key challenge for drug development","type":"article-journal","volume":"30"},"uris":["http://www.mendeley.com/documents/?uuid=dc737713-23e9-4b1d-9e2a-dd18b031cda8"]}],"mendeley":{"formattedCitation":"[11]","plainTextFormattedCitation":"[11]","previouslyFormattedCitation":"[10]"},"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[11]</w:t>
            </w:r>
            <w:r w:rsidRPr="001E7569">
              <w:rPr>
                <w:rFonts w:ascii="Times New Roman" w:eastAsia="Noto Sans CJK SC" w:hAnsi="Times New Roman" w:cs="Times New Roman"/>
                <w:lang w:eastAsia="zh-CN" w:bidi="hi-IN"/>
              </w:rPr>
              <w:fldChar w:fldCharType="end"/>
            </w:r>
          </w:p>
        </w:tc>
        <w:tc>
          <w:tcPr>
            <w:tcW w:w="8306" w:type="dxa"/>
          </w:tcPr>
          <w:p w14:paraId="3CF1F472" w14:textId="77777777" w:rsidR="00D31988" w:rsidRPr="001E7569" w:rsidRDefault="00D31988" w:rsidP="00D31988">
            <w:pPr>
              <w:widowControl w:val="0"/>
              <w:suppressAutoHyphens/>
              <w:overflowPunct w:val="0"/>
              <w:spacing w:after="140" w:line="276" w:lineRule="auto"/>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bookmarkStart w:id="6" w:name="_i11"/>
            <w:bookmarkEnd w:id="6"/>
            <w:r w:rsidRPr="001E7569">
              <w:rPr>
                <w:rFonts w:ascii="Times New Roman" w:eastAsia="Noto Sans CJK SC" w:hAnsi="Times New Roman" w:cs="Times New Roman"/>
                <w:lang w:eastAsia="zh-CN" w:bidi="hi-IN"/>
              </w:rPr>
              <w:t xml:space="preserve">Sulfonylureas, </w:t>
            </w:r>
            <w:bookmarkStart w:id="7" w:name="_i12"/>
            <w:bookmarkEnd w:id="7"/>
            <w:r w:rsidRPr="001E7569">
              <w:rPr>
                <w:rFonts w:ascii="Times New Roman" w:eastAsia="Noto Sans CJK SC" w:hAnsi="Times New Roman" w:cs="Times New Roman"/>
                <w:lang w:eastAsia="zh-CN" w:bidi="hi-IN"/>
              </w:rPr>
              <w:t xml:space="preserve">Biguanides, </w:t>
            </w:r>
            <w:bookmarkStart w:id="8" w:name="_i13"/>
            <w:bookmarkEnd w:id="8"/>
            <w:r w:rsidRPr="001E7569">
              <w:rPr>
                <w:rFonts w:ascii="Times New Roman" w:eastAsia="Noto Sans CJK SC" w:hAnsi="Times New Roman" w:cs="Times New Roman"/>
                <w:lang w:eastAsia="zh-CN" w:bidi="hi-IN"/>
              </w:rPr>
              <w:t xml:space="preserve">Inhibitors of α-glucosidase, </w:t>
            </w:r>
            <w:bookmarkStart w:id="9" w:name="_i14"/>
            <w:bookmarkEnd w:id="9"/>
            <w:r w:rsidRPr="001E7569">
              <w:rPr>
                <w:rFonts w:ascii="Times New Roman" w:eastAsia="Noto Sans CJK SC" w:hAnsi="Times New Roman" w:cs="Times New Roman"/>
                <w:lang w:eastAsia="zh-CN" w:bidi="hi-IN"/>
              </w:rPr>
              <w:t xml:space="preserve">Thiazolidinediones, </w:t>
            </w:r>
            <w:bookmarkStart w:id="10" w:name="_i15"/>
            <w:bookmarkEnd w:id="10"/>
            <w:r w:rsidRPr="001E7569">
              <w:rPr>
                <w:rFonts w:ascii="Times New Roman" w:eastAsia="Noto Sans CJK SC" w:hAnsi="Times New Roman" w:cs="Times New Roman"/>
                <w:lang w:eastAsia="zh-CN" w:bidi="hi-IN"/>
              </w:rPr>
              <w:t>Meglitinides, Dipeptidyl peptidase 4 inhibitors</w:t>
            </w:r>
          </w:p>
        </w:tc>
      </w:tr>
      <w:tr w:rsidR="00D31988" w:rsidRPr="001E7569" w14:paraId="732C9228"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6BACEBE1" w14:textId="6A6BD1C0"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{"citationItems":[{"id":"ITEM-1","itemData":{"DOI":"10.2174/138945009787122860","ISSN":"13894501","PMID":"19149538","abstract":"Dipeptidyl peptidase IV (DPP IV) is a key regulator of insulin-stimulating hormones, glucagon-like peptide (GLP-1) and glucose-dependent insulinotropic polypeptide (GIP), thus it is a promising target for the treatment of Type 2 Diabetes mellitus (T2DM). Inhibition of plasma DPP IV enzyme leads to enhanced endogenous GLP-1 and GIP activity, which ultimately results in the potentiation of insulin secretion by pancreatic β-cells and subsequent lowering of blood glucose levels, HbA[1c], glucagon secretion and liver glucose production. Various classes of structurally different DPP IV inhibitors are currently being explored and few of them such as Sitagliptin and Vildagliptin were successfully launched. These drugs have been approved as a once-daily oral monotherapy or as a combination therapy with current anti-diabetic agents like pioglitazone, glibenclamide, metformin etc. for the treatment of T2DM. Several other novel DPP IV inhibitors are in pipeline. The present review summarizes the latest preclinical and clinical trial data of different DPP IV inhibitors with a special emphasis on their DPP8/9 fold selectivity and therapeutic advantages over GLP-1 based approach. © 2009 Bentham Science Publishers Ltd.","author":[{"dropping-particle":"","family":"Gupta","given":"Rajesh","non-dropping-particle":"","parse-names":false,"suffix":""},{"dropping-particle":"","family":"Walunj","given":"Sameer","non-dropping-particle":"","parse-names":false,"suffix":""},{"dropping-particle":"","family":"Tokala","given":"Ranjeet","non-dropping-particle":"","parse-names":false,"suffix":""},{"dropping-particle":"","family":"Parsa","given":"Kishore","non-dropping-particle":"","parse-names":false,"suffix":""},{"dropping-particle":"","family":"Singh","given":"Santosh","non-dropping-particle":"","parse-names":false,"suffix":""},{"dropping-particle":"","family":"Pal","given":"Manojit","non-dropping-particle":"","parse-names":false,"suffix":""}],"container-title":"Current Drug Targets","id":"ITEM-1","issue":"1","issued":{"date-parts":[["2009"]]},"page":"71-87","title":"Emerging Drug Candidates of Dipeptidyl Peptidase IV (DPP IV) Inhibitor Class for the Treatment of Type 2 Diabetes","type":"article-journal","volume":"10"},"uris":["http://www.mendeley.com/documents/?uuid=7b527fc1-fca8-40f2-bd06-375a65d669e6"]}],"mendeley":{"formattedCitation":"[12]","plainTextFormattedCitation":"[12]","previouslyFormattedCitation":"[11]"},"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[12]</w:t>
            </w:r>
            <w:r w:rsidRPr="001E7569">
              <w:rPr>
                <w:rFonts w:ascii="Times New Roman" w:eastAsia="Noto Sans CJK SC" w:hAnsi="Times New Roman" w:cs="Times New Roman"/>
                <w:lang w:eastAsia="zh-CN" w:bidi="hi-IN"/>
              </w:rPr>
              <w:fldChar w:fldCharType="end"/>
            </w:r>
          </w:p>
        </w:tc>
        <w:tc>
          <w:tcPr>
            <w:tcW w:w="8306" w:type="dxa"/>
          </w:tcPr>
          <w:p w14:paraId="63E2142B" w14:textId="1C4C27F3"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Insulin, </w:t>
            </w:r>
            <w:proofErr w:type="spellStart"/>
            <w:r w:rsidRPr="001E7569">
              <w:rPr>
                <w:rFonts w:ascii="Times New Roman" w:eastAsia="Noto Sans CJK SC" w:hAnsi="Times New Roman" w:cs="Times New Roman"/>
                <w:lang w:eastAsia="zh-CN" w:bidi="hi-IN"/>
              </w:rPr>
              <w:t>Sulphonylurea</w:t>
            </w:r>
            <w:proofErr w:type="spellEnd"/>
            <w:r w:rsidRPr="001E7569">
              <w:rPr>
                <w:rFonts w:ascii="Times New Roman" w:eastAsia="Noto Sans CJK SC" w:hAnsi="Times New Roman" w:cs="Times New Roman"/>
                <w:lang w:eastAsia="zh-CN" w:bidi="hi-IN"/>
              </w:rPr>
              <w:t xml:space="preserve">, Biguanides, </w:t>
            </w:r>
            <w:r w:rsidR="00B231D5" w:rsidRPr="001E7569">
              <w:rPr>
                <w:rFonts w:ascii="Times New Roman" w:eastAsia="Noto Sans CJK SC" w:hAnsi="Times New Roman" w:cs="Times New Roman"/>
                <w:lang w:eastAsia="zh-CN" w:bidi="hi-IN"/>
              </w:rPr>
              <w:t>Acarbose,</w:t>
            </w:r>
            <w:r w:rsidRPr="001E7569">
              <w:rPr>
                <w:rFonts w:ascii="Times New Roman" w:eastAsia="Noto Sans CJK SC" w:hAnsi="Times New Roman" w:cs="Times New Roman"/>
                <w:lang w:eastAsia="zh-CN" w:bidi="hi-IN"/>
              </w:rPr>
              <w:t xml:space="preserve"> </w:t>
            </w:r>
            <w:r w:rsidR="00B231D5" w:rsidRPr="001E7569">
              <w:rPr>
                <w:rFonts w:ascii="Times New Roman" w:eastAsia="Noto Sans CJK SC" w:hAnsi="Times New Roman" w:cs="Times New Roman"/>
                <w:lang w:eastAsia="zh-CN" w:bidi="hi-IN"/>
              </w:rPr>
              <w:t>Thiazolidinediones,</w:t>
            </w:r>
            <w:r w:rsidRPr="001E7569">
              <w:rPr>
                <w:rFonts w:ascii="Times New Roman" w:eastAsia="Noto Sans CJK SC" w:hAnsi="Times New Roman" w:cs="Times New Roman"/>
                <w:lang w:eastAsia="zh-CN" w:bidi="hi-IN"/>
              </w:rPr>
              <w:t xml:space="preserve"> PPAR/ dual agonists, GLP-1 analogs</w:t>
            </w:r>
          </w:p>
        </w:tc>
      </w:tr>
      <w:tr w:rsidR="00D31988" w:rsidRPr="001E7569" w14:paraId="23233FF3"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0FEFEEE3" w14:textId="7A31D1D6"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10.2337/dc15-1649","ISSN":"0149-5992","author":[{"dropping-particle":"V.","family":"Tamborlane","given":"William","non-dropping-particle":"","parse-names":false,"suffix":""},{"dropping-particle":"","family":"Haymond","given":"Morey W.","non-dropping-particle":"","parse-names":false,"suffix":""},{"dropping-particle":"","family":"Dunger","given":"David","non-dropping-particle":"","parse-names":false,"suffix":""},{"dropping-particle":"","family":"Shankar","given":"Ravi","non-dropping-particle":"","parse-names":false,"suffix":""},{"dropping-particle":"","family":"Gubitosi-Klug","given":"Rose","non-dropping-particle":"","parse-names":false,"suffix":""},{"dropping-particle":"","family":"Bethin","given":"Kathleen","non-dropping-particle":"","parse-names":false,"suffix":""},{"dropping-particle":"","family":"Karres","given":"Janina","non-dropping-particle":"","parse-names":false,"suffix":""},{"dropping-particle":"","family":"Tomasi","given":"Paolo","non-dropping-particle":"","parse-names":false,"suffix":""},{"dropping-particle":"","family":"Libman","given":"Ingrid","non-dropping-particle":"","parse-names":false,"suffix":""},{"dropping-particle":"","family":"Hale","given":"Paula H.","non-dropping-particle":"","parse-names":false,"suffix":""},{"dropping-particle":"","family":"Portman","given":"Ronald","non-dropping-particle":"","parse-names":false,"suffix":""},{"dropping-particle":"","family":"Klingensmith","given":"Georgeanna","non-dropping-particle":"","parse-names":false,"suffix":""},{"dropping-particle":"","family":"Reed","given":"Michael","non-dropping-particle":"","parse-names":false,"suffix":""},{"dropping-particle":"","family":"Blumer","given":"Jeffrey","non-dropping-particle":"","parse-names":false,"suffix":""},{"dropping-particle":"","family":"Giacoia","given":"George","non-dropping-particle":"","parse-names":false,"suffix":""}],"container-title":"Diabetes Care","id":"ITEM-1","issue":"3","issued":{"date-parts":[["2016"]]},"page":"323-329","title":"Expanding Treatment Options for Youth With Type 2 Diabetes: Current Problems and Proposed Solutions","type":"article-journal","volume":"39"},"uris":["http://www.mendeley.com/documents/?uuid=f3719343-cc7e-475d-8a72-ea56d5f34ddc"]}],"mendeley":{"formattedCitation":"[13]","plainTextFormattedCitation":"[13]","previouslyFormattedCitation":"[12]"},"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[13]</w:t>
            </w:r>
            <w:r w:rsidRPr="001E7569">
              <w:rPr>
                <w:rFonts w:ascii="Times New Roman" w:eastAsia="Noto Sans CJK SC" w:hAnsi="Times New Roman" w:cs="Times New Roman"/>
                <w:lang w:eastAsia="zh-CN" w:bidi="hi-IN"/>
              </w:rPr>
              <w:fldChar w:fldCharType="end"/>
            </w:r>
          </w:p>
        </w:tc>
        <w:tc>
          <w:tcPr>
            <w:tcW w:w="8306" w:type="dxa"/>
          </w:tcPr>
          <w:p w14:paraId="02AC32BD"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proofErr w:type="spellStart"/>
            <w:r w:rsidRPr="001E7569">
              <w:rPr>
                <w:rFonts w:ascii="Times New Roman" w:eastAsia="Noto Sans CJK SC" w:hAnsi="Times New Roman" w:cs="Times New Roman"/>
                <w:lang w:eastAsia="zh-CN" w:bidi="hi-IN"/>
              </w:rPr>
              <w:t>Colesevelam</w:t>
            </w:r>
            <w:proofErr w:type="spellEnd"/>
            <w:r w:rsidRPr="001E7569">
              <w:rPr>
                <w:rFonts w:ascii="Times New Roman" w:eastAsia="Noto Sans CJK SC" w:hAnsi="Times New Roman" w:cs="Times New Roman"/>
                <w:lang w:eastAsia="zh-CN" w:bidi="hi-IN"/>
              </w:rPr>
              <w:t xml:space="preserve">, Exenatide, Linagliptin, Liraglutide, </w:t>
            </w:r>
            <w:proofErr w:type="spellStart"/>
            <w:r w:rsidRPr="001E7569">
              <w:rPr>
                <w:rFonts w:ascii="Times New Roman" w:eastAsia="Noto Sans CJK SC" w:hAnsi="Times New Roman" w:cs="Times New Roman"/>
                <w:lang w:eastAsia="zh-CN" w:bidi="hi-IN"/>
              </w:rPr>
              <w:t>Saxagliptin</w:t>
            </w:r>
            <w:proofErr w:type="spellEnd"/>
            <w:r w:rsidRPr="001E7569">
              <w:rPr>
                <w:rFonts w:ascii="Times New Roman" w:eastAsia="Noto Sans CJK SC" w:hAnsi="Times New Roman" w:cs="Times New Roman"/>
                <w:lang w:eastAsia="zh-CN" w:bidi="hi-IN"/>
              </w:rPr>
              <w:t xml:space="preserve">, Sitagliptin, </w:t>
            </w:r>
            <w:proofErr w:type="spellStart"/>
            <w:r w:rsidRPr="001E7569">
              <w:rPr>
                <w:rFonts w:ascii="Times New Roman" w:eastAsia="Noto Sans CJK SC" w:hAnsi="Times New Roman" w:cs="Times New Roman"/>
                <w:lang w:eastAsia="zh-CN" w:bidi="hi-IN"/>
              </w:rPr>
              <w:t>Taspoglutide</w:t>
            </w:r>
            <w:proofErr w:type="spellEnd"/>
            <w:r w:rsidRPr="001E7569">
              <w:rPr>
                <w:rFonts w:ascii="Times New Roman" w:eastAsia="Noto Sans CJK SC" w:hAnsi="Times New Roman" w:cs="Times New Roman"/>
                <w:lang w:eastAsia="zh-CN" w:bidi="hi-IN"/>
              </w:rPr>
              <w:t xml:space="preserve">, Empagliflozin, Exenatide, Alogliptin, Albiglutide, </w:t>
            </w:r>
            <w:proofErr w:type="spellStart"/>
            <w:r w:rsidRPr="001E7569">
              <w:rPr>
                <w:rFonts w:ascii="Times New Roman" w:eastAsia="Noto Sans CJK SC" w:hAnsi="Times New Roman" w:cs="Times New Roman"/>
                <w:lang w:eastAsia="zh-CN" w:bidi="hi-IN"/>
              </w:rPr>
              <w:t>Omarigliptin</w:t>
            </w:r>
            <w:proofErr w:type="spellEnd"/>
            <w:r w:rsidRPr="001E7569">
              <w:rPr>
                <w:rFonts w:ascii="Times New Roman" w:eastAsia="Noto Sans CJK SC" w:hAnsi="Times New Roman" w:cs="Times New Roman"/>
                <w:lang w:eastAsia="zh-CN" w:bidi="hi-IN"/>
              </w:rPr>
              <w:t xml:space="preserve">, Dulaglutide, Lixisenatide, </w:t>
            </w:r>
            <w:proofErr w:type="spellStart"/>
            <w:r w:rsidRPr="001E7569">
              <w:rPr>
                <w:rFonts w:ascii="Times New Roman" w:eastAsia="Noto Sans CJK SC" w:hAnsi="Times New Roman" w:cs="Times New Roman"/>
                <w:lang w:eastAsia="zh-CN" w:bidi="hi-IN"/>
              </w:rPr>
              <w:t>Sotagliflozin</w:t>
            </w:r>
            <w:proofErr w:type="spellEnd"/>
            <w:r w:rsidRPr="001E7569">
              <w:rPr>
                <w:rFonts w:ascii="Times New Roman" w:eastAsia="Noto Sans CJK SC" w:hAnsi="Times New Roman" w:cs="Times New Roman"/>
                <w:lang w:eastAsia="zh-CN" w:bidi="hi-IN"/>
              </w:rPr>
              <w:t>, Ertugliflozin</w:t>
            </w:r>
          </w:p>
        </w:tc>
      </w:tr>
      <w:tr w:rsidR="00D31988" w:rsidRPr="001E7569" w14:paraId="0FAA175E"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1A59051B" w14:textId="5107E94C"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{"citationItems":[{"id":"ITEM-1","itemData":{"DOI":"10.2174/1876524601808010022","ISSN":"1876-5246","abstract":"The causality and etio-pathologic risks for patients with Type 2 Diabetes (T2DM) are important areas in modern medicine. Disease complications are largely unpredictable in patients with T2DM. In the future, we welcome therapeutics of both cutting-edge and traditional for anti-diabetic treatments and management with higher efficiency and less cost. Expanding medical knowledge, behavior/life-style notification in healthcare, modern genetic/bioinformatics diagnostic promotion, clinical developments (Traditional Chinese Medicine and personalized medicine) and new drug developments - including candidate drug targets should be implemented in the future. These efforts might be useful avenues for updating anti-diabetic therapeutics globally. This article aims at introducing this information for T2DM treatment boosts.","author":[{"dropping-particle":"","family":"Lu","given":"Da-Yong","non-dropping-particle":"","parse-names":false,"suffix":""},{"dropping-particle":"","family":"Che","given":"Jin-Yu","non-dropping-particle":"","parse-names":false,"suffix":""},{"dropping-particle":"","family":"Yarla","given":"Nagendra Sastry","non-dropping-particle":"","parse-names":false,"suffix":""},{"dropping-particle":"","family":"Wu","given":"Hong-Ying","non-dropping-particle":"","parse-names":false,"suffix":""},{"dropping-particle":"","family":"Lu","given":"Ting-Ren","non-dropping-particle":"","parse-names":false,"suffix":""},{"dropping-particle":"","family":"Xu","given":"Bin","non-dropping-particle":"","parse-names":false,"suffix":""},{"dropping-particle":"","family":"Wu","given":"Shu-Yun","non-dropping-particle":"","parse-names":false,"suffix":""},{"dropping-particle":"","family":"Ding","given":"Jian","non-dropping-particle":"","parse-names":false,"suffix":""},{"dropping-particle":"","family":"Lu","given":"Yi","non-dropping-particle":"","parse-names":false,"suffix":""},{"dropping-particle":"","family":"Zhu","given":"Hong","non-dropping-particle":"","parse-names":false,"suffix":""}],"container-title":"The Open Diabetes Journal","id":"ITEM-1","issue":"1","issued":{"date-parts":[["2018"]]},"page":"22-33","title":"Type 2 Diabetes Treatment and Drug Development Study","type":"article-journal","volume":"8"},"uris":["http://www.mendeley.com/documents/?uuid=f71cf548-e605-406d-b821-d7f03087f860"]}],"mendeley":{"formattedCitation":"[14]","plainTextFormattedCitation":"[14]","previouslyFormattedCitation":"[13]"},"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[14]</w:t>
            </w:r>
            <w:r w:rsidRPr="001E7569">
              <w:rPr>
                <w:rFonts w:ascii="Times New Roman" w:eastAsia="Noto Sans CJK SC" w:hAnsi="Times New Roman" w:cs="Times New Roman"/>
                <w:lang w:eastAsia="zh-CN" w:bidi="hi-IN"/>
              </w:rPr>
              <w:fldChar w:fldCharType="end"/>
            </w:r>
          </w:p>
        </w:tc>
        <w:tc>
          <w:tcPr>
            <w:tcW w:w="8306" w:type="dxa"/>
          </w:tcPr>
          <w:p w14:paraId="64258D49"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Insulin and its derivatives, </w:t>
            </w:r>
            <w:proofErr w:type="spellStart"/>
            <w:r w:rsidRPr="001E7569">
              <w:rPr>
                <w:rFonts w:ascii="Times New Roman" w:eastAsia="Noto Sans CJK SC" w:hAnsi="Times New Roman" w:cs="Times New Roman"/>
                <w:lang w:eastAsia="zh-CN" w:bidi="hi-IN"/>
              </w:rPr>
              <w:t>Sulphonylurea</w:t>
            </w:r>
            <w:proofErr w:type="spellEnd"/>
            <w:r w:rsidRPr="001E7569">
              <w:rPr>
                <w:rFonts w:ascii="Times New Roman" w:eastAsia="Noto Sans CJK SC" w:hAnsi="Times New Roman" w:cs="Times New Roman"/>
                <w:lang w:eastAsia="zh-CN" w:bidi="hi-IN"/>
              </w:rPr>
              <w:t xml:space="preserve">, Biguanide, Acarbose, </w:t>
            </w:r>
            <w:proofErr w:type="spellStart"/>
            <w:r w:rsidRPr="001E7569">
              <w:rPr>
                <w:rFonts w:ascii="Times New Roman" w:eastAsia="Noto Sans CJK SC" w:hAnsi="Times New Roman" w:cs="Times New Roman"/>
                <w:lang w:eastAsia="zh-CN" w:bidi="hi-IN"/>
              </w:rPr>
              <w:t>Voglibose</w:t>
            </w:r>
            <w:proofErr w:type="spellEnd"/>
            <w:r w:rsidRPr="001E7569">
              <w:rPr>
                <w:rFonts w:ascii="Times New Roman" w:eastAsia="Noto Sans CJK SC" w:hAnsi="Times New Roman" w:cs="Times New Roman"/>
                <w:lang w:eastAsia="zh-CN" w:bidi="hi-IN"/>
              </w:rPr>
              <w:t xml:space="preserve">, Pioglitazone, Exercise, Curcumin, </w:t>
            </w:r>
            <w:proofErr w:type="spellStart"/>
            <w:r w:rsidRPr="001E7569">
              <w:rPr>
                <w:rFonts w:ascii="Times New Roman" w:eastAsia="Noto Sans CJK SC" w:hAnsi="Times New Roman" w:cs="Times New Roman"/>
                <w:lang w:eastAsia="zh-CN" w:bidi="hi-IN"/>
              </w:rPr>
              <w:t>Resveratol</w:t>
            </w:r>
            <w:proofErr w:type="spellEnd"/>
            <w:r w:rsidRPr="001E7569">
              <w:rPr>
                <w:rFonts w:ascii="Times New Roman" w:eastAsia="Noto Sans CJK SC" w:hAnsi="Times New Roman" w:cs="Times New Roman"/>
                <w:lang w:eastAsia="zh-CN" w:bidi="hi-IN"/>
              </w:rPr>
              <w:t>, α-</w:t>
            </w:r>
            <w:proofErr w:type="spellStart"/>
            <w:r w:rsidRPr="001E7569">
              <w:rPr>
                <w:rFonts w:ascii="Times New Roman" w:eastAsia="Noto Sans CJK SC" w:hAnsi="Times New Roman" w:cs="Times New Roman"/>
                <w:lang w:eastAsia="zh-CN" w:bidi="hi-IN"/>
              </w:rPr>
              <w:t>thioctic</w:t>
            </w:r>
            <w:proofErr w:type="spellEnd"/>
            <w:r w:rsidRPr="001E7569">
              <w:rPr>
                <w:rFonts w:ascii="Times New Roman" w:eastAsia="Noto Sans CJK SC" w:hAnsi="Times New Roman" w:cs="Times New Roman"/>
                <w:lang w:eastAsia="zh-CN" w:bidi="hi-IN"/>
              </w:rPr>
              <w:t xml:space="preserve"> acids, </w:t>
            </w:r>
          </w:p>
        </w:tc>
      </w:tr>
      <w:tr w:rsidR="00D31988" w:rsidRPr="001E7569" w14:paraId="7C8AD288"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0B4F2F91" w14:textId="0492CBAC"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{"citationItems":[{"id":"ITEM-1","itemData":{"DOI":"10.1016/j.amjcard.2017.05.009","ISSN":"18791913","PMID":"28606343","abstract":"Choices for the treatment of type 2 diabetes mellitus (T2DM) have multiplied as our understanding of the underlying pathophysiologic defects has evolved. Treatment should target multiple defects in T2DM and follow a patient-centered approach that considers factors beyond glycemic control, including cardiovascular risk reduction. The American Association of Clinical Endocrinologists/American College of Endocrinology and the American Diabetes Association recommend an initial approach consisting of lifestyle changes and monotherapy, preferably with metformin. Therapy choices are guided by glycemic efficacy, safety profiles, particularly effects on weight and hypoglycemia risk, tolerability, patient comorbidities, route of administration, patient preference, and cost. Balancing management of hyperglycemia with the risk of hypoglycemia and consideration of the effects of pharmacotherapy on weight figure prominently in US-based T2DM recommendations, whereas less emphasis has been placed on the ability of specific medications to affect cardiovascular outcomes. This is likely because, until recently, specific glucose-lowering agents have not been shown to affect cardiorenal outcomes. The Empagliflozin Cardiovascular Outcome Event Trial in Type 2 Diabetes Mellitus Patients–Removing Excess Glucose (EMPA-REG OUTCOME), the Liraglutide Effect and Action in Diabetes: Evaluation of Cardiovascular Outcome Results (LEADER) trial, and the Trial to Evaluate Cardiovascular and Other Long-term Outcomes with Semaglutide in Subjects with Type 2 Diabetes 6 (SUSTAIN-6) recently showed a reduction in overall cardiovascular risk with empagliflozin, liraglutide, and semaglutide treatment, respectively. Moreover, empagliflozin has become the first glucose-lowering agent indicated to reduce the risk of cardiovascular death in adults with T2DM and established cardiovascular disease. Results from cardiovascular outcomes trials have prompted an update to the 2017 American Diabetes Association standards of care, which now recommend consideration of empagliflozin or liraglutide for patients with suboptimally controlled long-standing T2DM and established atherosclerotic cardiovascular disease because these agents have been shown to reduce cardiovascular and all-cause mortality when added to standard care.","author":[{"dropping-particle":"","family":"Thrasher","given":"James","non-dropping-particle":"","parse-names":false,"suffix":""}],"container-title":"American Journal of Cardiology","id":"ITEM-1","issue":"1","issued":{"date-parts":[["2017"]]},"page":"S4-S16","title":"Pharmacologic Management of Type 2 Diabetes Mellitus: Available Therapies","type":"article-journal","volume":"120"},"uris":["http://www.mendeley.com/documents/?uuid=46d556c6-130b-4545-8aad-2876142bcc6e"]}],"mendeley":{"formattedCitation":"[15]","plainTextFormattedCitation":"[15]","previouslyFormattedCitation":"[14]"},"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[15]</w:t>
            </w:r>
            <w:r w:rsidRPr="001E7569">
              <w:rPr>
                <w:rFonts w:ascii="Times New Roman" w:eastAsia="Noto Sans CJK SC" w:hAnsi="Times New Roman" w:cs="Times New Roman"/>
                <w:lang w:eastAsia="zh-CN" w:bidi="hi-IN"/>
              </w:rPr>
              <w:fldChar w:fldCharType="end"/>
            </w:r>
          </w:p>
        </w:tc>
        <w:tc>
          <w:tcPr>
            <w:tcW w:w="8306" w:type="dxa"/>
          </w:tcPr>
          <w:p w14:paraId="77E08CEA" w14:textId="6AF7E1CC"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Metformin, </w:t>
            </w:r>
            <w:r w:rsidR="00B231D5" w:rsidRPr="001E7569">
              <w:rPr>
                <w:rFonts w:ascii="Times New Roman" w:eastAsia="Noto Sans CJK SC" w:hAnsi="Times New Roman" w:cs="Times New Roman"/>
                <w:lang w:eastAsia="zh-CN" w:bidi="hi-IN"/>
              </w:rPr>
              <w:t>Albiglutide, Dulaglutide</w:t>
            </w:r>
            <w:r w:rsidRPr="001E7569">
              <w:rPr>
                <w:rFonts w:ascii="Times New Roman" w:eastAsia="Noto Sans CJK SC" w:hAnsi="Times New Roman" w:cs="Times New Roman"/>
                <w:lang w:eastAsia="zh-CN" w:bidi="hi-IN"/>
              </w:rPr>
              <w:t>, Exenatide, Exenatide XR, Liraglutide, Lixisenatide, Canagliflozin, Dapagliflozin</w:t>
            </w:r>
            <w:r w:rsidRPr="001E7569">
              <w:rPr>
                <w:rFonts w:ascii="Times New Roman" w:eastAsia="Noto Sans CJK SC" w:hAnsi="Times New Roman" w:cs="Times New Roman"/>
                <w:bdr w:val="single" w:sz="12" w:space="1" w:color="EBEBEB"/>
                <w:lang w:eastAsia="zh-CN" w:bidi="hi-IN"/>
              </w:rPr>
              <w:t xml:space="preserve">, </w:t>
            </w:r>
            <w:r w:rsidRPr="001E7569">
              <w:rPr>
                <w:rFonts w:ascii="Times New Roman" w:eastAsia="Noto Sans CJK SC" w:hAnsi="Times New Roman" w:cs="Times New Roman"/>
                <w:lang w:eastAsia="zh-CN" w:bidi="hi-IN"/>
              </w:rPr>
              <w:t xml:space="preserve">Empagliflozin, Alogliptin, Linagliptin, Sitagliptin, </w:t>
            </w:r>
            <w:proofErr w:type="spellStart"/>
            <w:r w:rsidRPr="001E7569">
              <w:rPr>
                <w:rFonts w:ascii="Times New Roman" w:eastAsia="Noto Sans CJK SC" w:hAnsi="Times New Roman" w:cs="Times New Roman"/>
                <w:lang w:eastAsia="zh-CN" w:bidi="hi-IN"/>
              </w:rPr>
              <w:t>Saxagliptin</w:t>
            </w:r>
            <w:proofErr w:type="spellEnd"/>
            <w:r w:rsidRPr="001E7569">
              <w:rPr>
                <w:rFonts w:ascii="Times New Roman" w:eastAsia="Noto Sans CJK SC" w:hAnsi="Times New Roman" w:cs="Times New Roman"/>
                <w:lang w:eastAsia="zh-CN" w:bidi="hi-IN"/>
              </w:rPr>
              <w:t>, Glimepiride, Glipizide, Glyburide, Pioglitazone</w:t>
            </w:r>
            <w:r w:rsidRPr="001E7569">
              <w:rPr>
                <w:rFonts w:ascii="Times New Roman" w:eastAsia="Noto Sans CJK SC" w:hAnsi="Times New Roman" w:cs="Times New Roman"/>
                <w:bdr w:val="single" w:sz="12" w:space="1" w:color="EBEBEB"/>
                <w:lang w:eastAsia="zh-CN" w:bidi="hi-IN"/>
              </w:rPr>
              <w:t xml:space="preserve">, </w:t>
            </w:r>
            <w:r w:rsidRPr="001E7569">
              <w:rPr>
                <w:rFonts w:ascii="Times New Roman" w:eastAsia="Noto Sans CJK SC" w:hAnsi="Times New Roman" w:cs="Times New Roman"/>
                <w:lang w:eastAsia="zh-CN" w:bidi="hi-IN"/>
              </w:rPr>
              <w:t>Rosiglitazone</w:t>
            </w:r>
          </w:p>
        </w:tc>
      </w:tr>
      <w:tr w:rsidR="00D31988" w:rsidRPr="001E7569" w14:paraId="31E1CF4F"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74BBB067" w14:textId="4E209BF0"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noProof/>
                <w:lang w:eastAsia="zh-CN" w:bidi="hi-IN"/>
              </w:rPr>
              <w:fldChar w:fldCharType="begin" w:fldLock="1"/>
            </w:r>
            <w:r w:rsidR="00356D32">
              <w:rPr>
                <w:rFonts w:ascii="Times New Roman" w:eastAsia="Noto Sans CJK SC" w:hAnsi="Times New Roman" w:cs="Times New Roman"/>
                <w:noProof/>
                <w:lang w:eastAsia="zh-CN" w:bidi="hi-IN"/>
              </w:rPr>
              <w:instrText>ADDIN CSL_CITATION {"citationItems":[{"id":"ITEM-1","itemData":{"author":[{"dropping-particle":"","family":"Kalsi A","given":"","non-dropping-particle":"","parse-names":false,"suffix":""},{"dropping-particle":"","family":"Singh S","given":"","non-dropping-particle":"","parse-names":false,"suffix":""},{"dropping-particle":"","family":"Taneja N","given":"","non-dropping-particle":"","parse-names":false,"suffix":""},{"dropping-particle":"","family":"Kukal S","given":"","non-dropping-particle":"","parse-names":false,"suffix":""},{"dropping-particle":"","family":"Mani S","given":"","non-dropping-particle":"","parse-names":false,"suffix":""}],"container-title":"International Journal of Pharmacy and Pharmaceutical Sciences","id":"ITEM-1","issue":"3","issued":{"date-parts":[["2015"]]},"page":"13-18","title":"Current treatments for type 2 diabetes, their side effects and possible complementary treatments","type":"article-journal","volume":"7"},"uris":["http://www.mendeley.com/documents/?uuid=b4009608-0889-4855-80e8-e7f361da8e77"]}],"mendeley":{"formattedCitation":"[16]","plainTextFormattedCitation":"[16]","previouslyFormattedCitation":"[15]"},"properties":{"noteIndex":0},"schema":"https://github.com/citation-style-language/schema/raw/master/csl-citation.json"}</w:instrText>
            </w:r>
            <w:r w:rsidRPr="001E7569">
              <w:rPr>
                <w:rFonts w:ascii="Times New Roman" w:eastAsia="Noto Sans CJK SC" w:hAnsi="Times New Roman" w:cs="Times New Roman"/>
                <w:noProof/>
                <w:lang w:eastAsia="zh-CN" w:bidi="hi-IN"/>
              </w:rPr>
              <w:fldChar w:fldCharType="separate"/>
            </w:r>
            <w:r w:rsidR="00356D32" w:rsidRPr="00356D32">
              <w:rPr>
                <w:rFonts w:ascii="Times New Roman" w:eastAsia="Noto Sans CJK SC" w:hAnsi="Times New Roman" w:cs="Times New Roman"/>
                <w:b w:val="0"/>
                <w:noProof/>
                <w:lang w:eastAsia="zh-CN" w:bidi="hi-IN"/>
              </w:rPr>
              <w:t>[16]</w:t>
            </w:r>
            <w:r w:rsidRPr="001E7569">
              <w:rPr>
                <w:rFonts w:ascii="Times New Roman" w:eastAsia="Noto Sans CJK SC" w:hAnsi="Times New Roman" w:cs="Times New Roman"/>
                <w:noProof/>
                <w:lang w:eastAsia="zh-CN" w:bidi="hi-IN"/>
              </w:rPr>
              <w:fldChar w:fldCharType="end"/>
            </w:r>
          </w:p>
        </w:tc>
        <w:tc>
          <w:tcPr>
            <w:tcW w:w="8306" w:type="dxa"/>
          </w:tcPr>
          <w:p w14:paraId="5F6B4924"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Thiazolidinediones, Biguanide, Sulfonylureas, Meglitinides, Insulin</w:t>
            </w:r>
          </w:p>
        </w:tc>
      </w:tr>
      <w:tr w:rsidR="00D31988" w:rsidRPr="001E7569" w14:paraId="24A64603"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3EDACC63" w14:textId="13D64896"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{"citationItems":[{"id":"ITEM-1","itemData":{"DOI":"10.5001/omj.2012.68","ISSN":"20705204","PMID":"23071876","abstract":"Type 2 diabetes mellitus (DM) is a chronic metabolic disorder in which prevalence has been increasing steadily all over the world. As a result of this trend, it is fast becoming an epidemic in some countries of the world with the number of people affected expected to double in the next decade due to increase in ageing population, thereby adding to the already existing burden for healthcare providers, especially in poorly developed countries. This review is based on a search of Medline, the Cochrane Database of Systemic Reviews, and citation lists of relevant publications. Subject heading and key words used include type 2 diabetes mellitus, prevalence, current diagnosis, and current treatment. Only articles in English were included. Screening and diagnosis is still based on World Health Organization (WHO) and American Diabetes Association (ADA) criteria which include both clinical and laboratory parameters. No cure has yet been found for the disease; however, treatment modalities include lifestyle modifications, treatment of obesity, oral hypoglycemic agents, and insulin sensitizers like metformin, a biguanide that reduces insulin resistance, is still the recommended first line medication especially for obese patients. Other effective medications include nonsulfonylurea secretagogues, thiazolidinediones, alpha glucosidase inhibitors, and insulin. Recent research into the pathophysiology of type 2 DM has led to the introduction of new medications like glucagon-like peptide 1 analogoues: dipeptidyl peptidase-IV inhibitors, inhibitors of the sodium-glucose cotransporter 2 and 11ß-hydroxysteroid dehydrogenase 1, insulin-releasing glucokinase activators and pancreatic-G-protein-coupled fatty-acid-receptor agonists, glucagon-receptor antagonists, metabolic inhibitors of hepatic glucose output and quick-release bromocriptine. Inhaled insulin was licensed for use in 2006 but has been withdrawn from the market because of low patronage. © OMSB, 2012.","author":[{"dropping-particle":"","family":"Olokoba","given":"Abdulfatai B.","non-dropping-particle":"","parse-names":false,"suffix":""},{"dropping-particle":"","family":"Obateru","given":"Olusegun A.","non-dropping-particle":"","parse-names":false,"suffix":""},{"dropping-particle":"","family":"Olokoba","given":"Lateefat B.","non-dropping-particle":"","parse-names":false,"suffix":""}],"container-title":"Oman Medical Journal","id":"ITEM-1","issue":"4","issued":{"date-parts":[["2012"]]},"page":"269-273","title":"Type 2 diabetes mellitus: A review of current trends","type":"article-journal","volume":"27"},"uris":["http://www.mendeley.com/documents/?uuid=d92459a2-e9d0-43ed-8e75-04aee8bdcd78"]}],"mendeley":{"formattedCitation":"[17]","plainTextFormattedCitation":"[17]","previouslyFormattedCitation":"[16]"},"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[17]</w:t>
            </w:r>
            <w:r w:rsidRPr="001E7569">
              <w:rPr>
                <w:rFonts w:ascii="Times New Roman" w:eastAsia="Noto Sans CJK SC" w:hAnsi="Times New Roman" w:cs="Times New Roman"/>
                <w:lang w:eastAsia="zh-CN" w:bidi="hi-IN"/>
              </w:rPr>
              <w:fldChar w:fldCharType="end"/>
            </w:r>
          </w:p>
        </w:tc>
        <w:tc>
          <w:tcPr>
            <w:tcW w:w="8306" w:type="dxa"/>
          </w:tcPr>
          <w:p w14:paraId="6ADFBEC4"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Biguanides, Sulfonylureas, Meglitinides, Thiazolidinediones, Alpha-Glucosidase Inhibitors, Incretin, Bromocriptine, Insulin</w:t>
            </w:r>
          </w:p>
        </w:tc>
      </w:tr>
      <w:tr w:rsidR="00D31988" w:rsidRPr="001E7569" w14:paraId="1B7731AD"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19D8AEA5" w14:textId="43A9B475"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{"citationItems":[{"id":"ITEM-1","itemData":{"DOI":"10.1016/j.biopha.2020.110975","ISSN":"19506007","PMID":"33212375","abstract":"Diabetes mellitus (type 1 and type 2) and its various complications continue to place a huge burden on global medical resources, despite the availability of numerous drugs that successfully lower blood glucose levels. The major challenging issue in diabetes management is the prevention of various complications that remain the leading cause of diabetes-related mortality. Moreover, the limited long-term durability of monotherapy and undesirable side effects of currently used anti-diabetic drugs underlie the urgent need for novel therapeutic approaches. Phytochemicals represent a rich source of plant-derived molecules that are of pivotal importance to the identification of compounds with therapeutic potential. In this review, we aim to discuss recent advances in the identification of a large array of phytochemicals with immense potential in the management of diabetes and its complications. Given that metabolic inflammation has been established as a key pathophysiological event that drives the progression of diabetes, we focus on the protective effects of representative phytochemicals in metabolic inflammation. This paper also discusses the potential of phytochemicals in the development of new drugs that target the inflammation in the management of diabetes and its complications.","author":[{"dropping-particle":"","family":"Kong","given":"Mengjie","non-dropping-particle":"","parse-names":false,"suffix":""},{"dropping-particle":"","family":"Xie","given":"Kang","non-dropping-particle":"","parse-names":false,"suffix":""},{"dropping-particle":"","family":"Lv","given":"Minghui","non-dropping-particle":"","parse-names":false,"suffix":""},{"dropping-particle":"","family":"Li","given":"Jufei","non-dropping-particle":"","parse-names":false,"suffix":""},{"dropping-particle":"","family":"Yao","given":"Jianyu","non-dropping-particle":"","parse-names":false,"suffix":""},{"dropping-particle":"","family":"Yan","given":"Kaixuan","non-dropping-particle":"","parse-names":false,"suffix":""},{"dropping-particle":"","family":"Wu","given":"Xiaoqin","non-dropping-particle":"","parse-names":false,"suffix":""},{"dropping-particle":"","family":"Xu","given":"Ying","non-dropping-particle":"","parse-names":false,"suffix":""},{"dropping-particle":"","family":"Ye","given":"Dewei","non-dropping-particle":"","parse-names":false,"suffix":""}],"container-title":"Biomedicine and Pharmacotherapy","id":"ITEM-1","issued":{"date-parts":[["2021"]]},"title":"Anti-inflammatory phytochemicals for the treatment of diabetes and its complications: Lessons learned and future promise","type":"article-journal","volume":"133"},"uris":["http://www.mendeley.com/documents/?uuid=3c9c4246-31c0-4004-b014-c38e63be0cc4"]}],"mendeley":{"formattedCitation":"[18]","plainTextFormattedCitation":"[18]","previouslyFormattedCitation":"[17]"},"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[18]</w:t>
            </w:r>
            <w:r w:rsidRPr="001E7569">
              <w:rPr>
                <w:rFonts w:ascii="Times New Roman" w:eastAsia="Noto Sans CJK SC" w:hAnsi="Times New Roman" w:cs="Times New Roman"/>
                <w:lang w:eastAsia="zh-CN" w:bidi="hi-IN"/>
              </w:rPr>
              <w:fldChar w:fldCharType="end"/>
            </w:r>
          </w:p>
        </w:tc>
        <w:tc>
          <w:tcPr>
            <w:tcW w:w="8306" w:type="dxa"/>
          </w:tcPr>
          <w:p w14:paraId="28B0A358" w14:textId="3193B45F" w:rsidR="00D31988" w:rsidRPr="001E7569" w:rsidRDefault="00D31988" w:rsidP="00D31988">
            <w:pPr>
              <w:widowControl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E7569">
              <w:rPr>
                <w:rFonts w:ascii="Times New Roman" w:eastAsia="Calibri" w:hAnsi="Times New Roman" w:cs="Times New Roman"/>
              </w:rPr>
              <w:t xml:space="preserve">Berberine, </w:t>
            </w:r>
            <w:r w:rsidR="00B231D5" w:rsidRPr="001E7569">
              <w:rPr>
                <w:rFonts w:ascii="Times New Roman" w:eastAsia="Calibri" w:hAnsi="Times New Roman" w:cs="Times New Roman"/>
              </w:rPr>
              <w:t>Resveratrol,</w:t>
            </w:r>
            <w:r w:rsidRPr="001E7569">
              <w:rPr>
                <w:rFonts w:ascii="Times New Roman" w:eastAsia="Calibri" w:hAnsi="Times New Roman" w:cs="Times New Roman"/>
              </w:rPr>
              <w:t xml:space="preserve"> </w:t>
            </w:r>
            <w:r w:rsidR="00B231D5" w:rsidRPr="001E7569">
              <w:rPr>
                <w:rFonts w:ascii="Times New Roman" w:eastAsia="Calibri" w:hAnsi="Times New Roman" w:cs="Times New Roman"/>
              </w:rPr>
              <w:t>Emodin, Ellagic</w:t>
            </w:r>
            <w:r w:rsidRPr="001E7569">
              <w:rPr>
                <w:rFonts w:ascii="Times New Roman" w:eastAsia="Calibri" w:hAnsi="Times New Roman" w:cs="Times New Roman"/>
              </w:rPr>
              <w:t xml:space="preserve"> acid, Epigallocatechin gallate, Curcumin, Baicalein, Naringenin, </w:t>
            </w:r>
            <w:proofErr w:type="spellStart"/>
            <w:r w:rsidRPr="001E7569">
              <w:rPr>
                <w:rFonts w:ascii="Times New Roman" w:eastAsia="Calibri" w:hAnsi="Times New Roman" w:cs="Times New Roman"/>
              </w:rPr>
              <w:t>Hesperetin</w:t>
            </w:r>
            <w:proofErr w:type="spellEnd"/>
            <w:r w:rsidRPr="001E7569">
              <w:rPr>
                <w:rFonts w:ascii="Times New Roman" w:eastAsia="Calibri" w:hAnsi="Times New Roman" w:cs="Times New Roman"/>
              </w:rPr>
              <w:t xml:space="preserve">, Chrysin, Genistein, Kaempferol, </w:t>
            </w:r>
            <w:proofErr w:type="spellStart"/>
            <w:r w:rsidR="00B231D5" w:rsidRPr="001E7569">
              <w:rPr>
                <w:rFonts w:ascii="Times New Roman" w:eastAsia="Calibri" w:hAnsi="Times New Roman" w:cs="Times New Roman"/>
              </w:rPr>
              <w:t>Eriodictyol</w:t>
            </w:r>
            <w:proofErr w:type="spellEnd"/>
            <w:r w:rsidR="00B231D5" w:rsidRPr="001E7569">
              <w:rPr>
                <w:rFonts w:ascii="Times New Roman" w:eastAsia="Calibri" w:hAnsi="Times New Roman" w:cs="Times New Roman"/>
              </w:rPr>
              <w:t>, Apigenin, Quercetin</w:t>
            </w:r>
          </w:p>
        </w:tc>
      </w:tr>
      <w:tr w:rsidR="00D31988" w:rsidRPr="001E7569" w14:paraId="0E88EEB0"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46B970FF" w14:textId="61A20F49"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{"citationItems":[{"id":"ITEM-1","itemData":{"abstract":"The available drugs for diabetes, Insulin or Oral hypoglycemic agents have one or more side effects. Search for new antidiabetic drugs with minimal or no side effects from medicinal plants is a challenge according to WHO recommendations. In this aspect, the present work was undertaken to study indigenous plant Puerariatuberosa DC. (Fabaceae) is a perennial climber, commonly known as Vidarikand or Indian Kudzu. The tuber of P. tuberosa is used in indigenous system of Indian medicine as tonic, aphrodisiac, antirheumatic, diuretic and galactogogue. In the present study petroleum ether, chloroform, ethanol and aqueous extracts of P. tuberosa tubers were subjected to phytochemical investigation and evaluated for antidiabetic activity in Streptozotocin (STZ) induced diabetic rats. Dose selection was made on the basis of acute oral toxicity study (300-5000 mg/kg body weight) as per OECD guidelines. Oral glucose tolerance test was performed in experimental diabetic rats. Diabetes was induced by a single intraperitoneal injection of STZ (50 mg/kg b.w.). After STZ induction, the hyperglycemic rats were treated with all four extracts orally at the dose 500 mg/kg b.w. daily for 21 days. Glibenclamide (2.5 mg/kg b.w., p.o.) was used as reference drug. Fasting blood glucose level and changes in body weight were measured on days 0, 7, 14, and 21. Statistical analyses were performed using one-way ANOVA followed by Bonferronni's multiple comparison tests. Steroid, triterpenoid, glycoside, carbohydrate, alkaloids, flavanoid, tannin, protein and amino acid were found in the group tests. All the extracts at oral doses of 500 mg/kg b.w. significantly (p&lt;0.001) exhibited antidiabetic activity in STZ-induced diabetic rats by reducing and normalizing the elevated fasting BGL as compared to those of STZ control group. The ethanol and aqueous extracts were most active. This study concludes that P. tuberosa tuber confirmed promising antidiabetic activity in STZ-induced diabetic rats.","author":[{"dropping-particle":"","family":"Tripathi","given":"Akhilesh K","non-dropping-particle":"","parse-names":false,"suffix":""},{"dropping-particle":"","family":"Kohli","given":"Seema","non-dropping-particle":"","parse-names":false,"suffix":""}],"container-title":"Asian J. Med. Pharm. Res","id":"ITEM-1","issue":"3","issued":{"date-parts":[["2013"]]},"page":"66-73","title":"Anti-Diabetic Activity and Phytochemical Screening of Crude Extracts of PuerariaTuberosa DC. (FABACEAE) Grown in India on STZ -Induced Diabetic Rats","type":"article-journal","volume":"3"},"uris":["http://www.mendeley.com/documents/?uuid=bed48ea3-d9ee-4e4f-922c-bf9e6e595873"]}],"mendeley":{"formattedCitation":"[19]","plainTextFormattedCitation":"[19]","previouslyFormattedCitation":"[18]"},"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[19]</w:t>
            </w:r>
            <w:r w:rsidRPr="001E7569">
              <w:rPr>
                <w:rFonts w:ascii="Times New Roman" w:eastAsia="Noto Sans CJK SC" w:hAnsi="Times New Roman" w:cs="Times New Roman"/>
                <w:lang w:eastAsia="zh-CN" w:bidi="hi-IN"/>
              </w:rPr>
              <w:fldChar w:fldCharType="end"/>
            </w:r>
          </w:p>
        </w:tc>
        <w:tc>
          <w:tcPr>
            <w:tcW w:w="8306" w:type="dxa"/>
          </w:tcPr>
          <w:p w14:paraId="5330B47D" w14:textId="2BB96342"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Steroids, Triterpenoids, Saponins, Glycosides, Carbohydrates, Alkaloids, </w:t>
            </w:r>
            <w:r w:rsidR="00B231D5" w:rsidRPr="001E7569">
              <w:rPr>
                <w:rFonts w:ascii="Times New Roman" w:eastAsia="Noto Sans CJK SC" w:hAnsi="Times New Roman" w:cs="Times New Roman"/>
                <w:lang w:eastAsia="zh-CN" w:bidi="hi-IN"/>
              </w:rPr>
              <w:t>Flavonoids,</w:t>
            </w:r>
            <w:r w:rsidRPr="001E7569">
              <w:rPr>
                <w:rFonts w:ascii="Times New Roman" w:eastAsia="Noto Sans CJK SC" w:hAnsi="Times New Roman" w:cs="Times New Roman"/>
                <w:lang w:eastAsia="zh-CN" w:bidi="hi-IN"/>
              </w:rPr>
              <w:t xml:space="preserve"> Tannins &amp; Phenolic, Proteins, Amino acid</w:t>
            </w:r>
          </w:p>
        </w:tc>
      </w:tr>
      <w:tr w:rsidR="00D31988" w:rsidRPr="001E7569" w14:paraId="404BED43"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36399028" w14:textId="57868FC6"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{"citationItems":[{"id":"ITEM-1","itemData":{"DOI":"10.1016/j.heliyon.2022.e08771","ISSN":"24058440","abstract":"Momordica dioica (M. dioica) is a gourd like blooming plant that is readily available in Bangladesh, requiring biological research to discover its therapeutic values. The goal of our research was to see if the ethanolic extract of this plant had any anti-hyperglycemic properties. Water, glibenclamide and M. dioica extracts were fed to Streptozocin induced type-2 diabetic rat models at a dose of 1.25 g/kg body weight (bw) for 28 days to see what kind of effects they had on serum glucose, insulin, liver glycogen and lipid contents. Except for the control group, all the groups followed a pattern of maintaining the body weight. The oral glucose tolerance test was observed to be improved in extract after 14 days of the experiment. When assessed with the control group, the M. dioica extract showed a significant (p = 0.0015) decrease in postprandial serum glucose level (M±SD, mmol/l, 13.23 ± 1.03 control Vs 11.47 ± 2.21 extract) at 120 min. The treatment of diabetic model rats with extract resulted in a 7% (p &lt; 0.0001) reduction in serum cholesterol levels. While subsequent 28 days of treatment, insulin levels were found to be lowered in all groups (from 246.76 to 200.44 pg/dL; p &lt; 0.0001 for standard and from 309.01 to 204.61 pg/dL; p &lt; 0.0001 for sample). The results revealed that prolonged administration of M. dioica improved the glycemic and lipidemic state of type-2 diabetic rats, implying that more research is needed to identify the active ingredient (s).","author":[{"dropping-particle":"","family":"Hassan","given":"Md Mynul","non-dropping-particle":"","parse-names":false,"suffix":""},{"dropping-particle":"","family":"Uddin","given":"Shihab","non-dropping-particle":"","parse-names":false,"suffix":""},{"dropping-particle":"","family":"Bhowmik","given":"Amrita","non-dropping-particle":"","parse-names":false,"suffix":""},{"dropping-particle":"","family":"Ashraf","given":"Ayesha","non-dropping-particle":"","parse-names":false,"suffix":""},{"dropping-particle":"","family":"Islam","given":"Md Mahmodul","non-dropping-particle":"","parse-names":false,"suffix":""},{"dropping-particle":"","family":"Rokeya","given":"Begum","non-dropping-particle":"","parse-names":false,"suffix":""}],"container-title":"Heliyon","id":"ITEM-1","issue":"1","issued":{"date-parts":[["2022"]]},"title":"Phytochemical screening and antidiabetic effects of fruit rind of Momordica dioica roxb. on streptozocin induced type 2 diabetic rats","type":"article-journal","volume":"8"},"uris":["http://www.mendeley.com/documents/?uuid=6ac6fd04-526b-4762-9fc2-87c79924bff4"]}],"mendeley":{"formattedCitation":"[20]","plainTextFormattedCitation":"[20]","previouslyFormattedCitation":"[19]"},"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[20]</w:t>
            </w:r>
            <w:r w:rsidRPr="001E7569">
              <w:rPr>
                <w:rFonts w:ascii="Times New Roman" w:eastAsia="Noto Sans CJK SC" w:hAnsi="Times New Roman" w:cs="Times New Roman"/>
                <w:lang w:eastAsia="zh-CN" w:bidi="hi-IN"/>
              </w:rPr>
              <w:fldChar w:fldCharType="end"/>
            </w:r>
          </w:p>
        </w:tc>
        <w:tc>
          <w:tcPr>
            <w:tcW w:w="8306" w:type="dxa"/>
          </w:tcPr>
          <w:p w14:paraId="595C2D8A"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Tannin, Saponin, Alkaloid, Flavonoid, Phenol, Terpenoid, Carbohydrate</w:t>
            </w:r>
          </w:p>
        </w:tc>
      </w:tr>
      <w:tr w:rsidR="00D31988" w:rsidRPr="005B7229" w14:paraId="158989B8"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3BD9ECEC" w14:textId="37E82C7E"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{"citationItems":[{"id":"ITEM-1","itemData":{"abstract":"Diabetes is increasing at an alarming rate worldwide with high mortality and posing severe health and economic burden. Secreted frizzled related protein 4 (SFRP4) is released from adipose tissues to suppress insulin exocytosis from β-cells of pancreas and acts as a biomarker for early detection of T2D. In present study, the 3D structure of human SFRP4 was predicted using comparative modeling approach and evaluated through online bioinformatics tools. The best predicted model of SFRP4 was used as a receptor in molecular docking studies. Phytochemicals from already reported antidiabetic plants were docked and screened using molecular operating environment (MOE) software to target SFRP4. The ligands were optimized and a database was constructed in MOE. Out of 850 compounds from 150 antidiabetic plants taken from PubChem database, singrin was found to be the most potent one with root mean square deviation (RMSD) value of 1.39, S-score of-10.06 and by interactions to five amino acids of SFRP4 active pocket. Furthermore, boeravinone E, boeravinone D, wedelolactone, squamosamide and taxifolin also interacted strongly to SFRP4 by exhibiting RMSD values of 1.00, 0.94, 1.89, 1.37, 1.28 and S-scores of-12.45,-11.26,-9.25,-7.26,-10.66, respectively. These phytochemicals are proposed to act as potential medicine for delaying the onset and treating T2D by specifically targeting SFRP4.","author":[{"dropping-particle":"","family":"Yasmin","given":"Aysha","non-dropping-particle":"","parse-names":false,"suffix":""},{"dropping-particle":"","family":"Zahoor","given":"Kashif","non-dropping-particle":"","parse-names":false,"suffix":""},{"dropping-particle":"","family":"Mustafa","given":"Ghulam","non-dropping-particle":"","parse-names":false,"suffix":""},{"dropping-particle":"","family":"Rasul","given":"Azhar","non-dropping-particle":"","parse-names":false,"suffix":""},{"dropping-particle":"","family":"Pharm Sci","given":"Pak J","non-dropping-particle":"","parse-names":false,"suffix":""},{"dropping-particle":"","family":"Anwer Bukhari","given":"Shazia","non-dropping-particle":"","parse-names":false,"suffix":""},{"dropping-particle":"","family":"Kashif Zahoor","given":"Muhammad","non-dropping-particle":"","parse-names":false,"suffix":""}],"container-title":"Article in Pakistan Journal of Pharmaceutical Sciences","id":"ITEM-1","issue":"3","issued":{"date-parts":[["2020"]]},"page":"1245-1250","title":"Screening of novel phytochemicals as secreted frizzled-related protein 4 inhibitors: An early stage biomarker of Type 2 diabetes","type":"article-journal","volume":"33"},"uris":["http://www.mendeley.com/documents/?uuid=9ef9c6e0-7b03-498d-af7a-897dec554894"]}],"mendeley":{"formattedCitation":"[21]","plainTextFormattedCitation":"[21]","previouslyFormattedCitation":"[20]"},"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[21]</w:t>
            </w:r>
            <w:r w:rsidRPr="001E7569">
              <w:rPr>
                <w:rFonts w:ascii="Times New Roman" w:eastAsia="Noto Sans CJK SC" w:hAnsi="Times New Roman" w:cs="Times New Roman"/>
                <w:lang w:eastAsia="zh-CN" w:bidi="hi-IN"/>
              </w:rPr>
              <w:fldChar w:fldCharType="end"/>
            </w:r>
          </w:p>
        </w:tc>
        <w:tc>
          <w:tcPr>
            <w:tcW w:w="8306" w:type="dxa"/>
          </w:tcPr>
          <w:p w14:paraId="3262DB73"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val="it-IT" w:eastAsia="zh-CN" w:bidi="hi-IN"/>
              </w:rPr>
            </w:pPr>
            <w:r w:rsidRPr="001E7569">
              <w:rPr>
                <w:rFonts w:ascii="Times New Roman" w:eastAsia="Noto Sans CJK SC" w:hAnsi="Times New Roman" w:cs="Times New Roman"/>
                <w:lang w:val="it-IT" w:eastAsia="zh-CN" w:bidi="hi-IN"/>
              </w:rPr>
              <w:t>Singrin, Boeravinone E, Boeravinone D, Wedelolactone, Squamosamide , Taxifolin</w:t>
            </w:r>
          </w:p>
        </w:tc>
      </w:tr>
      <w:tr w:rsidR="00D31988" w:rsidRPr="001E7569" w14:paraId="40AE69E5"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5875217F" w14:textId="39F4F7CB"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{"citationItems":[{"id":"ITEM-1","itemData":{"DOI":"10.1007/978-3-030-04408-4_4","ISBN":"9783030044084","abstract":"Type 2 diabetes mellitus (T2DM) is one of the most important contemporary medical problems that exceed 200 million worldwide. T2DM causes increased risks of cardiovascular disease, kidney failure, blindness, neuropathy, and peripheral circulatory disease. In this chapter; we discuss dietary phytochemicals, and their different species commonly used in dietary fibers and that have shown experimental or clinical antidiabetic activity in all over word. The dietary phytochemicals which are most effective and the most commonly studied in relation to T2DM are polyphenols (simple phenolic acids, anthocyanins, cyanidin, flavonoids, ferulic acid, resveratrol, chalcones, lignans, curcumin, luteolin); flavonoid; isoflavonoids; saponins (ginsenoside, alloxan); amino acid (SACS, 4-hydroxyisoleucine, beta-pyrazol-1-ylalanine); terpenoids (geranylgeraniol, farnesol, geraniol terpenoids); glycosides (oleanolic acid, charantin); carotenoids (lycopene and b-carotene); phytosterols/stanols (phytic acid, a-galactosides, phenolics); linoleic acid; stevioside; oxyphytosterol; fagomine, dietary gallate; and ABA. All dietary phytochemicals have shown different types of mechanism of action and varying degrees of antidiabetic activity.","author":[{"dropping-particle":"","family":"Singh","given":"Rajbala","non-dropping-particle":"","parse-names":false,"suffix":""},{"dropping-particle":"","family":"Kazmi","given":"Imran","non-dropping-particle":"","parse-names":false,"suffix":""},{"dropping-particle":"","family":"Afzal","given":"Muhammad","non-dropping-particle":"","parse-names":false,"suffix":""},{"dropping-particle":"","family":"Imam","given":"Faisal","non-dropping-particle":"","parse-names":false,"suffix":""},{"dropping-particle":"","family":"Alharbi","given":"Khalid Saad","non-dropping-particle":"","parse-names":false,"suffix":""}],"container-title":"Plant and Human Health, Volume 3: Pharmacology and Therapeutic Uses","id":"ITEM-1","issued":{"date-parts":[["2019"]]},"page":"65-86","title":"Dietary Phytochemicals and Their Potential Effects on Diabetes Mellitus 2","type":"article-journal","volume":"3"},"uris":["http://www.mendeley.com/documents/?uuid=52395a55-2516-405e-a671-5dcf9252b4cb"]}],"mendeley":{"formattedCitation":"[22]","plainTextFormattedCitation":"[22]","previouslyFormattedCitation":"[21]"},"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[22]</w:t>
            </w:r>
            <w:r w:rsidRPr="001E7569">
              <w:rPr>
                <w:rFonts w:ascii="Times New Roman" w:eastAsia="Noto Sans CJK SC" w:hAnsi="Times New Roman" w:cs="Times New Roman"/>
                <w:lang w:eastAsia="zh-CN" w:bidi="hi-IN"/>
              </w:rPr>
              <w:fldChar w:fldCharType="end"/>
            </w:r>
          </w:p>
        </w:tc>
        <w:tc>
          <w:tcPr>
            <w:tcW w:w="8306" w:type="dxa"/>
          </w:tcPr>
          <w:p w14:paraId="2092F42F"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Polyphenols, Amino Acid, Saponins, Terpenoids, Abscisic Acid, Lycopene and b-Carotene, </w:t>
            </w:r>
            <w:proofErr w:type="spellStart"/>
            <w:r w:rsidRPr="001E7569">
              <w:rPr>
                <w:rFonts w:ascii="Times New Roman" w:eastAsia="Noto Sans CJK SC" w:hAnsi="Times New Roman" w:cs="Times New Roman"/>
                <w:lang w:eastAsia="zh-CN" w:bidi="hi-IN"/>
              </w:rPr>
              <w:t>Oxyphytosterol</w:t>
            </w:r>
            <w:proofErr w:type="spellEnd"/>
            <w:r w:rsidRPr="001E7569">
              <w:rPr>
                <w:rFonts w:ascii="Times New Roman" w:eastAsia="Noto Sans CJK SC" w:hAnsi="Times New Roman" w:cs="Times New Roman"/>
                <w:lang w:eastAsia="zh-CN" w:bidi="hi-IN"/>
              </w:rPr>
              <w:t>, Phytosterols/Stanols</w:t>
            </w:r>
          </w:p>
        </w:tc>
      </w:tr>
      <w:tr w:rsidR="00D31988" w:rsidRPr="001E7569" w14:paraId="7001044C"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7E214038" w14:textId="52FFEC39"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{"citationItems":[{"id":"ITEM-1","itemData":{"DOI":"10.1016/j.phrs.2011.07.004","ISSN":"10961186","abstract":"The incidence of obesity is rising at an alarming rate and is becoming a major public health concern with incalculable social costs. Indeed, obesity facilitates the development of metabolic disorders such as diabetes, hypertension, and cardiovascular diseases in addition to chronic diseases such as stroke, osteoarthritis, sleep apnea, some cancers, and inflammation-bases pathologies. In this review we summarize the progresses made in our understanding of obesity, including the role of inflammation process, the recently understood endocrine function of adipose tissue, as well as passive roles of processes of energy storage and adipogenesis related to fat cell lifecycle: differentiation, maturation, and apoptosis. In addition, the article discusses the anti-obesity potential of dietary phytochemicals and analyzes their mechanisms of action, e.g. induction of apoptosis and lipolysis and inhibition of inflammation. © 2011 Elsevier Ltd.","author":[{"dropping-particle":"","family":"González-Castejón","given":"Marta","non-dropping-particle":"","parse-names":false,"suffix":""},{"dropping-particle":"","family":"Rodriguez-Casado","given":"Arantxa","non-dropping-particle":"","parse-names":false,"suffix":""}],"container-title":"Pharmacological Research","id":"ITEM-1","issue":"5","issued":{"date-parts":[["2011"]]},"page":"438-455","title":"Dietary phytochemicals and their potential effects on obesity: A review","type":"article-journal","volume":"64"},"uris":["http://www.mendeley.com/documents/?uuid=5001cabc-4c83-4724-ad9c-d3567419664e"]}],"mendeley":{"formattedCitation":"[23]","plainTextFormattedCitation":"[23]","previouslyFormattedCitation":"[22]"},"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[23]</w:t>
            </w:r>
            <w:r w:rsidRPr="001E7569">
              <w:rPr>
                <w:rFonts w:ascii="Times New Roman" w:eastAsia="Noto Sans CJK SC" w:hAnsi="Times New Roman" w:cs="Times New Roman"/>
                <w:lang w:eastAsia="zh-CN" w:bidi="hi-IN"/>
              </w:rPr>
              <w:fldChar w:fldCharType="end"/>
            </w:r>
          </w:p>
        </w:tc>
        <w:tc>
          <w:tcPr>
            <w:tcW w:w="8306" w:type="dxa"/>
          </w:tcPr>
          <w:p w14:paraId="5CA98FDD"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Epigallocatechin gallate, </w:t>
            </w:r>
            <w:proofErr w:type="spellStart"/>
            <w:r w:rsidRPr="001E7569">
              <w:rPr>
                <w:rFonts w:ascii="Times New Roman" w:eastAsia="Noto Sans CJK SC" w:hAnsi="Times New Roman" w:cs="Times New Roman"/>
                <w:lang w:eastAsia="zh-CN" w:bidi="hi-IN"/>
              </w:rPr>
              <w:t>Cyandin</w:t>
            </w:r>
            <w:proofErr w:type="spellEnd"/>
            <w:r w:rsidRPr="001E7569">
              <w:rPr>
                <w:rFonts w:ascii="Times New Roman" w:eastAsia="Noto Sans CJK SC" w:hAnsi="Times New Roman" w:cs="Times New Roman"/>
                <w:lang w:eastAsia="zh-CN" w:bidi="hi-IN"/>
              </w:rPr>
              <w:t xml:space="preserve"> and cyanidin 3-glucoside, Soy isoflavones mixture, Genistein, Naringin, Quercetin, Berberine, Resveratrol</w:t>
            </w:r>
          </w:p>
        </w:tc>
      </w:tr>
      <w:tr w:rsidR="00D31988" w:rsidRPr="001E7569" w14:paraId="5D71D72B"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720ED0D7" w14:textId="7C226786"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{"citationItems":[{"id":"ITEM-1","itemData":{"DOI":"10.20307/nps.2021.27.2.99","ISSN":"22889027","abstract":"Type 2 diabetes mellitus (T2DM) and its complications are important noncommunicable diseases with high mortality rates. Protein tyrosine phosphatase 1B (PTP1B) and aldose reductase inhibitors are recently approached and advanced for T2DM and its complications therapy. Matricaria chamomilla L. is acknowledged as a worldwide medicinal herb that has many beneficial health effects as well as antidiabetic effects. Our research was designed to determine the most potential antidiabetic phytochemicals from M. chamomilla employing in silico study. 142 phytochemicals were obtained from the databases. The first screening employed iGEMdock and Swiss ADME, involving 93 phytochemicals. Finally, 30 best phytochemicals were docked. Molecular docking and visualization analysis were performed using Avogadro, AutoDock 4.2., and Biovia Discovery Studio 2016. Molecular docking results demonstrate that ligand-protein interaction's binding affinities were -5.16 to -7.54 kcal/ mol and -5.30 to -12.10 kcal/mol for PTP1B and aldose reductase protein targets respectively. In silico results demonstrate that M. chamomilla has potential antidiabetic phytochemical compounds for T2DM and its complications. We recommended anthecotulide, quercetin, chlorogenic acid, luteolin, and catechin as antidiabetic agents due to their binding affinities against both PTP1B and aldose reductase protein. Those phytochemicals' significant efficacy and potential as antidiabetic must be investigated in further advanced research.","author":[{"dropping-particle":"","family":"Hariftyani","given":"Arisvia Sukma","non-dropping-particle":"","parse-names":false,"suffix":""},{"dropping-particle":"","family":"Kurniawati","given":"Lady Aqnes","non-dropping-particle":"","parse-names":false,"suffix":""},{"dropping-particle":"","family":"Khaerunnisa","given":"Siti","non-dropping-particle":"","parse-names":false,"suffix":""},{"dropping-particle":"","family":"Veterini","given":"Anna Surgean","non-dropping-particle":"","parse-names":false,"suffix":""},{"dropping-particle":"","family":"Setiawati","given":"Yuani","non-dropping-particle":"","parse-names":false,"suffix":""},{"dropping-particle":"","family":"Awaluddin","given":"Rizki","non-dropping-particle":"","parse-names":false,"suffix":""}],"container-title":"Natural Product Sciences","id":"ITEM-1","issue":"2","issued":{"date-parts":[["2021"]]},"page":"99-114","title":"In silico analysis of potential antidiabetic phytochemicals from Matricaria chamomilla l. Against ptp1b and aldose reductase for type 2 diabetes mellitus and its complications","type":"article-journal","volume":"27"},"uris":["http://www.mendeley.com/documents/?uuid=87241c41-5832-4778-9e49-939366eb0ca3"]}],"mendeley":{"formattedCitation":"[24]","plainTextFormattedCitation":"[24]","previouslyFormattedCitation":"[23]"},"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[24]</w:t>
            </w:r>
            <w:r w:rsidRPr="001E7569">
              <w:rPr>
                <w:rFonts w:ascii="Times New Roman" w:eastAsia="Noto Sans CJK SC" w:hAnsi="Times New Roman" w:cs="Times New Roman"/>
                <w:lang w:eastAsia="zh-CN" w:bidi="hi-IN"/>
              </w:rPr>
              <w:fldChar w:fldCharType="end"/>
            </w:r>
          </w:p>
        </w:tc>
        <w:tc>
          <w:tcPr>
            <w:tcW w:w="8306" w:type="dxa"/>
          </w:tcPr>
          <w:p w14:paraId="3D6EC469"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6-Methoxykaempferol, α-</w:t>
            </w:r>
            <w:proofErr w:type="spellStart"/>
            <w:r w:rsidRPr="001E7569">
              <w:rPr>
                <w:rFonts w:ascii="Times New Roman" w:eastAsia="Noto Sans CJK SC" w:hAnsi="Times New Roman" w:cs="Times New Roman"/>
                <w:lang w:eastAsia="zh-CN" w:bidi="hi-IN"/>
              </w:rPr>
              <w:t>Bisabolol</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Anthecotulide</w:t>
            </w:r>
            <w:proofErr w:type="spellEnd"/>
            <w:r w:rsidRPr="001E7569">
              <w:rPr>
                <w:rFonts w:ascii="Times New Roman" w:eastAsia="Noto Sans CJK SC" w:hAnsi="Times New Roman" w:cs="Times New Roman"/>
                <w:lang w:eastAsia="zh-CN" w:bidi="hi-IN"/>
              </w:rPr>
              <w:t xml:space="preserve">, Apigenin, Apigenin-7-glucoside, </w:t>
            </w:r>
            <w:proofErr w:type="spellStart"/>
            <w:r w:rsidRPr="001E7569">
              <w:rPr>
                <w:rFonts w:ascii="Times New Roman" w:eastAsia="Noto Sans CJK SC" w:hAnsi="Times New Roman" w:cs="Times New Roman"/>
                <w:lang w:eastAsia="zh-CN" w:bidi="hi-IN"/>
              </w:rPr>
              <w:t>Axillarin</w:t>
            </w:r>
            <w:proofErr w:type="spellEnd"/>
            <w:r w:rsidRPr="001E7569">
              <w:rPr>
                <w:rFonts w:ascii="Times New Roman" w:eastAsia="Noto Sans CJK SC" w:hAnsi="Times New Roman" w:cs="Times New Roman"/>
                <w:lang w:eastAsia="zh-CN" w:bidi="hi-IN"/>
              </w:rPr>
              <w:t xml:space="preserve">, Azulene, β-Sitosterol, Caffeic acid, Catechin, Chlorogenic acid, </w:t>
            </w:r>
            <w:proofErr w:type="spellStart"/>
            <w:r w:rsidRPr="001E7569">
              <w:rPr>
                <w:rFonts w:ascii="Times New Roman" w:eastAsia="Noto Sans CJK SC" w:hAnsi="Times New Roman" w:cs="Times New Roman"/>
                <w:lang w:eastAsia="zh-CN" w:bidi="hi-IN"/>
              </w:rPr>
              <w:t>Chrysoeriol</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lastRenderedPageBreak/>
              <w:t>Chrysosplenetin</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Eupatoletin</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Isoferulic</w:t>
            </w:r>
            <w:proofErr w:type="spellEnd"/>
            <w:r w:rsidRPr="001E7569">
              <w:rPr>
                <w:rFonts w:ascii="Times New Roman" w:eastAsia="Noto Sans CJK SC" w:hAnsi="Times New Roman" w:cs="Times New Roman"/>
                <w:lang w:eastAsia="zh-CN" w:bidi="hi-IN"/>
              </w:rPr>
              <w:t xml:space="preserve"> acid, Isorhamnetin, </w:t>
            </w:r>
            <w:proofErr w:type="spellStart"/>
            <w:r w:rsidRPr="001E7569">
              <w:rPr>
                <w:rFonts w:ascii="Times New Roman" w:eastAsia="Noto Sans CJK SC" w:hAnsi="Times New Roman" w:cs="Times New Roman"/>
                <w:lang w:eastAsia="zh-CN" w:bidi="hi-IN"/>
              </w:rPr>
              <w:t>Jaceidin</w:t>
            </w:r>
            <w:proofErr w:type="spellEnd"/>
            <w:r w:rsidRPr="001E7569">
              <w:rPr>
                <w:rFonts w:ascii="Times New Roman" w:eastAsia="Noto Sans CJK SC" w:hAnsi="Times New Roman" w:cs="Times New Roman"/>
                <w:lang w:eastAsia="zh-CN" w:bidi="hi-IN"/>
              </w:rPr>
              <w:t xml:space="preserve">, Kaempferol, Linoleic acid, Luteolin, </w:t>
            </w:r>
            <w:proofErr w:type="spellStart"/>
            <w:r w:rsidRPr="001E7569">
              <w:rPr>
                <w:rFonts w:ascii="Times New Roman" w:eastAsia="Noto Sans CJK SC" w:hAnsi="Times New Roman" w:cs="Times New Roman"/>
                <w:lang w:eastAsia="zh-CN" w:bidi="hi-IN"/>
              </w:rPr>
              <w:t>Matricarin</w:t>
            </w:r>
            <w:proofErr w:type="spellEnd"/>
            <w:r w:rsidRPr="001E7569">
              <w:rPr>
                <w:rFonts w:ascii="Times New Roman" w:eastAsia="Noto Sans CJK SC" w:hAnsi="Times New Roman" w:cs="Times New Roman"/>
                <w:lang w:eastAsia="zh-CN" w:bidi="hi-IN"/>
              </w:rPr>
              <w:t xml:space="preserve">, Oleic acid, </w:t>
            </w:r>
            <w:proofErr w:type="spellStart"/>
            <w:r w:rsidRPr="001E7569">
              <w:rPr>
                <w:rFonts w:ascii="Times New Roman" w:eastAsia="Noto Sans CJK SC" w:hAnsi="Times New Roman" w:cs="Times New Roman"/>
                <w:lang w:eastAsia="zh-CN" w:bidi="hi-IN"/>
              </w:rPr>
              <w:t>Patuletin</w:t>
            </w:r>
            <w:proofErr w:type="spellEnd"/>
            <w:r w:rsidRPr="001E7569">
              <w:rPr>
                <w:rFonts w:ascii="Times New Roman" w:eastAsia="Noto Sans CJK SC" w:hAnsi="Times New Roman" w:cs="Times New Roman"/>
                <w:lang w:eastAsia="zh-CN" w:bidi="hi-IN"/>
              </w:rPr>
              <w:t xml:space="preserve">, Quercetagetin-3,6,7,3',4'-, </w:t>
            </w:r>
            <w:proofErr w:type="spellStart"/>
            <w:r w:rsidRPr="001E7569">
              <w:rPr>
                <w:rFonts w:ascii="Times New Roman" w:eastAsia="Noto Sans CJK SC" w:hAnsi="Times New Roman" w:cs="Times New Roman"/>
                <w:lang w:eastAsia="zh-CN" w:bidi="hi-IN"/>
              </w:rPr>
              <w:t>pentamethylether</w:t>
            </w:r>
            <w:proofErr w:type="spellEnd"/>
            <w:r w:rsidRPr="001E7569">
              <w:rPr>
                <w:rFonts w:ascii="Times New Roman" w:eastAsia="Noto Sans CJK SC" w:hAnsi="Times New Roman" w:cs="Times New Roman"/>
                <w:lang w:eastAsia="zh-CN" w:bidi="hi-IN"/>
              </w:rPr>
              <w:t xml:space="preserve">, Quercetin, </w:t>
            </w:r>
            <w:proofErr w:type="spellStart"/>
            <w:r w:rsidRPr="001E7569">
              <w:rPr>
                <w:rFonts w:ascii="Times New Roman" w:eastAsia="Noto Sans CJK SC" w:hAnsi="Times New Roman" w:cs="Times New Roman"/>
                <w:lang w:eastAsia="zh-CN" w:bidi="hi-IN"/>
              </w:rPr>
              <w:t>Sinapic</w:t>
            </w:r>
            <w:proofErr w:type="spellEnd"/>
            <w:r w:rsidRPr="001E7569">
              <w:rPr>
                <w:rFonts w:ascii="Times New Roman" w:eastAsia="Noto Sans CJK SC" w:hAnsi="Times New Roman" w:cs="Times New Roman"/>
                <w:lang w:eastAsia="zh-CN" w:bidi="hi-IN"/>
              </w:rPr>
              <w:t xml:space="preserve"> acid, </w:t>
            </w:r>
            <w:proofErr w:type="spellStart"/>
            <w:r w:rsidRPr="001E7569">
              <w:rPr>
                <w:rFonts w:ascii="Times New Roman" w:eastAsia="Noto Sans CJK SC" w:hAnsi="Times New Roman" w:cs="Times New Roman"/>
                <w:lang w:eastAsia="zh-CN" w:bidi="hi-IN"/>
              </w:rPr>
              <w:t>Spinacetin</w:t>
            </w:r>
            <w:proofErr w:type="spellEnd"/>
            <w:r w:rsidRPr="001E7569">
              <w:rPr>
                <w:rFonts w:ascii="Times New Roman" w:eastAsia="Noto Sans CJK SC" w:hAnsi="Times New Roman" w:cs="Times New Roman"/>
                <w:lang w:eastAsia="zh-CN" w:bidi="hi-IN"/>
              </w:rPr>
              <w:t xml:space="preserve">, Stigmasterol, Thiamine, </w:t>
            </w:r>
            <w:proofErr w:type="spellStart"/>
            <w:r w:rsidRPr="001E7569">
              <w:rPr>
                <w:rFonts w:ascii="Times New Roman" w:eastAsia="Noto Sans CJK SC" w:hAnsi="Times New Roman" w:cs="Times New Roman"/>
                <w:lang w:eastAsia="zh-CN" w:bidi="hi-IN"/>
              </w:rPr>
              <w:t>Umbeliferone</w:t>
            </w:r>
            <w:proofErr w:type="spellEnd"/>
            <w:r w:rsidRPr="001E7569">
              <w:rPr>
                <w:rFonts w:ascii="Times New Roman" w:eastAsia="Noto Sans CJK SC" w:hAnsi="Times New Roman" w:cs="Times New Roman"/>
                <w:lang w:eastAsia="zh-CN" w:bidi="hi-IN"/>
              </w:rPr>
              <w:t>.</w:t>
            </w:r>
          </w:p>
        </w:tc>
      </w:tr>
      <w:tr w:rsidR="00D31988" w:rsidRPr="001E7569" w14:paraId="1E5E3149"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73588374" w14:textId="78B02F30"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lastRenderedPageBreak/>
              <w:fldChar w:fldCharType="begin" w:fldLock="1"/>
            </w:r>
            <w:r w:rsidR="00356D32">
              <w:rPr>
                <w:rFonts w:ascii="Times New Roman" w:eastAsia="Noto Sans CJK SC" w:hAnsi="Times New Roman" w:cs="Times New Roman"/>
                <w:lang w:eastAsia="zh-CN" w:bidi="hi-IN"/>
              </w:rPr>
              <w:instrText>ADDIN CSL_CITATION {"citationItems":[{"id":"ITEM-1","itemData":{"DOI":"10.5897/ajppx12.014","abstract":"Spices are important food supplements and/or food products, which have been used as flavouring agents and preservatives for thousands of years in tropical Africa, Asia and other parts of the world. They are well known for their medicinal properties, and their use in traditional systems of medicine has been on record for a long time. Although, epidemiological and clinical studies have indicated that spices are important source of natural antioxidant having the digestive stimulant action, bioavailability enhancement nature, carminative attribute, antimicrobial activity, hypolipidemic property, antidiabetic influence, antioxidant capacity, anti-inflammatory ability, anticarcinogenic potential and neuroprotective effect. The present review reports the phytochemical constituents and mode of action of some tropical spices as antidiabetic and antihypertensive agents. The conclusion of this review may help in undertaking research for the development of functional foods and nutraceuticals.","author":[{"dropping-particle":"","family":"Adefegha","given":"Adeniyi","non-dropping-particle":"","parse-names":false,"suffix":""}],"container-title":"African Journal of Pharmacy and Pharmacology","id":"ITEM-1","issue":"7","issued":{"date-parts":[["2013"]]},"page":"332-346","title":"Phytochemistry and mode of action of some tropical spices in the management of type-2 diabetes and hypertension","type":"article-journal","volume":"7"},"uris":["http://www.mendeley.com/documents/?uuid=fa130101-fff0-4327-adfe-76b2febcdbbe"]}],"mendeley":{"formattedCitation":"[25]","plainTextFormattedCitation":"[25]","previouslyFormattedCitation":"[24]"},"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[25]</w:t>
            </w:r>
            <w:r w:rsidRPr="001E7569">
              <w:rPr>
                <w:rFonts w:ascii="Times New Roman" w:eastAsia="Noto Sans CJK SC" w:hAnsi="Times New Roman" w:cs="Times New Roman"/>
                <w:lang w:eastAsia="zh-CN" w:bidi="hi-IN"/>
              </w:rPr>
              <w:fldChar w:fldCharType="end"/>
            </w:r>
          </w:p>
        </w:tc>
        <w:tc>
          <w:tcPr>
            <w:tcW w:w="8306" w:type="dxa"/>
          </w:tcPr>
          <w:p w14:paraId="25B7FC7E"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saponins, alkaloids, terpenes, phenylpropanoids, isoprenoids, steroids, coumarins, flavonoids, phenolic acids, lignans, contain chemicals such as flavonoids, terpenoids, lignans, sulfides, polyphenolics, carotenoids, coumarins</w:t>
            </w:r>
          </w:p>
        </w:tc>
      </w:tr>
      <w:tr w:rsidR="00D31988" w:rsidRPr="001E7569" w14:paraId="2188ED3F"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1E958A40" w14:textId="3098FA7D"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{"citationItems":[{"id":"ITEM-1","itemData":{"DOI":"10.4172/2329-9533.1000139","abstract":"Cancer is one of the leading causes of death worldwide. The agents capable of causing damage to genetic material are known as genotoxins and, according to their mode of action, are classified into mutagens, carcinogens, or teratogens. Genotoxins are also involved in the pathogenesis of several chronic degenerative diseases, including hepatic, neurodegenerative, and cardiovascular disorders; diabetes; arthritis; cancer; chronic inflammation; and ageing. In recent decades, researchers have found novel bioactive phytocompounds able to counteract the effects of physical and chemical mutagens. Several studies have shown the antigenotoxic potential of different fruits and plants (Part 1). In this review (Part 2), we present a research overview conducted on some plants and vegetables (spirulina, broccoli, chamomile, cocoa, ginger, laurel, marigold, roselle, and rosemary), which are frequently consumed by humans. In addition, an analysis of some phytochemicals extracted from those vegetables and the analysis of a resin (propolis),whose antigenotoxic power has been demonstrated in various tests, including the Ames assay, sister chromatid exchange, chromosomal aberrations, micronucleus, and comet assay, was also performed.","author":[{"dropping-particle":"","family":"Atere","given":"Tope Gafar","non-dropping-particle":"","parse-names":false,"suffix":""},{"dropping-particle":"","family":"Akinloye","given":"Oluseyi Adeboye","non-dropping-particle":"","parse-names":false,"suffix":""},{"dropping-particle":"","family":"Ugbaja","given":"Regina Ngozi","non-dropping-particle":"","parse-names":false,"suffix":""},{"dropping-particle":"","family":"Ajiboye Ojo","given":"David","non-dropping-particle":"","parse-names":false,"suffix":""},{"dropping-particle":"","family":"Samuel Metibemu","given":"Damilohun","non-dropping-particle":"","parse-names":false,"suffix":""},{"dropping-particle":"","family":"Omotuyi","given":"Idowu olaposi","non-dropping-particle":"","parse-names":false,"suffix":""}],"container-title":"Journal of Applied Bioinformatics &amp; Computational Biology","id":"ITEM-1","issue":"03","issued":{"date-parts":[["2017"]]},"title":"Molecular Interactions and Docking Studies of the Phytochemical Constituents of Costus Afer against Therapeutic Targets of Type 2 Diabetes.","type":"article-journal","volume":"06"},"uris":["http://www.mendeley.com/documents/?uuid=49e0cc77-daed-4de9-bf5e-3bc1f7e307f6"]}],"mendeley":{"formattedCitation":"[26]","plainTextFormattedCitation":"[26]","previouslyFormattedCitation":"[25]"},"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[26]</w:t>
            </w:r>
            <w:r w:rsidRPr="001E7569">
              <w:rPr>
                <w:rFonts w:ascii="Times New Roman" w:eastAsia="Noto Sans CJK SC" w:hAnsi="Times New Roman" w:cs="Times New Roman"/>
                <w:lang w:eastAsia="zh-CN" w:bidi="hi-IN"/>
              </w:rPr>
              <w:fldChar w:fldCharType="end"/>
            </w:r>
          </w:p>
        </w:tc>
        <w:tc>
          <w:tcPr>
            <w:tcW w:w="8306" w:type="dxa"/>
          </w:tcPr>
          <w:p w14:paraId="69E56CB9"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(9Z,12Z)-octadeca-9,12-dienoic acid, 4-[Bis(2-hydroxyethyl)amino]phenyl]-1,1,2-ethylenetricarbonitrile, 1-(2-(</w:t>
            </w:r>
            <w:proofErr w:type="spellStart"/>
            <w:r w:rsidRPr="001E7569">
              <w:rPr>
                <w:rFonts w:ascii="Times New Roman" w:eastAsia="Noto Sans CJK SC" w:hAnsi="Times New Roman" w:cs="Times New Roman"/>
                <w:lang w:eastAsia="zh-CN" w:bidi="hi-IN"/>
              </w:rPr>
              <w:t>methylthio</w:t>
            </w:r>
            <w:proofErr w:type="spellEnd"/>
            <w:r w:rsidRPr="001E7569">
              <w:rPr>
                <w:rFonts w:ascii="Times New Roman" w:eastAsia="Noto Sans CJK SC" w:hAnsi="Times New Roman" w:cs="Times New Roman"/>
                <w:lang w:eastAsia="zh-CN" w:bidi="hi-IN"/>
              </w:rPr>
              <w:t>)pyrimidin-4-yl)</w:t>
            </w:r>
            <w:proofErr w:type="spellStart"/>
            <w:r w:rsidRPr="001E7569">
              <w:rPr>
                <w:rFonts w:ascii="Times New Roman" w:eastAsia="Noto Sans CJK SC" w:hAnsi="Times New Roman" w:cs="Times New Roman"/>
                <w:lang w:eastAsia="zh-CN" w:bidi="hi-IN"/>
              </w:rPr>
              <w:t>ethanone</w:t>
            </w:r>
            <w:proofErr w:type="spellEnd"/>
            <w:r w:rsidRPr="001E7569">
              <w:rPr>
                <w:rFonts w:ascii="Times New Roman" w:eastAsia="Noto Sans CJK SC" w:hAnsi="Times New Roman" w:cs="Times New Roman"/>
                <w:lang w:eastAsia="zh-CN" w:bidi="hi-IN"/>
              </w:rPr>
              <w:t>, 1-(2-chloropyridin-4-yl)</w:t>
            </w:r>
            <w:proofErr w:type="spellStart"/>
            <w:r w:rsidRPr="001E7569">
              <w:rPr>
                <w:rFonts w:ascii="Times New Roman" w:eastAsia="Noto Sans CJK SC" w:hAnsi="Times New Roman" w:cs="Times New Roman"/>
                <w:lang w:eastAsia="zh-CN" w:bidi="hi-IN"/>
              </w:rPr>
              <w:t>ethanone</w:t>
            </w:r>
            <w:proofErr w:type="spellEnd"/>
            <w:r w:rsidRPr="001E7569">
              <w:rPr>
                <w:rFonts w:ascii="Times New Roman" w:eastAsia="Noto Sans CJK SC" w:hAnsi="Times New Roman" w:cs="Times New Roman"/>
                <w:lang w:eastAsia="zh-CN" w:bidi="hi-IN"/>
              </w:rPr>
              <w:t>, 1-(furan-2-yl)</w:t>
            </w:r>
            <w:proofErr w:type="spellStart"/>
            <w:r w:rsidRPr="001E7569">
              <w:rPr>
                <w:rFonts w:ascii="Times New Roman" w:eastAsia="Noto Sans CJK SC" w:hAnsi="Times New Roman" w:cs="Times New Roman"/>
                <w:lang w:eastAsia="zh-CN" w:bidi="hi-IN"/>
              </w:rPr>
              <w:t>ethanone</w:t>
            </w:r>
            <w:proofErr w:type="spellEnd"/>
            <w:r w:rsidRPr="001E7569">
              <w:rPr>
                <w:rFonts w:ascii="Times New Roman" w:eastAsia="Noto Sans CJK SC" w:hAnsi="Times New Roman" w:cs="Times New Roman"/>
                <w:lang w:eastAsia="zh-CN" w:bidi="hi-IN"/>
              </w:rPr>
              <w:t xml:space="preserve">, 1,19-Eicosadiene, 2-methoxyphenol, 2-Pentadecanone, 2-Phenyloxazole-4-carboxylic acid, 2-Propenoic acid-3-(4-hydroxy-3-methethoxyphenly </w:t>
            </w:r>
            <w:proofErr w:type="spellStart"/>
            <w:r w:rsidRPr="001E7569">
              <w:rPr>
                <w:rFonts w:ascii="Times New Roman" w:eastAsia="Noto Sans CJK SC" w:hAnsi="Times New Roman" w:cs="Times New Roman"/>
                <w:lang w:eastAsia="zh-CN" w:bidi="hi-IN"/>
              </w:rPr>
              <w:t>ferullic</w:t>
            </w:r>
            <w:proofErr w:type="spellEnd"/>
            <w:r w:rsidRPr="001E7569">
              <w:rPr>
                <w:rFonts w:ascii="Times New Roman" w:eastAsia="Noto Sans CJK SC" w:hAnsi="Times New Roman" w:cs="Times New Roman"/>
                <w:lang w:eastAsia="zh-CN" w:bidi="hi-IN"/>
              </w:rPr>
              <w:t xml:space="preserve"> acid, 2,3-Dihydrobenzofuran-5-boronic acid, 2,6-Dimethoxyphenol, 7-decen-4-olide, 14-Methylpentadecanoic acid, </w:t>
            </w:r>
            <w:proofErr w:type="spellStart"/>
            <w:r w:rsidRPr="001E7569">
              <w:rPr>
                <w:rFonts w:ascii="Times New Roman" w:eastAsia="Noto Sans CJK SC" w:hAnsi="Times New Roman" w:cs="Times New Roman"/>
                <w:lang w:eastAsia="zh-CN" w:bidi="hi-IN"/>
              </w:rPr>
              <w:t>Citronellyl</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isobutyrate</w:t>
            </w:r>
            <w:proofErr w:type="spellEnd"/>
            <w:r w:rsidRPr="001E7569">
              <w:rPr>
                <w:rFonts w:ascii="Times New Roman" w:eastAsia="Noto Sans CJK SC" w:hAnsi="Times New Roman" w:cs="Times New Roman"/>
                <w:lang w:eastAsia="zh-CN" w:bidi="hi-IN"/>
              </w:rPr>
              <w:t>, E stilbene, Inositol 1,4,5-trisphosphate, Methyl stearate, n-</w:t>
            </w:r>
            <w:proofErr w:type="spellStart"/>
            <w:r w:rsidRPr="001E7569">
              <w:rPr>
                <w:rFonts w:ascii="Times New Roman" w:eastAsia="Noto Sans CJK SC" w:hAnsi="Times New Roman" w:cs="Times New Roman"/>
                <w:lang w:eastAsia="zh-CN" w:bidi="hi-IN"/>
              </w:rPr>
              <w:t>Hexadecanoic</w:t>
            </w:r>
            <w:proofErr w:type="spellEnd"/>
            <w:r w:rsidRPr="001E7569">
              <w:rPr>
                <w:rFonts w:ascii="Times New Roman" w:eastAsia="Noto Sans CJK SC" w:hAnsi="Times New Roman" w:cs="Times New Roman"/>
                <w:lang w:eastAsia="zh-CN" w:bidi="hi-IN"/>
              </w:rPr>
              <w:t xml:space="preserve"> acid, Phenol, 2,6-bis(bromomethyl)-4-chloro-3,5-dimethyl, Phytol</w:t>
            </w:r>
          </w:p>
        </w:tc>
      </w:tr>
      <w:tr w:rsidR="00D31988" w:rsidRPr="001E7569" w14:paraId="47A0E88D"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1D023CEA" w14:textId="65AD8510"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{"citationItems":[{"id":"ITEM-1","itemData":{"DOI":"10.1155/2018/1943203","ISSN":"17414288","abstract":"Fenugreek (Trigonella foenum-graecum) is used as a spice throughout the world. It is known for its medicinal properties such as antidiabetic, anticarcinogenic, and immunological activities. The present study shows the properties and the nutritional quality of fenugreek seed extract and focuses on screening of active compounds in drug designing for type 2 diabetes and breast cancer. Quantitative analysis was used to calculate the percentages of protein, carbohydrates moisture, fatty acid, galactomannan, oil, and amino acid. Phytochemical analysis revealed the presence of flavonoids, terpenoids, phenols, proteins, saponins, and tannins in fenugreek seed extracts. Molecular docking and molecular dynamics simulation-based computational drug discovery methods were employed to address the role of fenugreek seed constituents against type 2 diabetes and breast cancer. The computational results reveal that the compound galactomannan can be ascribed as potential drug candidate against breast cancer and type 2 diabetes rendered by higher molecular dock scores, stable molecular dynamics (MD) simulations results, and lower binding energy calculations.","author":[{"dropping-particle":"","family":"Rampogu","given":"Shailima","non-dropping-particle":"","parse-names":false,"suffix":""},{"dropping-particle":"","family":"Parameswaran","given":"Saravanan","non-dropping-particle":"","parse-names":false,"suffix":""},{"dropping-particle":"","family":"Lemuel","given":"Mary Rampogu","non-dropping-particle":"","parse-names":false,"suffix":""},{"dropping-particle":"","family":"Lee","given":"Keun Woo","non-dropping-particle":"","parse-names":false,"suffix":""}],"container-title":"Evidence-based Complementary and Alternative Medicine","id":"ITEM-1","issued":{"date-parts":[["2018"]]},"title":"Exploring the Therapeutic Ability of Fenugreek against Type 2 Diabetes and Breast Cancer Employing Molecular Docking and Molecular Dynamics Simulations","type":"article-journal","volume":"2018"},"uris":["http://www.mendeley.com/documents/?uuid=06b20a10-716c-4001-88bb-f7e32edff7a2"]}],"mendeley":{"formattedCitation":"[27]","plainTextFormattedCitation":"[27]","previouslyFormattedCitation":"[26]"},"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[27]</w:t>
            </w:r>
            <w:r w:rsidRPr="001E7569">
              <w:rPr>
                <w:rFonts w:ascii="Times New Roman" w:eastAsia="Noto Sans CJK SC" w:hAnsi="Times New Roman" w:cs="Times New Roman"/>
                <w:lang w:eastAsia="zh-CN" w:bidi="hi-IN"/>
              </w:rPr>
              <w:fldChar w:fldCharType="end"/>
            </w:r>
          </w:p>
        </w:tc>
        <w:tc>
          <w:tcPr>
            <w:tcW w:w="8306" w:type="dxa"/>
          </w:tcPr>
          <w:p w14:paraId="79E7AB3B" w14:textId="3EC2CE76"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proofErr w:type="spellStart"/>
            <w:r w:rsidRPr="001E7569">
              <w:rPr>
                <w:rFonts w:ascii="Times New Roman" w:eastAsia="Noto Sans CJK SC" w:hAnsi="Times New Roman" w:cs="Times New Roman"/>
                <w:lang w:eastAsia="zh-CN" w:bidi="hi-IN"/>
              </w:rPr>
              <w:t>Flavanoid</w:t>
            </w:r>
            <w:proofErr w:type="spellEnd"/>
            <w:r w:rsidRPr="001E7569">
              <w:rPr>
                <w:rFonts w:ascii="Times New Roman" w:eastAsia="Noto Sans CJK SC" w:hAnsi="Times New Roman" w:cs="Times New Roman"/>
                <w:lang w:eastAsia="zh-CN" w:bidi="hi-IN"/>
              </w:rPr>
              <w:t xml:space="preserve">, </w:t>
            </w:r>
            <w:r w:rsidR="00B231D5" w:rsidRPr="001E7569">
              <w:rPr>
                <w:rFonts w:ascii="Times New Roman" w:eastAsia="Noto Sans CJK SC" w:hAnsi="Times New Roman" w:cs="Times New Roman"/>
                <w:lang w:eastAsia="zh-CN" w:bidi="hi-IN"/>
              </w:rPr>
              <w:t>Tannin, Terpenoids</w:t>
            </w:r>
            <w:r w:rsidRPr="001E7569">
              <w:rPr>
                <w:rFonts w:ascii="Times New Roman" w:eastAsia="Noto Sans CJK SC" w:hAnsi="Times New Roman" w:cs="Times New Roman"/>
                <w:lang w:eastAsia="zh-CN" w:bidi="hi-IN"/>
              </w:rPr>
              <w:t>, Alkaloids, Saponins</w:t>
            </w:r>
          </w:p>
        </w:tc>
      </w:tr>
      <w:tr w:rsidR="00D31988" w:rsidRPr="001E7569" w14:paraId="47442B3D"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03063547" w14:textId="20B86306"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{"citationItems":[{"id":"ITEM-1","itemData":{"DOI":"10.14715/CMB/2021.67.5.3","ISSN":"1165158X","PMID":"35818276","abstract":"The research aims to identify the inhibitory potential of natural dietary phytochemicals against non-insulinotropic target protein alpha-glucosidase and its possible implications to diabetes mellitus type 2. A data set of sixteen plant-derived dietary molecules viz., 4,5-dimethyl-3-hydroxy-2(5H)-furanone, apigenin, bromelain, caffeic acid, cholecalciferol, dihydrokaempferol 7-o-glucopyranoside, galactomannan, genkwanin, isoimperatorin, luteolin, luteolin 7-o-glucoside, neohesperidin, oleanoic acid, pelargonidin-3-rutinoside, quercetin, and quinic acid were taken to accomplish molecular docking succeeded by their comparison with known inhibitors including acarbose, miglitol, voglibose, emiglitate, and 1-deoxynojirimycin. Among all phyto-compounds, bromelain (ΔG: -9.54 kcal/mol), cholecalciferol (-8.47 kcal/mol), luteolin (-9.02 kcal/mol), and neohesperidin (-8.53 kcal/mol) demonstrated better binding interactions with alpha-glucosidase in comparison to the best-known inhibitor, acarbose (ΔG: -7.93 kcal/mol). Molecular dynamics simulation of 10 ns duration, CYP450 site of metabolism identification, and prediction of activity spectra for substances depicted the bromelain as the most stable inhibitor compared to luteolin and acarbose. Findings of molecular interactions, molecular dynamics study, metabolism, and biological activity prediction proved bromelain as a potential alpha-glucosidase inhibitor. Thus, bromelain might be helpful as an insulin-independent therapeutic molecule towards controlling and managing diabetes mellitus type 2.","author":[{"dropping-particle":"","family":"Kausar","given":"Mohd Adnan","non-dropping-particle":"","parse-names":false,"suffix":""},{"dropping-particle":"","family":"Shahid","given":"S. M.A.","non-dropping-particle":"","parse-names":false,"suffix":""},{"dropping-particle":"","family":"Anwar","given":"Sadaf","non-dropping-particle":"","parse-names":false,"suffix":""},{"dropping-particle":"","family":"Kuddus","given":"M.","non-dropping-particle":"","parse-names":false,"suffix":""},{"dropping-particle":"","family":"Khan","given":"Mohammad Kalim Ahmad","non-dropping-particle":"","parse-names":false,"suffix":""},{"dropping-particle":"","family":"Khalifa","given":"Amany Mohammed","non-dropping-particle":"","parse-names":false,"suffix":""},{"dropping-particle":"","family":"Khatoon","given":"Fahmida","non-dropping-particle":"","parse-names":false,"suffix":""},{"dropping-particle":"","family":"Alotaibi","given":"Abdullah D.","non-dropping-particle":"","parse-names":false,"suffix":""},{"dropping-particle":"","family":"Alkhodairy","given":"Salman F.","non-dropping-particle":"","parse-names":false,"suffix":""},{"dropping-particle":"","family":"Snoussi","given":"Mejdi","non-dropping-particle":"","parse-names":false,"suffix":""},{"dropping-particle":"","family":"Arif","given":"Jamal M.","non-dropping-particle":"","parse-names":false,"suffix":""}],"container-title":"Cellular and Molecular Biology","id":"ITEM-1","issue":"5","issued":{"date-parts":[["2021"]]},"page":"16-26","title":"Identifying the alpha-glucosidase inhibitory potential of dietary phytochemicals against diabetes mellitus type 2 via molecular interactions and dynamics simulation","type":"article-journal","volume":"67"},"uris":["http://www.mendeley.com/documents/?uuid=b1c0c0e4-ba94-45c9-acc2-4d9534005692"]}],"mendeley":{"formattedCitation":"[28]","plainTextFormattedCitation":"[28]","previouslyFormattedCitation":"[27]"},"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[28]</w:t>
            </w:r>
            <w:r w:rsidRPr="001E7569">
              <w:rPr>
                <w:rFonts w:ascii="Times New Roman" w:eastAsia="Noto Sans CJK SC" w:hAnsi="Times New Roman" w:cs="Times New Roman"/>
                <w:lang w:eastAsia="zh-CN" w:bidi="hi-IN"/>
              </w:rPr>
              <w:fldChar w:fldCharType="end"/>
            </w:r>
          </w:p>
        </w:tc>
        <w:tc>
          <w:tcPr>
            <w:tcW w:w="8306" w:type="dxa"/>
          </w:tcPr>
          <w:p w14:paraId="2036A648" w14:textId="02E43316" w:rsidR="00D31988" w:rsidRPr="001E7569" w:rsidRDefault="00D31988" w:rsidP="00D31988">
            <w:pPr>
              <w:widowControl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1E7569">
              <w:rPr>
                <w:rFonts w:ascii="Times New Roman" w:eastAsia="Calibri" w:hAnsi="Times New Roman" w:cs="Times New Roman"/>
              </w:rPr>
              <w:t xml:space="preserve">4,5-dimethyl-3-hydroxy-2(5H)-furanone, apigenin, bromelain, caffeic acid, </w:t>
            </w:r>
            <w:r w:rsidR="00B231D5" w:rsidRPr="001E7569">
              <w:rPr>
                <w:rFonts w:ascii="Times New Roman" w:eastAsia="Calibri" w:hAnsi="Times New Roman" w:cs="Times New Roman"/>
              </w:rPr>
              <w:t>cholecalciferol,</w:t>
            </w:r>
            <w:r w:rsidRPr="001E7569">
              <w:rPr>
                <w:rFonts w:ascii="Times New Roman" w:eastAsia="Calibri" w:hAnsi="Times New Roman" w:cs="Times New Roman"/>
              </w:rPr>
              <w:t xml:space="preserve"> dihydrokaempferol 7-o-</w:t>
            </w:r>
            <w:r w:rsidR="00B231D5" w:rsidRPr="001E7569">
              <w:rPr>
                <w:rFonts w:ascii="Times New Roman" w:eastAsia="Calibri" w:hAnsi="Times New Roman" w:cs="Times New Roman"/>
              </w:rPr>
              <w:t>glucopyranoside,</w:t>
            </w:r>
            <w:r w:rsidRPr="001E7569">
              <w:rPr>
                <w:rFonts w:ascii="Times New Roman" w:eastAsia="Calibri" w:hAnsi="Times New Roman" w:cs="Times New Roman"/>
              </w:rPr>
              <w:t xml:space="preserve"> galactomannan, genkwanin, </w:t>
            </w:r>
            <w:proofErr w:type="spellStart"/>
            <w:r w:rsidRPr="001E7569">
              <w:rPr>
                <w:rFonts w:ascii="Times New Roman" w:eastAsia="Calibri" w:hAnsi="Times New Roman" w:cs="Times New Roman"/>
              </w:rPr>
              <w:t>isoimperatorin</w:t>
            </w:r>
            <w:proofErr w:type="spellEnd"/>
            <w:r w:rsidRPr="001E7569">
              <w:rPr>
                <w:rFonts w:ascii="Times New Roman" w:eastAsia="Calibri" w:hAnsi="Times New Roman" w:cs="Times New Roman"/>
              </w:rPr>
              <w:t xml:space="preserve">, luteolin, luteolin 7-o-glucoside, </w:t>
            </w:r>
            <w:proofErr w:type="spellStart"/>
            <w:r w:rsidRPr="001E7569">
              <w:rPr>
                <w:rFonts w:ascii="Times New Roman" w:eastAsia="Calibri" w:hAnsi="Times New Roman" w:cs="Times New Roman"/>
              </w:rPr>
              <w:t>neohesperidin</w:t>
            </w:r>
            <w:proofErr w:type="spellEnd"/>
            <w:r w:rsidRPr="001E7569">
              <w:rPr>
                <w:rFonts w:ascii="Times New Roman" w:eastAsia="Calibri" w:hAnsi="Times New Roman" w:cs="Times New Roman"/>
              </w:rPr>
              <w:t xml:space="preserve">, </w:t>
            </w:r>
            <w:proofErr w:type="spellStart"/>
            <w:r w:rsidRPr="001E7569">
              <w:rPr>
                <w:rFonts w:ascii="Times New Roman" w:eastAsia="Calibri" w:hAnsi="Times New Roman" w:cs="Times New Roman"/>
              </w:rPr>
              <w:t>oleanoic</w:t>
            </w:r>
            <w:proofErr w:type="spellEnd"/>
            <w:r w:rsidRPr="001E7569">
              <w:rPr>
                <w:rFonts w:ascii="Times New Roman" w:eastAsia="Calibri" w:hAnsi="Times New Roman" w:cs="Times New Roman"/>
              </w:rPr>
              <w:t xml:space="preserve"> </w:t>
            </w:r>
            <w:r w:rsidR="00B231D5" w:rsidRPr="001E7569">
              <w:rPr>
                <w:rFonts w:ascii="Times New Roman" w:eastAsia="Calibri" w:hAnsi="Times New Roman" w:cs="Times New Roman"/>
              </w:rPr>
              <w:t>acid,</w:t>
            </w:r>
            <w:r w:rsidRPr="001E7569">
              <w:rPr>
                <w:rFonts w:ascii="Times New Roman" w:eastAsia="Calibri" w:hAnsi="Times New Roman" w:cs="Times New Roman"/>
              </w:rPr>
              <w:t xml:space="preserve"> pelargonidin-3-rutinoside, quercetin, </w:t>
            </w:r>
            <w:proofErr w:type="spellStart"/>
            <w:r w:rsidRPr="001E7569">
              <w:rPr>
                <w:rFonts w:ascii="Times New Roman" w:eastAsia="Calibri" w:hAnsi="Times New Roman" w:cs="Times New Roman"/>
              </w:rPr>
              <w:t>quinic</w:t>
            </w:r>
            <w:proofErr w:type="spellEnd"/>
            <w:r w:rsidRPr="001E7569">
              <w:rPr>
                <w:rFonts w:ascii="Times New Roman" w:eastAsia="Calibri" w:hAnsi="Times New Roman" w:cs="Times New Roman"/>
              </w:rPr>
              <w:t xml:space="preserve"> acid</w:t>
            </w:r>
          </w:p>
          <w:p w14:paraId="6B95E88E" w14:textId="77777777" w:rsidR="00D31988" w:rsidRPr="001E7569" w:rsidRDefault="00D31988" w:rsidP="00D31988">
            <w:pPr>
              <w:widowControl w:val="0"/>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71077C9B"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p>
        </w:tc>
      </w:tr>
      <w:tr w:rsidR="00D31988" w:rsidRPr="001E7569" w14:paraId="1156543F"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1D3B906A" w14:textId="75B3177E"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10.4108/eai.17-7-2021.2312400","author":[{"dropping-particle":"","family":"Sari","given":"Yustika","non-dropping-particle":"","parse-names":false,"suffix":""},{"dropping-particle":"","family":"Indarto","given":"Dono","non-dropping-particle":"","parse-names":false,"suffix":""},{"dropping-particle":"","family":"Wasita","given":"Brian","non-dropping-particle":"","parse-names":false,"suffix":""}],"id":"ITEM-1","issued":{"date-parts":[["2021"]]},"title":"Identification of Epicatechin Gallate and Other Phytochemicals in Methanol Extract of Fresh and Dried Star-Fruits (Averrhoa carambola Linn.) for Treatment of Type 2 Diabetes Mellitus","type":"article-journal"},"uris":["http://www.mendeley.com/documents/?uuid=f40619c1-9543-4cd4-8fc6-956ef2790718"]}],"mendeley":{"formattedCitation":"[29]","plainTextFormattedCitation":"[29]","previouslyFormattedCitation":"[28]"},"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[29]</w:t>
            </w:r>
            <w:r w:rsidRPr="001E7569">
              <w:rPr>
                <w:rFonts w:ascii="Times New Roman" w:eastAsia="Noto Sans CJK SC" w:hAnsi="Times New Roman" w:cs="Times New Roman"/>
                <w:lang w:eastAsia="zh-CN" w:bidi="hi-IN"/>
              </w:rPr>
              <w:fldChar w:fldCharType="end"/>
            </w:r>
          </w:p>
        </w:tc>
        <w:tc>
          <w:tcPr>
            <w:tcW w:w="8306" w:type="dxa"/>
          </w:tcPr>
          <w:p w14:paraId="111FF067"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2,3-Butanediol, Glycerin, 4H-Pyran-4-one,2,3- dihydro-3,5-dihydroxy6-methyl, 5- </w:t>
            </w:r>
            <w:proofErr w:type="spellStart"/>
            <w:r w:rsidRPr="001E7569">
              <w:rPr>
                <w:rFonts w:ascii="Times New Roman" w:eastAsia="Noto Sans CJK SC" w:hAnsi="Times New Roman" w:cs="Times New Roman"/>
                <w:lang w:eastAsia="zh-CN" w:bidi="hi-IN"/>
              </w:rPr>
              <w:t>Hydroxymethylfurfural</w:t>
            </w:r>
            <w:proofErr w:type="spellEnd"/>
            <w:r w:rsidRPr="001E7569">
              <w:rPr>
                <w:rFonts w:ascii="Times New Roman" w:eastAsia="Noto Sans CJK SC" w:hAnsi="Times New Roman" w:cs="Times New Roman"/>
                <w:lang w:eastAsia="zh-CN" w:bidi="hi-IN"/>
              </w:rPr>
              <w:t xml:space="preserve">, D-Glucose,6-O-à-Dgalactopyranosyl, Sucrose, </w:t>
            </w:r>
            <w:proofErr w:type="spellStart"/>
            <w:r w:rsidRPr="001E7569">
              <w:rPr>
                <w:rFonts w:ascii="Times New Roman" w:eastAsia="Noto Sans CJK SC" w:hAnsi="Times New Roman" w:cs="Times New Roman"/>
                <w:lang w:eastAsia="zh-CN" w:bidi="hi-IN"/>
              </w:rPr>
              <w:t>Cyclooctasiloxane</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hexadecamethyl</w:t>
            </w:r>
            <w:proofErr w:type="spellEnd"/>
            <w:r w:rsidRPr="001E7569">
              <w:rPr>
                <w:rFonts w:ascii="Times New Roman" w:eastAsia="Noto Sans CJK SC" w:hAnsi="Times New Roman" w:cs="Times New Roman"/>
                <w:lang w:eastAsia="zh-CN" w:bidi="hi-IN"/>
              </w:rPr>
              <w:t xml:space="preserve"> -, n -</w:t>
            </w:r>
            <w:proofErr w:type="spellStart"/>
            <w:r w:rsidRPr="001E7569">
              <w:rPr>
                <w:rFonts w:ascii="Times New Roman" w:eastAsia="Noto Sans CJK SC" w:hAnsi="Times New Roman" w:cs="Times New Roman"/>
                <w:lang w:eastAsia="zh-CN" w:bidi="hi-IN"/>
              </w:rPr>
              <w:t>Hexadecanoic</w:t>
            </w:r>
            <w:proofErr w:type="spellEnd"/>
            <w:r w:rsidRPr="001E7569">
              <w:rPr>
                <w:rFonts w:ascii="Times New Roman" w:eastAsia="Noto Sans CJK SC" w:hAnsi="Times New Roman" w:cs="Times New Roman"/>
                <w:lang w:eastAsia="zh-CN" w:bidi="hi-IN"/>
              </w:rPr>
              <w:t xml:space="preserve"> acid, 4H -Pyran - 4 -one,5 - hydroxy - 2 – (hydroxymethyl)</w:t>
            </w:r>
          </w:p>
        </w:tc>
      </w:tr>
      <w:tr w:rsidR="00D31988" w:rsidRPr="001E7569" w14:paraId="67BC65B8"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37EAAA89" w14:textId="440665CE"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{"citationItems":[{"id":"ITEM-1","itemData":{"DOI":"10.2174/1573399814666181031103930","ISSN":"15733998","PMID":"30378500","abstract":"Background: Over the past decades, the development and use of an array of prescription medications have considerably improved the clinical management of type 2 diabetes mellitus and the quality of life of patients. However, as our knowledge of the associated risk factors and approaches to its management increases, the increasing roles of diet and the composition of the diet in the etiology and successful management of diabetes mellitus are being illuminated. Presently, a lot of attention is being given to nutraceuticals and certain phytochemicals that are integral parts of the human diet. It is believed that a clearer understanding of their roles may be crucial to 'non-invasive' or minimallyintrusive management, with regards to daily living of patients. In this review, an overview of nutraceutical components and phytochemicals that may be of benefit, or had been known to be beneficial in diabetes mellitus is given. Also, how the roles of such dietary components are evolving in the management of this disorder is highlighted. Lastly, the obstacles that need to be overcome before nutraceuticals can be considered as options for the clinical management of diabetes mellitus areconsidered. Conclusion: Despite studies that demonstrate their efficacy, no nutraceutical or food-derived compound has been formally adopted as a direct replacement for any class of antidiabetic drugs.","author":[{"dropping-particle":"","family":"Onaolapo","given":"Adejoke Yetunde","non-dropping-particle":"","parse-names":false,"suffix":""},{"dropping-particle":"","family":"Onaolapo","given":"Olakunle James","non-dropping-particle":"","parse-names":false,"suffix":""}],"container-title":"Current Diabetes Reviews","id":"ITEM-1","issue":"1","issued":{"date-parts":[["2018"]]},"page":"12-25","title":"Nutraceuticals and Diet-based Phytochemicals in Type 2 Diabetes Mellitus: From Whole Food to Components with Defined Roles and Mechanisms","type":"article-journal","volume":"16"},"uris":["http://www.mendeley.com/documents/?uuid=010d8981-153f-4abb-9753-eef981e5a8c1"]}],"mendeley":{"formattedCitation":"[30]","plainTextFormattedCitation":"[30]","previouslyFormattedCitation":"[29]"},"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[30]</w:t>
            </w:r>
            <w:r w:rsidRPr="001E7569">
              <w:rPr>
                <w:rFonts w:ascii="Times New Roman" w:eastAsia="Noto Sans CJK SC" w:hAnsi="Times New Roman" w:cs="Times New Roman"/>
                <w:lang w:eastAsia="zh-CN" w:bidi="hi-IN"/>
              </w:rPr>
              <w:fldChar w:fldCharType="end"/>
            </w:r>
          </w:p>
        </w:tc>
        <w:tc>
          <w:tcPr>
            <w:tcW w:w="8306" w:type="dxa"/>
          </w:tcPr>
          <w:p w14:paraId="409D25B5" w14:textId="231911FA"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Flavonoids, Alkaloids, Glycosides, Polysaccharides, Terpenoids and </w:t>
            </w:r>
            <w:r w:rsidR="00B231D5" w:rsidRPr="001E7569">
              <w:rPr>
                <w:rFonts w:ascii="Times New Roman" w:eastAsia="Noto Sans CJK SC" w:hAnsi="Times New Roman" w:cs="Times New Roman"/>
                <w:lang w:eastAsia="zh-CN" w:bidi="hi-IN"/>
              </w:rPr>
              <w:t>steroids,</w:t>
            </w:r>
            <w:r w:rsidRPr="001E7569">
              <w:rPr>
                <w:rFonts w:ascii="Times New Roman" w:eastAsia="Noto Sans CJK SC" w:hAnsi="Times New Roman" w:cs="Times New Roman"/>
                <w:lang w:eastAsia="zh-CN" w:bidi="hi-IN"/>
              </w:rPr>
              <w:t xml:space="preserve"> Saponins Isothiocyanate, </w:t>
            </w:r>
          </w:p>
        </w:tc>
      </w:tr>
      <w:tr w:rsidR="00D31988" w:rsidRPr="001E7569" w14:paraId="3509B364"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4197434C" w14:textId="51C2C777"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{"citationItems":[{"id":"ITEM-1","itemData":{"DOI":"10.1186/1475-2891-12-62","ISSN":"14752891","PMID":"23679924","abstract":"Diets high in wholegrains are associated with a 20-30% reduction in risk of developing type-2 diabetes (T2D), which is attributed to a variety of wholegrain components, notably dietary fibre, vitamins, minerals and phytochemicals. Most phytochemicals function as antioxidants in vitro and have the potential to mitigate oxidative stress and inflammation which are implicated in the pathogenesis of T2D. In this review we compare the content and bioavailability of phytochemicals in wheat, barley, rice, rye and oat varieties and critically evaluate the evidence for wholegrain cereals and cereal fractions increasing plasma phytochemical concentrations and reducing oxidative stress and inflammation in humans. Phytochemical content varies considerably within and among the major cereal varieties. Differences in genetics and agro-climatic conditions explain much of the variation. For a number of the major phytochemicals, such as phenolics and flavanoids, their content in grains may be high but because these compounds are tightly bound to the cell wall matrix, their bioavailability is often limited. Clinical trials show that postprandial plasma phenolic concentrations are increased after consumption of wholegrain wheat or wheat bran however the magnitude of the response is usually modest and transient. Whether this is sufficient to bolster antioxidant defences and translates into improved health outcomes is still uncertain. Increased phytochemical bioavailability may be achieved through bio-processing of grains but the improvements so far are small and have not yet led to changes in clinical or physiological markers associated with reduced risk of T2D. Furthermore, the effect of wholegrain cereals and cereal fractions on biomarkers of oxidative stress or strengthening antioxidant defence in healthy individuals is generally small or nonexistent, whereas biomarkers of systemic inflammation tend to be reduced in people consuming high intakes of wholegrains. Future dietary intervention studies seeking to establish a direct role of phytochemicals in mediating the metabolic health benefits of wholegrains, and their potential for mitigating disease progression, should consider using varieties that deliver the highest possible levels of bioavailable phytochemicals in the context of whole foods and diets. Both postprandial and prolonged responses in systemic phytochemical concentrations and markers of inflammation and oxidative stress should be assessed along with changes r…","author":[{"dropping-particle":"","family":"Belobrajdic","given":"Damien P.","non-dropping-particle":"","parse-names":false,"suffix":""},{"dropping-particle":"","family":"Bird","given":"Anthony R.","non-dropping-particle":"","parse-names":false,"suffix":""}],"container-title":"Nutrition Journal","id":"ITEM-1","issue":"1","issued":{"date-parts":[["2013"]]},"title":"The potential role of phytochemicals in wholegrain cereals for the prevention of type-2 diabetes","type":"article-journal","volume":"12"},"uris":["http://www.mendeley.com/documents/?uuid=bb169326-3136-4a5f-9256-630ac1b45dd9"]}],"mendeley":{"formattedCitation":"[31]","plainTextFormattedCitation":"[31]","previouslyFormattedCitation":"[30]"},"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[31]</w:t>
            </w:r>
            <w:r w:rsidRPr="001E7569">
              <w:rPr>
                <w:rFonts w:ascii="Times New Roman" w:eastAsia="Noto Sans CJK SC" w:hAnsi="Times New Roman" w:cs="Times New Roman"/>
                <w:lang w:eastAsia="zh-CN" w:bidi="hi-IN"/>
              </w:rPr>
              <w:fldChar w:fldCharType="end"/>
            </w:r>
          </w:p>
        </w:tc>
        <w:tc>
          <w:tcPr>
            <w:tcW w:w="8306" w:type="dxa"/>
          </w:tcPr>
          <w:p w14:paraId="62FD9353"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Methionine, Cystine, Selenium, Folate, Choline, Tocopherols + tocotrienols, Carotenoids, Polyphenols, Phenolic acids, Phenolic acid, Ferulic acid, </w:t>
            </w:r>
            <w:proofErr w:type="spellStart"/>
            <w:r w:rsidRPr="001E7569">
              <w:rPr>
                <w:rFonts w:ascii="Times New Roman" w:eastAsia="Noto Sans CJK SC" w:hAnsi="Times New Roman" w:cs="Times New Roman"/>
                <w:lang w:eastAsia="zh-CN" w:bidi="hi-IN"/>
              </w:rPr>
              <w:t>Flavanoids</w:t>
            </w:r>
            <w:proofErr w:type="spellEnd"/>
            <w:r w:rsidRPr="001E7569">
              <w:rPr>
                <w:rFonts w:ascii="Times New Roman" w:eastAsia="Noto Sans CJK SC" w:hAnsi="Times New Roman" w:cs="Times New Roman"/>
                <w:lang w:eastAsia="zh-CN" w:bidi="hi-IN"/>
              </w:rPr>
              <w:t xml:space="preserve">, </w:t>
            </w:r>
            <w:proofErr w:type="spellStart"/>
            <w:r w:rsidRPr="001E7569">
              <w:rPr>
                <w:rFonts w:ascii="Times New Roman" w:eastAsia="Noto Sans CJK SC" w:hAnsi="Times New Roman" w:cs="Times New Roman"/>
                <w:lang w:eastAsia="zh-CN" w:bidi="hi-IN"/>
              </w:rPr>
              <w:t>Alkylresorcinols</w:t>
            </w:r>
            <w:proofErr w:type="spellEnd"/>
            <w:r w:rsidRPr="001E7569">
              <w:rPr>
                <w:rFonts w:ascii="Times New Roman" w:eastAsia="Noto Sans CJK SC" w:hAnsi="Times New Roman" w:cs="Times New Roman"/>
                <w:lang w:eastAsia="zh-CN" w:bidi="hi-IN"/>
              </w:rPr>
              <w:t>, Avenanthramides, Betaine, Phytosterols</w:t>
            </w:r>
          </w:p>
        </w:tc>
      </w:tr>
      <w:tr w:rsidR="00D31988" w:rsidRPr="001E7569" w14:paraId="2488270D" w14:textId="77777777" w:rsidTr="00801559">
        <w:tc>
          <w:tcPr>
            <w:cnfStyle w:val="001000000000" w:firstRow="0" w:lastRow="0" w:firstColumn="1" w:lastColumn="0" w:oddVBand="0" w:evenVBand="0" w:oddHBand="0" w:evenHBand="0" w:firstRowFirstColumn="0" w:firstRowLastColumn="0" w:lastRowFirstColumn="0" w:lastRowLastColumn="0"/>
            <w:tcW w:w="1260" w:type="dxa"/>
          </w:tcPr>
          <w:p w14:paraId="5033CDCE" w14:textId="616900ED" w:rsidR="00D31988" w:rsidRPr="001E7569" w:rsidRDefault="00FF7FD8" w:rsidP="00D31988">
            <w:pPr>
              <w:widowControl w:val="0"/>
              <w:suppressLineNumbers/>
              <w:suppressAutoHyphens/>
              <w:overflowPunct w:val="0"/>
              <w:jc w:val="center"/>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fldChar w:fldCharType="begin" w:fldLock="1"/>
            </w:r>
            <w:r w:rsidR="00356D32">
              <w:rPr>
                <w:rFonts w:ascii="Times New Roman" w:eastAsia="Noto Sans CJK SC" w:hAnsi="Times New Roman" w:cs="Times New Roman"/>
                <w:lang w:eastAsia="zh-CN" w:bidi="hi-IN"/>
              </w:rPr>
              <w:instrText>ADDIN CSL_CITATION {"citationItems":[{"id":"ITEM-1","itemData":{"DOI":"10.1515/jbcpp-2013-0002","ISSN":"21910286","PMID":"23740684","abstract":"Background: Various parts of unripe pawpaw (Carica papaya Linn) fruit have been reportedly used for the management or treatment of diabetes mellitus in folklore medicine. Therefore, the present study sought to investigate the inhibitory effects of the aqueous extract of different parts of unripe pawpaw fruit on key enzymes linked to type 2 diabetes (α-amylase and α-glucosidase) and sodium nitroprusside (SNP)-induced lipid peroxidation in rat pancreas in vitro. Methods: The aqueous extracts of the unripe pawpaw (C. papaya) fruit parts were prepared (1:20 w/v) and the ability of the extracts to inhibit α-amylase, α-glucosidase and SNP-induced lipid peroxidation in rat pancreas in vitro was investigated. Results: The results revealed that all the extracts inhibited α-amylase (IC&lt;inf&gt;50&lt;/inf&gt;=0.87-1.11 mg/mL), α-glucosidase (IC&lt;inf&gt;50&lt;/inf&gt;=1.76-2.64 mg/mL) and SNP-induced lipid peroxidation (IC&lt;inf&gt;50&lt;/inf&gt; =1.99-2.42 mg/mL) in a dose-dependent manner. However, combination of the flesh, seed and peel in equal amounts had the highest inhibitory effect on α-amylase andα-glucosidase activities. Conclusions: Strong inhibitory activities of the unripe pawpaw fruit against key enzymes linked to type 2 diabetes and SNP-induced lipid peroxidation in rat pancreas could be part of the mechanism by which unripe pawpaw is used in the management/prevention of diabetes mellitus in folk medicine. However, combining the unripe pawpaw fruit parts in equal amounts exhibited synergistic properties on α-amylase and α-glucosidase inhibitory activities.","author":[{"dropping-particle":"","family":"Oboh","given":"Ganiyu","non-dropping-particle":"","parse-names":false,"suffix":""},{"dropping-particle":"","family":"Olabiyi","given":"Ayodeji A.","non-dropping-particle":"","parse-names":false,"suffix":""},{"dropping-particle":"","family":"Akinyemi","given":"Ayodele J.","non-dropping-particle":"","parse-names":false,"suffix":""},{"dropping-particle":"","family":"Ademiluyi","given":"Adedayo O.","non-dropping-particle":"","parse-names":false,"suffix":""}],"container-title":"Journal of Basic and Clinical Physiology and Pharmacology","id":"ITEM-1","issue":"1","issued":{"date-parts":[["2014"]]},"page":"21-34","title":"Inhibition of key enzymes linked to type 2 diabetes and sodium nitroprusside-induced lipid peroxidation in rat pancreas by water-extractable phytochemicals from unripe pawpaw fruit (carica papaya)","type":"article-journal","volume":"25"},"uris":["http://www.mendeley.com/documents/?uuid=45a927a7-f6f0-4b45-9966-6fb6d16a6008"]}],"mendeley":{"formattedCitation":"[32]","plainTextFormattedCitation":"[32]","previouslyFormattedCitation":"[31]"},"properties":{"noteIndex":0},"schema":"https://github.com/citation-style-language/schema/raw/master/csl-citation.json"}</w:instrText>
            </w:r>
            <w:r w:rsidRPr="001E7569">
              <w:rPr>
                <w:rFonts w:ascii="Times New Roman" w:eastAsia="Noto Sans CJK SC" w:hAnsi="Times New Roman" w:cs="Times New Roman"/>
                <w:lang w:eastAsia="zh-CN" w:bidi="hi-IN"/>
              </w:rPr>
              <w:fldChar w:fldCharType="separate"/>
            </w:r>
            <w:r w:rsidR="00356D32" w:rsidRPr="00356D32">
              <w:rPr>
                <w:rFonts w:ascii="Times New Roman" w:eastAsia="Noto Sans CJK SC" w:hAnsi="Times New Roman" w:cs="Times New Roman"/>
                <w:b w:val="0"/>
                <w:noProof/>
                <w:lang w:eastAsia="zh-CN" w:bidi="hi-IN"/>
              </w:rPr>
              <w:t>[32]</w:t>
            </w:r>
            <w:r w:rsidRPr="001E7569">
              <w:rPr>
                <w:rFonts w:ascii="Times New Roman" w:eastAsia="Noto Sans CJK SC" w:hAnsi="Times New Roman" w:cs="Times New Roman"/>
                <w:lang w:eastAsia="zh-CN" w:bidi="hi-IN"/>
              </w:rPr>
              <w:fldChar w:fldCharType="end"/>
            </w:r>
          </w:p>
        </w:tc>
        <w:tc>
          <w:tcPr>
            <w:tcW w:w="8306" w:type="dxa"/>
          </w:tcPr>
          <w:p w14:paraId="6E6B46CD" w14:textId="77777777" w:rsidR="00D31988" w:rsidRPr="001E7569" w:rsidRDefault="00D31988" w:rsidP="00D31988">
            <w:pPr>
              <w:widowControl w:val="0"/>
              <w:suppressLineNumbers/>
              <w:suppressAutoHyphens/>
              <w:overflowPunct w:val="0"/>
              <w:cnfStyle w:val="000000000000" w:firstRow="0" w:lastRow="0" w:firstColumn="0" w:lastColumn="0" w:oddVBand="0" w:evenVBand="0" w:oddHBand="0" w:evenHBand="0" w:firstRowFirstColumn="0" w:firstRowLastColumn="0" w:lastRowFirstColumn="0" w:lastRowLastColumn="0"/>
              <w:rPr>
                <w:rFonts w:ascii="Times New Roman" w:eastAsia="Noto Sans CJK SC" w:hAnsi="Times New Roman" w:cs="Times New Roman"/>
                <w:lang w:eastAsia="zh-CN" w:bidi="hi-IN"/>
              </w:rPr>
            </w:pPr>
            <w:r w:rsidRPr="001E7569">
              <w:rPr>
                <w:rFonts w:ascii="Times New Roman" w:eastAsia="Noto Sans CJK SC" w:hAnsi="Times New Roman" w:cs="Times New Roman"/>
                <w:lang w:eastAsia="zh-CN" w:bidi="hi-IN"/>
              </w:rPr>
              <w:t xml:space="preserve">Coumarin, </w:t>
            </w:r>
            <w:r w:rsidRPr="001E7569">
              <w:rPr>
                <w:rFonts w:ascii="Times New Roman" w:eastAsia="Noto Sans CJK SC" w:hAnsi="Times New Roman" w:cs="Times New Roman"/>
                <w:iCs/>
                <w:lang w:eastAsia="zh-CN" w:bidi="hi-IN"/>
              </w:rPr>
              <w:t>p</w:t>
            </w:r>
            <w:r w:rsidRPr="001E7569">
              <w:rPr>
                <w:rFonts w:ascii="Times New Roman" w:eastAsia="Noto Sans CJK SC" w:hAnsi="Times New Roman" w:cs="Times New Roman"/>
                <w:lang w:eastAsia="zh-CN" w:bidi="hi-IN"/>
              </w:rPr>
              <w:t xml:space="preserve">-Coumaric acid, </w:t>
            </w:r>
            <w:r w:rsidRPr="001E7569">
              <w:rPr>
                <w:rFonts w:ascii="Times New Roman" w:eastAsia="Noto Sans CJK SC" w:hAnsi="Times New Roman" w:cs="Times New Roman"/>
                <w:iCs/>
                <w:lang w:eastAsia="zh-CN" w:bidi="hi-IN"/>
              </w:rPr>
              <w:t>o</w:t>
            </w:r>
            <w:r w:rsidRPr="001E7569">
              <w:rPr>
                <w:rFonts w:ascii="Times New Roman" w:eastAsia="Noto Sans CJK SC" w:hAnsi="Times New Roman" w:cs="Times New Roman"/>
                <w:lang w:eastAsia="zh-CN" w:bidi="hi-IN"/>
              </w:rPr>
              <w:t xml:space="preserve">-Coumaric acid, Vanillic acid, Caffeic acid, Ferulic acid, Syringic acid, </w:t>
            </w:r>
            <w:proofErr w:type="spellStart"/>
            <w:r w:rsidRPr="001E7569">
              <w:rPr>
                <w:rFonts w:ascii="Times New Roman" w:eastAsia="Noto Sans CJK SC" w:hAnsi="Times New Roman" w:cs="Times New Roman"/>
                <w:lang w:eastAsia="zh-CN" w:bidi="hi-IN"/>
              </w:rPr>
              <w:t>Sinapinic</w:t>
            </w:r>
            <w:proofErr w:type="spellEnd"/>
            <w:r w:rsidRPr="001E7569">
              <w:rPr>
                <w:rFonts w:ascii="Times New Roman" w:eastAsia="Noto Sans CJK SC" w:hAnsi="Times New Roman" w:cs="Times New Roman"/>
                <w:lang w:eastAsia="zh-CN" w:bidi="hi-IN"/>
              </w:rPr>
              <w:t xml:space="preserve"> acid, Genistein, Apigenin, Naringenin, Kaempferol, Luteolin, Epicatechin, Epigallocatechin, Quercetin, 2-Phenylethyl-β-D-glucoside, Phenyl-6I-</w:t>
            </w:r>
            <w:r w:rsidRPr="001E7569">
              <w:rPr>
                <w:rFonts w:ascii="Times New Roman" w:eastAsia="Noto Sans CJK SC" w:hAnsi="Times New Roman" w:cs="Times New Roman"/>
                <w:iCs/>
                <w:lang w:eastAsia="zh-CN" w:bidi="hi-IN"/>
              </w:rPr>
              <w:t>O</w:t>
            </w:r>
            <w:r w:rsidRPr="001E7569">
              <w:rPr>
                <w:rFonts w:ascii="Times New Roman" w:eastAsia="Noto Sans CJK SC" w:hAnsi="Times New Roman" w:cs="Times New Roman"/>
                <w:lang w:eastAsia="zh-CN" w:bidi="hi-IN"/>
              </w:rPr>
              <w:t>-maloyl-β-D-glucoside</w:t>
            </w:r>
          </w:p>
        </w:tc>
      </w:tr>
      <w:bookmarkEnd w:id="5"/>
    </w:tbl>
    <w:p w14:paraId="7821B5FD" w14:textId="77777777" w:rsidR="00D31988" w:rsidRPr="001E7569" w:rsidRDefault="00D31988" w:rsidP="00B231D5">
      <w:pPr>
        <w:rPr>
          <w:rFonts w:ascii="Times New Roman" w:hAnsi="Times New Roman" w:cs="Times New Roman"/>
          <w:b/>
          <w:bCs/>
          <w:sz w:val="32"/>
          <w:szCs w:val="32"/>
          <w:u w:val="single"/>
        </w:rPr>
      </w:pPr>
    </w:p>
    <w:p w14:paraId="404FB1DB" w14:textId="77777777" w:rsidR="00D31988" w:rsidRDefault="00D31988" w:rsidP="00433BFC">
      <w:pPr>
        <w:jc w:val="center"/>
        <w:rPr>
          <w:rFonts w:ascii="Times New Roman" w:hAnsi="Times New Roman" w:cs="Times New Roman"/>
          <w:b/>
          <w:bCs/>
          <w:sz w:val="32"/>
          <w:szCs w:val="32"/>
          <w:u w:val="single"/>
        </w:rPr>
      </w:pPr>
    </w:p>
    <w:p w14:paraId="12A6ED68" w14:textId="77777777" w:rsidR="00210D07" w:rsidRDefault="00210D07" w:rsidP="00433BFC">
      <w:pPr>
        <w:jc w:val="center"/>
        <w:rPr>
          <w:rFonts w:ascii="Times New Roman" w:hAnsi="Times New Roman" w:cs="Times New Roman"/>
          <w:b/>
          <w:bCs/>
          <w:sz w:val="32"/>
          <w:szCs w:val="32"/>
          <w:u w:val="single"/>
        </w:rPr>
      </w:pPr>
    </w:p>
    <w:p w14:paraId="5EA653D7" w14:textId="77777777" w:rsidR="00210D07" w:rsidRDefault="00210D07" w:rsidP="00433BFC">
      <w:pPr>
        <w:jc w:val="center"/>
        <w:rPr>
          <w:rFonts w:ascii="Times New Roman" w:hAnsi="Times New Roman" w:cs="Times New Roman"/>
          <w:b/>
          <w:bCs/>
          <w:sz w:val="32"/>
          <w:szCs w:val="32"/>
          <w:u w:val="single"/>
        </w:rPr>
      </w:pPr>
    </w:p>
    <w:p w14:paraId="3916127C" w14:textId="77777777" w:rsidR="00210D07" w:rsidRDefault="00210D07" w:rsidP="00433BFC">
      <w:pPr>
        <w:jc w:val="center"/>
        <w:rPr>
          <w:rFonts w:ascii="Times New Roman" w:hAnsi="Times New Roman" w:cs="Times New Roman"/>
          <w:b/>
          <w:bCs/>
          <w:sz w:val="32"/>
          <w:szCs w:val="32"/>
          <w:u w:val="single"/>
        </w:rPr>
      </w:pPr>
    </w:p>
    <w:p w14:paraId="2AF394FE" w14:textId="77777777" w:rsidR="00210D07" w:rsidRPr="001E7569" w:rsidRDefault="00210D07" w:rsidP="00433BFC">
      <w:pPr>
        <w:jc w:val="center"/>
        <w:rPr>
          <w:rFonts w:ascii="Times New Roman" w:hAnsi="Times New Roman" w:cs="Times New Roman"/>
          <w:b/>
          <w:bCs/>
          <w:sz w:val="32"/>
          <w:szCs w:val="32"/>
          <w:u w:val="single"/>
        </w:rPr>
      </w:pPr>
    </w:p>
    <w:p w14:paraId="5B596158" w14:textId="77777777" w:rsidR="002B0218" w:rsidRPr="001E7569" w:rsidRDefault="002B0218" w:rsidP="00433BFC">
      <w:pPr>
        <w:jc w:val="center"/>
        <w:rPr>
          <w:rFonts w:ascii="Times New Roman" w:hAnsi="Times New Roman" w:cs="Times New Roman"/>
          <w:b/>
          <w:bCs/>
          <w:sz w:val="32"/>
          <w:szCs w:val="32"/>
          <w:u w:val="single"/>
        </w:rPr>
      </w:pPr>
    </w:p>
    <w:tbl>
      <w:tblPr>
        <w:tblStyle w:val="TableGrid2"/>
        <w:tblW w:w="9535" w:type="dxa"/>
        <w:tblLook w:val="04A0" w:firstRow="1" w:lastRow="0" w:firstColumn="1" w:lastColumn="0" w:noHBand="0" w:noVBand="1"/>
      </w:tblPr>
      <w:tblGrid>
        <w:gridCol w:w="1170"/>
        <w:gridCol w:w="8365"/>
      </w:tblGrid>
      <w:tr w:rsidR="00D31988" w:rsidRPr="001E7569" w14:paraId="261D69AD" w14:textId="77777777" w:rsidTr="00FC2105">
        <w:tc>
          <w:tcPr>
            <w:tcW w:w="9535" w:type="dxa"/>
            <w:gridSpan w:val="2"/>
            <w:tcBorders>
              <w:top w:val="nil"/>
              <w:left w:val="nil"/>
              <w:bottom w:val="single" w:sz="4" w:space="0" w:color="auto"/>
              <w:right w:val="nil"/>
            </w:tcBorders>
          </w:tcPr>
          <w:p w14:paraId="4C66FDA4" w14:textId="1E17227D" w:rsidR="00D31988" w:rsidRPr="001E7569" w:rsidRDefault="00D31988" w:rsidP="00356D32">
            <w:pPr>
              <w:rPr>
                <w:rFonts w:ascii="Times New Roman" w:eastAsia="Aptos" w:hAnsi="Times New Roman" w:cs="Times New Roman"/>
                <w:b/>
                <w:bCs/>
                <w:sz w:val="24"/>
                <w:szCs w:val="24"/>
              </w:rPr>
            </w:pPr>
            <w:bookmarkStart w:id="11" w:name="_Hlk215661444"/>
            <w:r w:rsidRPr="001E7569">
              <w:rPr>
                <w:rFonts w:ascii="Times New Roman" w:hAnsi="Times New Roman" w:cs="Times New Roman"/>
                <w:b/>
                <w:bCs/>
                <w:sz w:val="24"/>
                <w:szCs w:val="24"/>
              </w:rPr>
              <w:lastRenderedPageBreak/>
              <w:t>Table S</w:t>
            </w:r>
            <w:r w:rsidR="00852EE0" w:rsidRPr="001E7569">
              <w:rPr>
                <w:rFonts w:ascii="Times New Roman" w:hAnsi="Times New Roman" w:cs="Times New Roman"/>
                <w:b/>
                <w:bCs/>
                <w:sz w:val="24"/>
                <w:szCs w:val="24"/>
              </w:rPr>
              <w:t>2</w:t>
            </w:r>
            <w:r w:rsidRPr="001E7569">
              <w:rPr>
                <w:rFonts w:ascii="Times New Roman" w:hAnsi="Times New Roman" w:cs="Times New Roman"/>
                <w:b/>
                <w:bCs/>
                <w:sz w:val="24"/>
                <w:szCs w:val="24"/>
              </w:rPr>
              <w:t xml:space="preserve">. </w:t>
            </w:r>
            <w:r w:rsidRPr="001E7569">
              <w:rPr>
                <w:rFonts w:ascii="Times New Roman" w:eastAsia="Aptos" w:hAnsi="Times New Roman" w:cs="Times New Roman"/>
                <w:b/>
                <w:bCs/>
                <w:sz w:val="24"/>
                <w:szCs w:val="24"/>
              </w:rPr>
              <w:t xml:space="preserve">Collection of drug agents for </w:t>
            </w:r>
            <w:r w:rsidR="004A4633" w:rsidRPr="001E7569">
              <w:rPr>
                <w:rFonts w:ascii="Times New Roman" w:eastAsia="Aptos" w:hAnsi="Times New Roman" w:cs="Times New Roman"/>
                <w:b/>
                <w:bCs/>
                <w:sz w:val="24"/>
                <w:szCs w:val="24"/>
              </w:rPr>
              <w:t>T2D and TNBC</w:t>
            </w:r>
            <w:r w:rsidR="00334E0F" w:rsidRPr="001E7569">
              <w:rPr>
                <w:rFonts w:ascii="Times New Roman" w:eastAsia="Aptos" w:hAnsi="Times New Roman" w:cs="Times New Roman"/>
                <w:b/>
                <w:bCs/>
                <w:sz w:val="24"/>
                <w:szCs w:val="24"/>
              </w:rPr>
              <w:t xml:space="preserve"> from </w:t>
            </w:r>
            <w:proofErr w:type="spellStart"/>
            <w:r w:rsidR="00334E0F" w:rsidRPr="001E7569">
              <w:rPr>
                <w:rFonts w:ascii="Times New Roman" w:eastAsia="Aptos" w:hAnsi="Times New Roman" w:cs="Times New Roman"/>
                <w:b/>
                <w:bCs/>
                <w:sz w:val="24"/>
                <w:szCs w:val="24"/>
              </w:rPr>
              <w:t>DrugBank</w:t>
            </w:r>
            <w:proofErr w:type="spellEnd"/>
            <w:r w:rsidR="00334E0F" w:rsidRPr="001E7569">
              <w:rPr>
                <w:rFonts w:ascii="Times New Roman" w:eastAsia="Aptos" w:hAnsi="Times New Roman" w:cs="Times New Roman"/>
                <w:b/>
                <w:bCs/>
                <w:sz w:val="24"/>
                <w:szCs w:val="24"/>
              </w:rPr>
              <w:t xml:space="preserve"> database</w:t>
            </w:r>
          </w:p>
        </w:tc>
      </w:tr>
      <w:bookmarkEnd w:id="11"/>
      <w:tr w:rsidR="00D31988" w:rsidRPr="001E7569" w14:paraId="312FB3CA" w14:textId="77777777" w:rsidTr="00FC2105">
        <w:tc>
          <w:tcPr>
            <w:tcW w:w="9535" w:type="dxa"/>
            <w:gridSpan w:val="2"/>
            <w:tcBorders>
              <w:top w:val="nil"/>
              <w:left w:val="nil"/>
              <w:bottom w:val="single" w:sz="4" w:space="0" w:color="auto"/>
              <w:right w:val="nil"/>
            </w:tcBorders>
          </w:tcPr>
          <w:p w14:paraId="516BD74E" w14:textId="77777777" w:rsidR="00D31988" w:rsidRPr="001E7569" w:rsidRDefault="00D31988" w:rsidP="00FC2105">
            <w:pPr>
              <w:jc w:val="center"/>
              <w:rPr>
                <w:rFonts w:ascii="Times New Roman" w:hAnsi="Times New Roman" w:cs="Times New Roman"/>
                <w:b/>
                <w:bCs/>
                <w:sz w:val="24"/>
                <w:szCs w:val="24"/>
              </w:rPr>
            </w:pPr>
          </w:p>
        </w:tc>
      </w:tr>
      <w:tr w:rsidR="00D31988" w:rsidRPr="001E7569" w14:paraId="485EB505" w14:textId="77777777" w:rsidTr="00801559">
        <w:trPr>
          <w:trHeight w:val="171"/>
        </w:trPr>
        <w:tc>
          <w:tcPr>
            <w:tcW w:w="1170" w:type="dxa"/>
            <w:tcBorders>
              <w:top w:val="single" w:sz="4" w:space="0" w:color="auto"/>
            </w:tcBorders>
          </w:tcPr>
          <w:p w14:paraId="0E1107CE" w14:textId="77777777" w:rsidR="00D31988" w:rsidRPr="001E7569" w:rsidRDefault="00D31988" w:rsidP="00FC2105">
            <w:pPr>
              <w:jc w:val="center"/>
              <w:rPr>
                <w:rFonts w:ascii="Times New Roman" w:eastAsia="Aptos" w:hAnsi="Times New Roman" w:cs="Times New Roman"/>
                <w:b/>
                <w:bCs/>
              </w:rPr>
            </w:pPr>
            <w:r w:rsidRPr="001E7569">
              <w:rPr>
                <w:rFonts w:ascii="Times New Roman" w:eastAsia="Aptos" w:hAnsi="Times New Roman" w:cs="Times New Roman"/>
                <w:b/>
                <w:bCs/>
              </w:rPr>
              <w:t>sources</w:t>
            </w:r>
          </w:p>
        </w:tc>
        <w:tc>
          <w:tcPr>
            <w:tcW w:w="8365" w:type="dxa"/>
            <w:tcBorders>
              <w:top w:val="single" w:sz="4" w:space="0" w:color="auto"/>
            </w:tcBorders>
          </w:tcPr>
          <w:p w14:paraId="3E651EE3" w14:textId="094102DA" w:rsidR="00D31988" w:rsidRPr="001E7569" w:rsidRDefault="00334E0F" w:rsidP="00FC2105">
            <w:pPr>
              <w:jc w:val="center"/>
              <w:rPr>
                <w:rFonts w:ascii="Times New Roman" w:eastAsia="Aptos" w:hAnsi="Times New Roman" w:cs="Times New Roman"/>
                <w:b/>
                <w:bCs/>
              </w:rPr>
            </w:pPr>
            <w:r w:rsidRPr="001E7569">
              <w:rPr>
                <w:rFonts w:ascii="Times New Roman" w:eastAsia="Aptos" w:hAnsi="Times New Roman" w:cs="Times New Roman"/>
                <w:sz w:val="24"/>
                <w:szCs w:val="24"/>
              </w:rPr>
              <w:t>T2D</w:t>
            </w:r>
          </w:p>
        </w:tc>
      </w:tr>
      <w:tr w:rsidR="00D31988" w:rsidRPr="001E7569" w14:paraId="0F4534FA" w14:textId="77777777" w:rsidTr="00801559">
        <w:sdt>
          <w:sdtPr>
            <w:rPr>
              <w:rFonts w:ascii="Times New Roman" w:eastAsia="Aptos" w:hAnsi="Times New Roman" w:cs="Times New Roman"/>
              <w:color w:val="000000"/>
            </w:rPr>
            <w:tag w:val="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"/>
            <w:id w:val="1626816232"/>
            <w:placeholder>
              <w:docPart w:val="70AF4A475C904A2DA822B442672DC3E7"/>
            </w:placeholder>
          </w:sdtPr>
          <w:sdtEndPr/>
          <w:sdtContent>
            <w:tc>
              <w:tcPr>
                <w:tcW w:w="1170" w:type="dxa"/>
              </w:tcPr>
              <w:p w14:paraId="74535063" w14:textId="1AB68047" w:rsidR="00D31988" w:rsidRPr="001E7569" w:rsidRDefault="00334E0F" w:rsidP="00FC2105">
                <w:pPr>
                  <w:jc w:val="center"/>
                  <w:rPr>
                    <w:rFonts w:ascii="Times New Roman" w:eastAsia="Aptos" w:hAnsi="Times New Roman" w:cs="Times New Roman"/>
                  </w:rPr>
                </w:pPr>
                <w:r w:rsidRPr="001E7569">
                  <w:rPr>
                    <w:rFonts w:ascii="Times New Roman" w:eastAsia="Aptos" w:hAnsi="Times New Roman" w:cs="Times New Roman"/>
                  </w:rPr>
                  <w:fldChar w:fldCharType="begin" w:fldLock="1"/>
                </w:r>
                <w:r w:rsidR="00356D32">
                  <w:rPr>
                    <w:rFonts w:ascii="Times New Roman" w:eastAsia="Aptos" w:hAnsi="Times New Roman" w:cs="Times New Roman"/>
                  </w:rPr>
                  <w:instrText>ADDIN CSL_CITATION {"citationItems":[{"id":"ITEM-1","itemData":{"DOI":"10.1093/nar/gkad976","ISSN":"13624962","PMID":"37953279","abstract":"First released in 2006, DrugBank (https://go.drugbank.com) has grown to become the ‘gold standard’ knowledge resource for drug, drug–target and related pharmaceutical information. DrugBank is widely used across many diverse biomedical research and clinical applications, and averages more than 30 million views/year. Since its last update in 2018, we have been actively enhancing the quantity and quality of the drug data in this knowledgebase. In this latest release (DrugBank 6.0), the number of FDA approved drugs has grown from 2646 to 4563 (a 72% increase), the number of investigational drugs has grown from 3394 to 6231 (a 38% increase), the number of drug–drug interactions increased from 365 984 to 1 413 413 (a 300% increase), and the number of drug–food interactions expanded from 1195 to 2475 (a 200% increase). In addition to this notable expansion in database size, we have added thousands of new, colorful, richly annotated pathways depicting drug mechanisms and drug metabolism. Likewise, existing datasets have been significantly improved and expanded, by adding more information on drug indications, drug–drug interactions, drug–food interactions and many other relevant data types for 11 891 drugs. We have also added experimental and predicted MS/MS spectra, 1D/2D-NMR spectra, CCS (collision cross section), RT (retention time) and RI (retention index) data for 9464 of DrugBank’s 11 710 small molecule drugs. These and other improvements should make DrugBank 6.0 even more useful to a much wider research audience ranging from medicinal chemists to metabolomics specialists to pharmacologists.","author":[{"dropping-particle":"","family":"Knox","given":"Craig","non-dropping-particle":"","parse-names":false,"suffix":""},{"dropping-particle":"","family":"Wilson","given":"Mike","non-dropping-particle":"","parse-names":false,"suffix":""},{"dropping-particle":"","family":"Klinger","given":"Christen M.","non-dropping-particle":"","parse-names":false,"suffix":""},{"dropping-particle":"","family":"Franklin","given":"Mark","non-dropping-particle":"","parse-names":false,"suffix":""},{"dropping-particle":"","family":"Oler","given":"Eponine","non-dropping-particle":"","parse-names":false,"suffix":""},{"dropping-particle":"","family":"Wilson","given":"Alex","non-dropping-particle":"","parse-names":false,"suffix":""},{"dropping-particle":"","family":"Pon","given":"Allison","non-dropping-particle":"","parse-names":false,"suffix":""},{"dropping-particle":"","family":"Cox","given":"Jordan","non-dropping-particle":"","parse-names":false,"suffix":""},{"dropping-particle":"","family":"Chin","given":"Na Eun Lucy","non-dropping-particle":"","parse-names":false,"suffix":""},{"dropping-particle":"","family":"Strawbridge","given":"Seth A.","non-dropping-particle":"","parse-names":false,"suffix":""},{"dropping-particle":"","family":"Garcia-Patino","given":"Marysol","non-dropping-particle":"","parse-names":false,"suffix":""},{"dropping-particle":"","family":"Kruger","given":"Ray","non-dropping-particle":"","parse-names":false,"suffix":""},{"dropping-particle":"","family":"Sivakumaran","given":"Aadhavya","non-dropping-particle":"","parse-names":false,"suffix":""},{"dropping-particle":"","family":"Sanford","given":"Selena","non-dropping-particle":"","parse-names":false,"suffix":""},{"dropping-particle":"","family":"Doshi","given":"Rahil","non-dropping-particle":"","parse-names":false,"suffix":""},{"dropping-particle":"","family":"Khetarpal","given":"Nitya","non-dropping-particle":"","parse-names":false,"suffix":""},{"dropping-particle":"","family":"Fatokun","given":"Omolola","non-dropping-particle":"","parse-names":false,"suffix":""},{"dropping-particle":"","family":"Doucet","given":"Daphnee","non-dropping-particle":"","parse-names":false,"suffix":""},{"dropping-particle":"","family":"Zubkowski","given":"Ashley","non-dropping-particle":"","parse-names":false,"suffix":""},{"dropping-particle":"","family":"Rayat","given":"Dorsa Yahya","non-dropping-particle":"","parse-names":false,"suffix":""},{"dropping-particle":"","family":"Jackson","given":"Hayley","non-dropping-particle":"","parse-names":false,"suffix":""},{"dropping-particle":"","family":"Harford","given":"Karxena","non-dropping-particle":"","parse-names":false,"suffix":""},{"dropping-particle":"","family":"Anjum","given":"Afia","non-dropping-particle":"","parse-names":false,"suffix":""},{"dropping-particle":"","family":"Zakir","given":"Mahi","non-dropping-particle":"","parse-names":false,"suffix":""},{"dropping-particle":"","family":"Wang","given":"Fei","non-dropping-particle":"","parse-names":false,"suffix":""},{"dropping-particle":"","family":"Tian","given":"Siyang","non-dropping-particle":"","parse-names":false,"suffix":""},{"dropping-particle":"","family":"Lee","given":"Brian","non-dropping-particle":"","parse-names":false,"suffix":""},{"dropping-particle":"","family":"Liigand","given":"Jaanus","non-dropping-particle":"","parse-names":false,"suffix":""},{"dropping-particle":"","family":"Peters","given":"Harrison","non-dropping-particle":"","parse-names":false,"suffix":""},{"dropping-particle":"","family":"Wang","given":"Ruo Qi Rachel","non-dropping-particle":"","parse-names":false,"suffix":""},{"dropping-particle":"","family":"Nguyen","given":"Tue","non-dropping-particle":"","parse-names":false,"suffix":""},{"dropping-particle":"","family":"So","given":"Denise","non-dropping-particle":"","parse-names":false,"suffix":""},{"dropping-particle":"","family":"Sharp","given":"Matthew","non-dropping-particle":"","parse-names":false,"suffix":""},{"dropping-particle":"","family":"Silva","given":"Rodolfo","non-dropping-particle":"da","parse-names":false,"suffix":""},{"dropping-particle":"","family":"Gabriel","given":"Cyrella","non-dropping-particle":"","parse-names":false,"suffix":""},{"dropping-particle":"","family":"Scantlebury","given":"Joshua","non-dropping-particle":"","parse-names":false,"suffix":""},{"dropping-particle":"","family":"Jasinski","given":"Marissa","non-dropping-particle":"","parse-names":false,"suffix":""},{"dropping-particle":"","family":"Ackerman","given":"David","non-dropping-particle":"","parse-names":false,"suffix":""},{"dropping-particle":"","family":"Jewison","given":"Timothy","non-dropping-particle":"","parse-names":false,"suffix":""},{"dropping-particle":"","family":"Sajed","given":"Tanvir","non-dropping-particle":"","parse-names":false,"suffix":""},{"dropping-particle":"","family":"Gautam","given":"Vasuk","non-dropping-particle":"","parse-names":false,"suffix":""},{"dropping-particle":"","family":"Wishart","given":"David S.","non-dropping-particle":"","parse-names":false,"suffix":""}],"container-title":"Nucleic Acids Research","id":"ITEM-1","issue":"D1","issued":{"date-parts":[["2024"]]},"page":"D1265-D1275","title":"DrugBank 6.0: the DrugBank Knowledgebase for 2024","type":"article-journal","volume":"52"},"uris":["http://www.mendeley.com/documents/?uuid=d25b0a20-f097-404b-863a-d5e22a05bf7c"]}],"mendeley":{"formattedCitation":"[33]","plainTextFormattedCitation":"[33]","previouslyFormattedCitation":"[32]"},"properties":{"noteIndex":0},"schema":"https://github.com/citation-style-language/schema/raw/master/csl-citation.json"}</w:instrText>
                </w:r>
                <w:r w:rsidRPr="001E7569">
                  <w:rPr>
                    <w:rFonts w:ascii="Times New Roman" w:eastAsia="Aptos" w:hAnsi="Times New Roman" w:cs="Times New Roman"/>
                  </w:rPr>
                  <w:fldChar w:fldCharType="separate"/>
                </w:r>
                <w:r w:rsidR="00356D32" w:rsidRPr="00356D32">
                  <w:rPr>
                    <w:rFonts w:ascii="Times New Roman" w:eastAsia="Aptos" w:hAnsi="Times New Roman" w:cs="Times New Roman"/>
                    <w:noProof/>
                  </w:rPr>
                  <w:t>[33]</w:t>
                </w:r>
                <w:r w:rsidRPr="001E7569">
                  <w:rPr>
                    <w:rFonts w:ascii="Times New Roman" w:eastAsia="Aptos" w:hAnsi="Times New Roman" w:cs="Times New Roman"/>
                  </w:rPr>
                  <w:fldChar w:fldCharType="end"/>
                </w:r>
              </w:p>
            </w:tc>
          </w:sdtContent>
        </w:sdt>
        <w:tc>
          <w:tcPr>
            <w:tcW w:w="8365" w:type="dxa"/>
          </w:tcPr>
          <w:p w14:paraId="3B3FE26C" w14:textId="77777777" w:rsidR="00D31988" w:rsidRPr="001E7569" w:rsidRDefault="00D31988" w:rsidP="00FC2105">
            <w:pPr>
              <w:jc w:val="both"/>
              <w:rPr>
                <w:rFonts w:ascii="Times New Roman" w:eastAsia="Aptos" w:hAnsi="Times New Roman" w:cs="Times New Roman"/>
              </w:rPr>
            </w:pPr>
            <w:r w:rsidRPr="001E7569">
              <w:rPr>
                <w:rFonts w:ascii="Times New Roman" w:eastAsia="Aptos" w:hAnsi="Times New Roman" w:cs="Times New Roman"/>
              </w:rPr>
              <w:t xml:space="preserve">Thyroid, porcine, Thyrotropin alfa, Iodide I-131, Levothyroxine, Liothyronine, Iodide I-123, Technetium Tc-99m pertechnetate, Liotrix, Sorafenib, Bacillus </w:t>
            </w:r>
            <w:proofErr w:type="spellStart"/>
            <w:r w:rsidRPr="001E7569">
              <w:rPr>
                <w:rFonts w:ascii="Times New Roman" w:eastAsia="Aptos" w:hAnsi="Times New Roman" w:cs="Times New Roman"/>
              </w:rPr>
              <w:t>calmette-guerin</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substrain</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connaught</w:t>
            </w:r>
            <w:proofErr w:type="spellEnd"/>
            <w:r w:rsidRPr="001E7569">
              <w:rPr>
                <w:rFonts w:ascii="Times New Roman" w:eastAsia="Aptos" w:hAnsi="Times New Roman" w:cs="Times New Roman"/>
              </w:rPr>
              <w:t xml:space="preserve"> live antigen, Teprotumumab, Bacillus </w:t>
            </w:r>
            <w:proofErr w:type="spellStart"/>
            <w:r w:rsidRPr="001E7569">
              <w:rPr>
                <w:rFonts w:ascii="Times New Roman" w:eastAsia="Aptos" w:hAnsi="Times New Roman" w:cs="Times New Roman"/>
              </w:rPr>
              <w:t>calmette-guerin</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substrain</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russian</w:t>
            </w:r>
            <w:proofErr w:type="spellEnd"/>
            <w:r w:rsidRPr="001E7569">
              <w:rPr>
                <w:rFonts w:ascii="Times New Roman" w:eastAsia="Aptos" w:hAnsi="Times New Roman" w:cs="Times New Roman"/>
              </w:rPr>
              <w:t xml:space="preserve"> BCG-I live antigen, Cabozantinib, </w:t>
            </w:r>
            <w:proofErr w:type="spellStart"/>
            <w:r w:rsidRPr="001E7569">
              <w:rPr>
                <w:rFonts w:ascii="Times New Roman" w:eastAsia="Aptos" w:hAnsi="Times New Roman" w:cs="Times New Roman"/>
              </w:rPr>
              <w:t>Resmetirom</w:t>
            </w:r>
            <w:proofErr w:type="spellEnd"/>
            <w:r w:rsidRPr="001E7569">
              <w:rPr>
                <w:rFonts w:ascii="Times New Roman" w:eastAsia="Aptos" w:hAnsi="Times New Roman" w:cs="Times New Roman"/>
              </w:rPr>
              <w:t xml:space="preserve">, Propylthiouracil, </w:t>
            </w:r>
            <w:proofErr w:type="spellStart"/>
            <w:r w:rsidRPr="001E7569">
              <w:rPr>
                <w:rFonts w:ascii="Times New Roman" w:eastAsia="Aptos" w:hAnsi="Times New Roman" w:cs="Times New Roman"/>
              </w:rPr>
              <w:t>Nadofaragene</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firadenovec</w:t>
            </w:r>
            <w:proofErr w:type="spellEnd"/>
            <w:r w:rsidRPr="001E7569">
              <w:rPr>
                <w:rFonts w:ascii="Times New Roman" w:eastAsia="Aptos" w:hAnsi="Times New Roman" w:cs="Times New Roman"/>
              </w:rPr>
              <w:t xml:space="preserve">, Cyproterone acetate, </w:t>
            </w:r>
            <w:proofErr w:type="spellStart"/>
            <w:r w:rsidRPr="001E7569">
              <w:rPr>
                <w:rFonts w:ascii="Times New Roman" w:eastAsia="Aptos" w:hAnsi="Times New Roman" w:cs="Times New Roman"/>
              </w:rPr>
              <w:t>Nogapendekin</w:t>
            </w:r>
            <w:proofErr w:type="spellEnd"/>
            <w:r w:rsidRPr="001E7569">
              <w:rPr>
                <w:rFonts w:ascii="Times New Roman" w:eastAsia="Aptos" w:hAnsi="Times New Roman" w:cs="Times New Roman"/>
              </w:rPr>
              <w:t xml:space="preserve"> alfa, Tivozanib, Potassium perchlorate, </w:t>
            </w:r>
            <w:proofErr w:type="spellStart"/>
            <w:r w:rsidRPr="001E7569">
              <w:rPr>
                <w:rFonts w:ascii="Times New Roman" w:eastAsia="Aptos" w:hAnsi="Times New Roman" w:cs="Times New Roman"/>
              </w:rPr>
              <w:t>Vismodegib</w:t>
            </w:r>
            <w:proofErr w:type="spellEnd"/>
            <w:r w:rsidRPr="001E7569">
              <w:rPr>
                <w:rFonts w:ascii="Times New Roman" w:eastAsia="Aptos" w:hAnsi="Times New Roman" w:cs="Times New Roman"/>
              </w:rPr>
              <w:t xml:space="preserve">, Lenvatinib, Thyroglobulin, Potassium Iodide, </w:t>
            </w:r>
            <w:proofErr w:type="spellStart"/>
            <w:r w:rsidRPr="001E7569">
              <w:rPr>
                <w:rFonts w:ascii="Times New Roman" w:eastAsia="Aptos" w:hAnsi="Times New Roman" w:cs="Times New Roman"/>
              </w:rPr>
              <w:t>Temsirolimus</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Diosmin</w:t>
            </w:r>
            <w:proofErr w:type="spellEnd"/>
            <w:r w:rsidRPr="001E7569">
              <w:rPr>
                <w:rFonts w:ascii="Times New Roman" w:eastAsia="Aptos" w:hAnsi="Times New Roman" w:cs="Times New Roman"/>
              </w:rPr>
              <w:t xml:space="preserve">, Regorafenib, Methimazole, </w:t>
            </w:r>
            <w:proofErr w:type="spellStart"/>
            <w:r w:rsidRPr="001E7569">
              <w:rPr>
                <w:rFonts w:ascii="Times New Roman" w:eastAsia="Aptos" w:hAnsi="Times New Roman" w:cs="Times New Roman"/>
              </w:rPr>
              <w:t>Hexaminolevulinate</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Vandetanib</w:t>
            </w:r>
            <w:proofErr w:type="spellEnd"/>
            <w:r w:rsidRPr="001E7569">
              <w:rPr>
                <w:rFonts w:ascii="Times New Roman" w:eastAsia="Aptos" w:hAnsi="Times New Roman" w:cs="Times New Roman"/>
              </w:rPr>
              <w:t xml:space="preserve">, Doxorubicin, Aminoglutethimide, Avelumab, Carbimazole, Imiquimod, Rutin, </w:t>
            </w:r>
            <w:proofErr w:type="spellStart"/>
            <w:r w:rsidRPr="001E7569">
              <w:rPr>
                <w:rFonts w:ascii="Times New Roman" w:eastAsia="Aptos" w:hAnsi="Times New Roman" w:cs="Times New Roman"/>
              </w:rPr>
              <w:t>Dextrothyroxine</w:t>
            </w:r>
            <w:proofErr w:type="spellEnd"/>
            <w:r w:rsidRPr="001E7569">
              <w:rPr>
                <w:rFonts w:ascii="Times New Roman" w:eastAsia="Aptos" w:hAnsi="Times New Roman" w:cs="Times New Roman"/>
              </w:rPr>
              <w:t xml:space="preserve">, Carboplatin, Mitotane, </w:t>
            </w:r>
            <w:proofErr w:type="spellStart"/>
            <w:r w:rsidRPr="001E7569">
              <w:rPr>
                <w:rFonts w:ascii="Times New Roman" w:eastAsia="Aptos" w:hAnsi="Times New Roman" w:cs="Times New Roman"/>
              </w:rPr>
              <w:t>Afamitresgene</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autoleucel</w:t>
            </w:r>
            <w:proofErr w:type="spellEnd"/>
            <w:r w:rsidRPr="001E7569">
              <w:rPr>
                <w:rFonts w:ascii="Times New Roman" w:eastAsia="Aptos" w:hAnsi="Times New Roman" w:cs="Times New Roman"/>
              </w:rPr>
              <w:t xml:space="preserve">, Tiratricol, Sodium iodide, </w:t>
            </w:r>
            <w:proofErr w:type="spellStart"/>
            <w:r w:rsidRPr="001E7569">
              <w:rPr>
                <w:rFonts w:ascii="Times New Roman" w:eastAsia="Aptos" w:hAnsi="Times New Roman" w:cs="Times New Roman"/>
              </w:rPr>
              <w:t>Retifanlimab</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Sonidegib</w:t>
            </w:r>
            <w:proofErr w:type="spellEnd"/>
            <w:r w:rsidRPr="001E7569">
              <w:rPr>
                <w:rFonts w:ascii="Times New Roman" w:eastAsia="Aptos" w:hAnsi="Times New Roman" w:cs="Times New Roman"/>
              </w:rPr>
              <w:t xml:space="preserve">, Temoporfin, Vinflunine, Zileuton, Estradiol valerate, </w:t>
            </w:r>
            <w:proofErr w:type="spellStart"/>
            <w:r w:rsidRPr="001E7569">
              <w:rPr>
                <w:rFonts w:ascii="Times New Roman" w:eastAsia="Aptos" w:hAnsi="Times New Roman" w:cs="Times New Roman"/>
              </w:rPr>
              <w:t>Cemiplimab</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Carbazochrome</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Encorafenib</w:t>
            </w:r>
            <w:proofErr w:type="spellEnd"/>
            <w:r w:rsidRPr="001E7569">
              <w:rPr>
                <w:rFonts w:ascii="Times New Roman" w:eastAsia="Aptos" w:hAnsi="Times New Roman" w:cs="Times New Roman"/>
              </w:rPr>
              <w:t xml:space="preserve">, Protirelin, Somatostatin, </w:t>
            </w:r>
            <w:proofErr w:type="spellStart"/>
            <w:r w:rsidRPr="001E7569">
              <w:rPr>
                <w:rFonts w:ascii="Times New Roman" w:eastAsia="Aptos" w:hAnsi="Times New Roman" w:cs="Times New Roman"/>
              </w:rPr>
              <w:t>Axitinib</w:t>
            </w:r>
            <w:proofErr w:type="spellEnd"/>
            <w:r w:rsidRPr="001E7569">
              <w:rPr>
                <w:rFonts w:ascii="Times New Roman" w:eastAsia="Aptos" w:hAnsi="Times New Roman" w:cs="Times New Roman"/>
              </w:rPr>
              <w:t xml:space="preserve">, Dabrafenib, Esculin, Tyrosine, Hydroxyethyl Starch, Melphalan, Histamine, Sunitinib, Medroxyprogesterone acetate, </w:t>
            </w:r>
            <w:proofErr w:type="spellStart"/>
            <w:r w:rsidRPr="001E7569">
              <w:rPr>
                <w:rFonts w:ascii="Times New Roman" w:eastAsia="Aptos" w:hAnsi="Times New Roman" w:cs="Times New Roman"/>
              </w:rPr>
              <w:t>Ritlecitinib</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Penpulimab</w:t>
            </w:r>
            <w:proofErr w:type="spellEnd"/>
            <w:r w:rsidRPr="001E7569">
              <w:rPr>
                <w:rFonts w:ascii="Times New Roman" w:eastAsia="Aptos" w:hAnsi="Times New Roman" w:cs="Times New Roman"/>
              </w:rPr>
              <w:t xml:space="preserve">, Balsam of Peru, Tucatinib, Gefitinib, </w:t>
            </w:r>
            <w:proofErr w:type="spellStart"/>
            <w:r w:rsidRPr="001E7569">
              <w:rPr>
                <w:rFonts w:ascii="Times New Roman" w:eastAsia="Aptos" w:hAnsi="Times New Roman" w:cs="Times New Roman"/>
              </w:rPr>
              <w:t>Streptozocin</w:t>
            </w:r>
            <w:proofErr w:type="spellEnd"/>
            <w:r w:rsidRPr="001E7569">
              <w:rPr>
                <w:rFonts w:ascii="Times New Roman" w:eastAsia="Aptos" w:hAnsi="Times New Roman" w:cs="Times New Roman"/>
              </w:rPr>
              <w:t xml:space="preserve">, Calcipotriol, Selenic acid, </w:t>
            </w:r>
            <w:proofErr w:type="spellStart"/>
            <w:r w:rsidRPr="001E7569">
              <w:rPr>
                <w:rFonts w:ascii="Times New Roman" w:eastAsia="Aptos" w:hAnsi="Times New Roman" w:cs="Times New Roman"/>
              </w:rPr>
              <w:t>Aldesleukin</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Toripalimab</w:t>
            </w:r>
            <w:proofErr w:type="spellEnd"/>
            <w:r w:rsidRPr="001E7569">
              <w:rPr>
                <w:rFonts w:ascii="Times New Roman" w:eastAsia="Aptos" w:hAnsi="Times New Roman" w:cs="Times New Roman"/>
              </w:rPr>
              <w:t xml:space="preserve">, Pentosan </w:t>
            </w:r>
            <w:proofErr w:type="spellStart"/>
            <w:r w:rsidRPr="001E7569">
              <w:rPr>
                <w:rFonts w:ascii="Times New Roman" w:eastAsia="Aptos" w:hAnsi="Times New Roman" w:cs="Times New Roman"/>
              </w:rPr>
              <w:t>polysulfate</w:t>
            </w:r>
            <w:proofErr w:type="spellEnd"/>
            <w:r w:rsidRPr="001E7569">
              <w:rPr>
                <w:rFonts w:ascii="Times New Roman" w:eastAsia="Aptos" w:hAnsi="Times New Roman" w:cs="Times New Roman"/>
              </w:rPr>
              <w:t xml:space="preserve">, Calcium </w:t>
            </w:r>
            <w:proofErr w:type="spellStart"/>
            <w:r w:rsidRPr="001E7569">
              <w:rPr>
                <w:rFonts w:ascii="Times New Roman" w:eastAsia="Aptos" w:hAnsi="Times New Roman" w:cs="Times New Roman"/>
              </w:rPr>
              <w:t>glubionate</w:t>
            </w:r>
            <w:proofErr w:type="spellEnd"/>
            <w:r w:rsidRPr="001E7569">
              <w:rPr>
                <w:rFonts w:ascii="Times New Roman" w:eastAsia="Aptos" w:hAnsi="Times New Roman" w:cs="Times New Roman"/>
              </w:rPr>
              <w:t xml:space="preserve"> anhydrous, Erdafitinib, </w:t>
            </w:r>
            <w:proofErr w:type="spellStart"/>
            <w:r w:rsidRPr="001E7569">
              <w:rPr>
                <w:rFonts w:ascii="Times New Roman" w:eastAsia="Aptos" w:hAnsi="Times New Roman" w:cs="Times New Roman"/>
              </w:rPr>
              <w:t>Chlorotrianisenem</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Quinestrol</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Isoetharine</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Iopodic</w:t>
            </w:r>
            <w:proofErr w:type="spellEnd"/>
            <w:r w:rsidRPr="001E7569">
              <w:rPr>
                <w:rFonts w:ascii="Times New Roman" w:eastAsia="Aptos" w:hAnsi="Times New Roman" w:cs="Times New Roman"/>
              </w:rPr>
              <w:t xml:space="preserve"> acid, Trametinib, Mechlorethamine, </w:t>
            </w:r>
            <w:proofErr w:type="spellStart"/>
            <w:r w:rsidRPr="001E7569">
              <w:rPr>
                <w:rFonts w:ascii="Times New Roman" w:eastAsia="Aptos" w:hAnsi="Times New Roman" w:cs="Times New Roman"/>
              </w:rPr>
              <w:t>Tremelimumab</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Minoxidilk</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Ethiodized</w:t>
            </w:r>
            <w:proofErr w:type="spellEnd"/>
            <w:r w:rsidRPr="001E7569">
              <w:rPr>
                <w:rFonts w:ascii="Times New Roman" w:eastAsia="Aptos" w:hAnsi="Times New Roman" w:cs="Times New Roman"/>
              </w:rPr>
              <w:t xml:space="preserve"> oil, Mometasone, Cholecystokinin, Bleomycin, </w:t>
            </w:r>
            <w:proofErr w:type="spellStart"/>
            <w:r w:rsidRPr="001E7569">
              <w:rPr>
                <w:rFonts w:ascii="Times New Roman" w:eastAsia="Aptos" w:hAnsi="Times New Roman" w:cs="Times New Roman"/>
              </w:rPr>
              <w:t>Dioxybenzone</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Estramustine</w:t>
            </w:r>
            <w:proofErr w:type="spellEnd"/>
            <w:r w:rsidRPr="001E7569">
              <w:rPr>
                <w:rFonts w:ascii="Times New Roman" w:eastAsia="Aptos" w:hAnsi="Times New Roman" w:cs="Times New Roman"/>
              </w:rPr>
              <w:t xml:space="preserve">, Fluocinolone acetonide, Flutamide, Loteprednol etabonate, </w:t>
            </w:r>
            <w:proofErr w:type="spellStart"/>
            <w:r w:rsidRPr="001E7569">
              <w:rPr>
                <w:rFonts w:ascii="Times New Roman" w:eastAsia="Aptos" w:hAnsi="Times New Roman" w:cs="Times New Roman"/>
              </w:rPr>
              <w:t>Glasdegib</w:t>
            </w:r>
            <w:proofErr w:type="spellEnd"/>
            <w:r w:rsidRPr="001E7569">
              <w:rPr>
                <w:rFonts w:ascii="Times New Roman" w:eastAsia="Aptos" w:hAnsi="Times New Roman" w:cs="Times New Roman"/>
              </w:rPr>
              <w:t xml:space="preserve">, Tetryzoline, Estrone, Estrone sulfate, Pilocarpine, Panitumumab, Ferric sulfate, Goserelin, Estradiol </w:t>
            </w:r>
            <w:proofErr w:type="spellStart"/>
            <w:r w:rsidRPr="001E7569">
              <w:rPr>
                <w:rFonts w:ascii="Times New Roman" w:eastAsia="Aptos" w:hAnsi="Times New Roman" w:cs="Times New Roman"/>
              </w:rPr>
              <w:t>dienanthate</w:t>
            </w:r>
            <w:proofErr w:type="spellEnd"/>
            <w:r w:rsidRPr="001E7569">
              <w:rPr>
                <w:rFonts w:ascii="Times New Roman" w:eastAsia="Aptos" w:hAnsi="Times New Roman" w:cs="Times New Roman"/>
              </w:rPr>
              <w:t xml:space="preserve">, Diethylstilbestrol, Estradiol benzoate, Technetium Tc-99m </w:t>
            </w:r>
            <w:proofErr w:type="spellStart"/>
            <w:r w:rsidRPr="001E7569">
              <w:rPr>
                <w:rFonts w:ascii="Times New Roman" w:eastAsia="Aptos" w:hAnsi="Times New Roman" w:cs="Times New Roman"/>
              </w:rPr>
              <w:t>tilmanocept</w:t>
            </w:r>
            <w:proofErr w:type="spellEnd"/>
            <w:r w:rsidRPr="001E7569">
              <w:rPr>
                <w:rFonts w:ascii="Times New Roman" w:eastAsia="Aptos" w:hAnsi="Times New Roman" w:cs="Times New Roman"/>
              </w:rPr>
              <w:t xml:space="preserve">, Bicalutamide, Strontium chloride Sr-89, Pheniramine, Ixabepilone, </w:t>
            </w:r>
            <w:proofErr w:type="spellStart"/>
            <w:r w:rsidRPr="001E7569">
              <w:rPr>
                <w:rFonts w:ascii="Times New Roman" w:eastAsia="Aptos" w:hAnsi="Times New Roman" w:cs="Times New Roman"/>
              </w:rPr>
              <w:t>Clomifene</w:t>
            </w:r>
            <w:proofErr w:type="spellEnd"/>
            <w:r w:rsidRPr="001E7569">
              <w:rPr>
                <w:rFonts w:ascii="Times New Roman" w:eastAsia="Aptos" w:hAnsi="Times New Roman" w:cs="Times New Roman"/>
              </w:rPr>
              <w:t>, Nivolumab, Abiraterone, Atezolizumab</w:t>
            </w:r>
          </w:p>
          <w:p w14:paraId="1E083B18" w14:textId="77777777" w:rsidR="00D31988" w:rsidRDefault="00D31988" w:rsidP="00FC2105">
            <w:pPr>
              <w:jc w:val="both"/>
              <w:rPr>
                <w:rFonts w:ascii="Times New Roman" w:eastAsia="Aptos" w:hAnsi="Times New Roman" w:cs="Times New Roman"/>
              </w:rPr>
            </w:pPr>
          </w:p>
          <w:p w14:paraId="0D048886" w14:textId="77777777" w:rsidR="00356D32" w:rsidRDefault="00356D32" w:rsidP="00FC2105">
            <w:pPr>
              <w:jc w:val="both"/>
              <w:rPr>
                <w:rFonts w:ascii="Times New Roman" w:eastAsia="Aptos" w:hAnsi="Times New Roman" w:cs="Times New Roman"/>
              </w:rPr>
            </w:pPr>
          </w:p>
          <w:p w14:paraId="1CDE17D6" w14:textId="77777777" w:rsidR="00356D32" w:rsidRPr="001E7569" w:rsidRDefault="00356D32" w:rsidP="00FC2105">
            <w:pPr>
              <w:jc w:val="both"/>
              <w:rPr>
                <w:rFonts w:ascii="Times New Roman" w:eastAsia="Aptos" w:hAnsi="Times New Roman" w:cs="Times New Roman"/>
              </w:rPr>
            </w:pPr>
          </w:p>
        </w:tc>
      </w:tr>
      <w:tr w:rsidR="00D31988" w:rsidRPr="001E7569" w14:paraId="78B26038" w14:textId="77777777" w:rsidTr="00FC2105">
        <w:trPr>
          <w:trHeight w:val="440"/>
        </w:trPr>
        <w:tc>
          <w:tcPr>
            <w:tcW w:w="9535" w:type="dxa"/>
            <w:gridSpan w:val="2"/>
          </w:tcPr>
          <w:p w14:paraId="32C2DD59" w14:textId="2E845C6F" w:rsidR="00D31988" w:rsidRPr="001E7569" w:rsidRDefault="004A4633" w:rsidP="00FC2105">
            <w:pPr>
              <w:jc w:val="center"/>
              <w:rPr>
                <w:rFonts w:ascii="Times New Roman" w:eastAsia="Aptos" w:hAnsi="Times New Roman" w:cs="Times New Roman"/>
                <w:b/>
                <w:bCs/>
              </w:rPr>
            </w:pPr>
            <w:r w:rsidRPr="001E7569">
              <w:rPr>
                <w:rFonts w:ascii="Times New Roman" w:eastAsia="Aptos" w:hAnsi="Times New Roman" w:cs="Times New Roman"/>
                <w:b/>
                <w:bCs/>
              </w:rPr>
              <w:t>TNBC</w:t>
            </w:r>
          </w:p>
        </w:tc>
      </w:tr>
      <w:tr w:rsidR="00D31988" w:rsidRPr="001E7569" w14:paraId="455685E2" w14:textId="77777777" w:rsidTr="00801559">
        <w:trPr>
          <w:trHeight w:val="440"/>
        </w:trPr>
        <w:tc>
          <w:tcPr>
            <w:tcW w:w="1170" w:type="dxa"/>
          </w:tcPr>
          <w:p w14:paraId="6E2229B8" w14:textId="23A731CA" w:rsidR="00D31988" w:rsidRPr="001E7569" w:rsidRDefault="006E582A" w:rsidP="006E582A">
            <w:pPr>
              <w:rPr>
                <w:rFonts w:ascii="Times New Roman" w:eastAsia="Aptos" w:hAnsi="Times New Roman" w:cs="Times New Roman"/>
              </w:rPr>
            </w:pPr>
            <w:r w:rsidRPr="001E7569">
              <w:rPr>
                <w:rFonts w:ascii="Times New Roman" w:eastAsia="Aptos" w:hAnsi="Times New Roman" w:cs="Times New Roman"/>
              </w:rPr>
              <w:fldChar w:fldCharType="begin" w:fldLock="1"/>
            </w:r>
            <w:r w:rsidR="00356D32">
              <w:rPr>
                <w:rFonts w:ascii="Times New Roman" w:eastAsia="Aptos" w:hAnsi="Times New Roman" w:cs="Times New Roman"/>
              </w:rPr>
              <w:instrText>ADDIN CSL_CITATION {"citationItems":[{"id":"ITEM-1","itemData":{"DOI":"10.1093/nar/gkad976","ISSN":"13624962","PMID":"37953279","abstract":"First released in 2006, DrugBank (https://go.drugbank.com) has grown to become the ‘gold standard’ knowledge resource for drug, drug–target and related pharmaceutical information. DrugBank is widely used across many diverse biomedical research and clinical applications, and averages more than 30 million views/year. Since its last update in 2018, we have been actively enhancing the quantity and quality of the drug data in this knowledgebase. In this latest release (DrugBank 6.0), the number of FDA approved drugs has grown from 2646 to 4563 (a 72% increase), the number of investigational drugs has grown from 3394 to 6231 (a 38% increase), the number of drug–drug interactions increased from 365 984 to 1 413 413 (a 300% increase), and the number of drug–food interactions expanded from 1195 to 2475 (a 200% increase). In addition to this notable expansion in database size, we have added thousands of new, colorful, richly annotated pathways depicting drug mechanisms and drug metabolism. Likewise, existing datasets have been significantly improved and expanded, by adding more information on drug indications, drug–drug interactions, drug–food interactions and many other relevant data types for 11 891 drugs. We have also added experimental and predicted MS/MS spectra, 1D/2D-NMR spectra, CCS (collision cross section), RT (retention time) and RI (retention index) data for 9464 of DrugBank’s 11 710 small molecule drugs. These and other improvements should make DrugBank 6.0 even more useful to a much wider research audience ranging from medicinal chemists to metabolomics specialists to pharmacologists.","author":[{"dropping-particle":"","family":"Knox","given":"Craig","non-dropping-particle":"","parse-names":false,"suffix":""},{"dropping-particle":"","family":"Wilson","given":"Mike","non-dropping-particle":"","parse-names":false,"suffix":""},{"dropping-particle":"","family":"Klinger","given":"Christen M.","non-dropping-particle":"","parse-names":false,"suffix":""},{"dropping-particle":"","family":"Franklin","given":"Mark","non-dropping-particle":"","parse-names":false,"suffix":""},{"dropping-particle":"","family":"Oler","given":"Eponine","non-dropping-particle":"","parse-names":false,"suffix":""},{"dropping-particle":"","family":"Wilson","given":"Alex","non-dropping-particle":"","parse-names":false,"suffix":""},{"dropping-particle":"","family":"Pon","given":"Allison","non-dropping-particle":"","parse-names":false,"suffix":""},{"dropping-particle":"","family":"Cox","given":"Jordan","non-dropping-particle":"","parse-names":false,"suffix":""},{"dropping-particle":"","family":"Chin","given":"Na Eun Lucy","non-dropping-particle":"","parse-names":false,"suffix":""},{"dropping-particle":"","family":"Strawbridge","given":"Seth A.","non-dropping-particle":"","parse-names":false,"suffix":""},{"dropping-particle":"","family":"Garcia-Patino","given":"Marysol","non-dropping-particle":"","parse-names":false,"suffix":""},{"dropping-particle":"","family":"Kruger","given":"Ray","non-dropping-particle":"","parse-names":false,"suffix":""},{"dropping-particle":"","family":"Sivakumaran","given":"Aadhavya","non-dropping-particle":"","parse-names":false,"suffix":""},{"dropping-particle":"","family":"Sanford","given":"Selena","non-dropping-particle":"","parse-names":false,"suffix":""},{"dropping-particle":"","family":"Doshi","given":"Rahil","non-dropping-particle":"","parse-names":false,"suffix":""},{"dropping-particle":"","family":"Khetarpal","given":"Nitya","non-dropping-particle":"","parse-names":false,"suffix":""},{"dropping-particle":"","family":"Fatokun","given":"Omolola","non-dropping-particle":"","parse-names":false,"suffix":""},{"dropping-particle":"","family":"Doucet","given":"Daphnee","non-dropping-particle":"","parse-names":false,"suffix":""},{"dropping-particle":"","family":"Zubkowski","given":"Ashley","non-dropping-particle":"","parse-names":false,"suffix":""},{"dropping-particle":"","family":"Rayat","given":"Dorsa Yahya","non-dropping-particle":"","parse-names":false,"suffix":""},{"dropping-particle":"","family":"Jackson","given":"Hayley","non-dropping-particle":"","parse-names":false,"suffix":""},{"dropping-particle":"","family":"Harford","given":"Karxena","non-dropping-particle":"","parse-names":false,"suffix":""},{"dropping-particle":"","family":"Anjum","given":"Afia","non-dropping-particle":"","parse-names":false,"suffix":""},{"dropping-particle":"","family":"Zakir","given":"Mahi","non-dropping-particle":"","parse-names":false,"suffix":""},{"dropping-particle":"","family":"Wang","given":"Fei","non-dropping-particle":"","parse-names":false,"suffix":""},{"dropping-particle":"","family":"Tian","given":"Siyang","non-dropping-particle":"","parse-names":false,"suffix":""},{"dropping-particle":"","family":"Lee","given":"Brian","non-dropping-particle":"","parse-names":false,"suffix":""},{"dropping-particle":"","family":"Liigand","given":"Jaanus","non-dropping-particle":"","parse-names":false,"suffix":""},{"dropping-particle":"","family":"Peters","given":"Harrison","non-dropping-particle":"","parse-names":false,"suffix":""},{"dropping-particle":"","family":"Wang","given":"Ruo Qi Rachel","non-dropping-particle":"","parse-names":false,"suffix":""},{"dropping-particle":"","family":"Nguyen","given":"Tue","non-dropping-particle":"","parse-names":false,"suffix":""},{"dropping-particle":"","family":"So","given":"Denise","non-dropping-particle":"","parse-names":false,"suffix":""},{"dropping-particle":"","family":"Sharp","given":"Matthew","non-dropping-particle":"","parse-names":false,"suffix":""},{"dropping-particle":"","family":"Silva","given":"Rodolfo","non-dropping-particle":"da","parse-names":false,"suffix":""},{"dropping-particle":"","family":"Gabriel","given":"Cyrella","non-dropping-particle":"","parse-names":false,"suffix":""},{"dropping-particle":"","family":"Scantlebury","given":"Joshua","non-dropping-particle":"","parse-names":false,"suffix":""},{"dropping-particle":"","family":"Jasinski","given":"Marissa","non-dropping-particle":"","parse-names":false,"suffix":""},{"dropping-particle":"","family":"Ackerman","given":"David","non-dropping-particle":"","parse-names":false,"suffix":""},{"dropping-particle":"","family":"Jewison","given":"Timothy","non-dropping-particle":"","parse-names":false,"suffix":""},{"dropping-particle":"","family":"Sajed","given":"Tanvir","non-dropping-particle":"","parse-names":false,"suffix":""},{"dropping-particle":"","family":"Gautam","given":"Vasuk","non-dropping-particle":"","parse-names":false,"suffix":""},{"dropping-particle":"","family":"Wishart","given":"David S.","non-dropping-particle":"","parse-names":false,"suffix":""}],"container-title":"Nucleic Acids Research","id":"ITEM-1","issue":"D1","issued":{"date-parts":[["2024"]]},"page":"D1265-D1275","title":"DrugBank 6.0: the DrugBank Knowledgebase for 2024","type":"article-journal","volume":"52"},"uris":["http://www.mendeley.com/documents/?uuid=d25b0a20-f097-404b-863a-d5e22a05bf7c"]}],"mendeley":{"formattedCitation":"[33]","plainTextFormattedCitation":"[33]","previouslyFormattedCitation":"[32]"},"properties":{"noteIndex":0},"schema":"https://github.com/citation-style-language/schema/raw/master/csl-citation.json"}</w:instrText>
            </w:r>
            <w:r w:rsidRPr="001E7569">
              <w:rPr>
                <w:rFonts w:ascii="Times New Roman" w:eastAsia="Aptos" w:hAnsi="Times New Roman" w:cs="Times New Roman"/>
              </w:rPr>
              <w:fldChar w:fldCharType="separate"/>
            </w:r>
            <w:r w:rsidR="00356D32" w:rsidRPr="00356D32">
              <w:rPr>
                <w:rFonts w:ascii="Times New Roman" w:eastAsia="Aptos" w:hAnsi="Times New Roman" w:cs="Times New Roman"/>
                <w:noProof/>
              </w:rPr>
              <w:t>[33]</w:t>
            </w:r>
            <w:r w:rsidRPr="001E7569">
              <w:rPr>
                <w:rFonts w:ascii="Times New Roman" w:eastAsia="Aptos" w:hAnsi="Times New Roman" w:cs="Times New Roman"/>
              </w:rPr>
              <w:fldChar w:fldCharType="end"/>
            </w:r>
          </w:p>
        </w:tc>
        <w:tc>
          <w:tcPr>
            <w:tcW w:w="8365" w:type="dxa"/>
          </w:tcPr>
          <w:p w14:paraId="2FA76EE8" w14:textId="4168C99B" w:rsidR="00D31988" w:rsidRPr="001E7569" w:rsidRDefault="00AD2D14" w:rsidP="00334E0F">
            <w:pPr>
              <w:jc w:val="both"/>
              <w:rPr>
                <w:rFonts w:ascii="Times New Roman" w:eastAsia="Aptos" w:hAnsi="Times New Roman" w:cs="Times New Roman"/>
              </w:rPr>
            </w:pPr>
            <w:r w:rsidRPr="001E7569">
              <w:rPr>
                <w:rFonts w:ascii="Times New Roman" w:hAnsi="Times New Roman" w:cs="Times New Roman"/>
              </w:rPr>
              <w:t xml:space="preserve">Octocrylene, Polyethylene glycol 400, Fulvestrant, Neomycin, Hexylresorcinol, Calcitriol, Histamine, Povidone-iodine, Estriol, </w:t>
            </w:r>
            <w:proofErr w:type="spellStart"/>
            <w:r w:rsidRPr="001E7569">
              <w:rPr>
                <w:rFonts w:ascii="Times New Roman" w:hAnsi="Times New Roman" w:cs="Times New Roman"/>
              </w:rPr>
              <w:t>Octinoxate</w:t>
            </w:r>
            <w:proofErr w:type="spellEnd"/>
            <w:r w:rsidRPr="001E7569">
              <w:rPr>
                <w:rFonts w:ascii="Times New Roman" w:hAnsi="Times New Roman" w:cs="Times New Roman"/>
              </w:rPr>
              <w:t xml:space="preserve">, Ergotamine, Letrozole, Estradiol, Calcifediol, Prednisone, Estrone sulfate, Pertuzumab, </w:t>
            </w:r>
            <w:proofErr w:type="spellStart"/>
            <w:r w:rsidRPr="001E7569">
              <w:rPr>
                <w:rFonts w:ascii="Times New Roman" w:hAnsi="Times New Roman" w:cs="Times New Roman"/>
              </w:rPr>
              <w:t>Elacestrant</w:t>
            </w:r>
            <w:proofErr w:type="spellEnd"/>
            <w:r w:rsidRPr="001E7569">
              <w:rPr>
                <w:rFonts w:ascii="Times New Roman" w:hAnsi="Times New Roman" w:cs="Times New Roman"/>
              </w:rPr>
              <w:t xml:space="preserve">, Sacituzumab </w:t>
            </w:r>
            <w:proofErr w:type="spellStart"/>
            <w:r w:rsidRPr="001E7569">
              <w:rPr>
                <w:rFonts w:ascii="Times New Roman" w:hAnsi="Times New Roman" w:cs="Times New Roman"/>
              </w:rPr>
              <w:t>govitecan</w:t>
            </w:r>
            <w:proofErr w:type="spellEnd"/>
            <w:r w:rsidRPr="001E7569">
              <w:rPr>
                <w:rFonts w:ascii="Times New Roman" w:hAnsi="Times New Roman" w:cs="Times New Roman"/>
              </w:rPr>
              <w:t xml:space="preserve">, Prednisone acetate, Adenosine, Miconazole, Benzocaine, </w:t>
            </w:r>
            <w:proofErr w:type="spellStart"/>
            <w:r w:rsidRPr="001E7569">
              <w:rPr>
                <w:rFonts w:ascii="Times New Roman" w:hAnsi="Times New Roman" w:cs="Times New Roman"/>
              </w:rPr>
              <w:t>Gadobutrol</w:t>
            </w:r>
            <w:proofErr w:type="spellEnd"/>
            <w:r w:rsidRPr="001E7569">
              <w:rPr>
                <w:rFonts w:ascii="Times New Roman" w:hAnsi="Times New Roman" w:cs="Times New Roman"/>
              </w:rPr>
              <w:t xml:space="preserve">, Phenobarbital, Racementhol, </w:t>
            </w:r>
            <w:proofErr w:type="spellStart"/>
            <w:r w:rsidRPr="001E7569">
              <w:rPr>
                <w:rFonts w:ascii="Times New Roman" w:hAnsi="Times New Roman" w:cs="Times New Roman"/>
              </w:rPr>
              <w:t>Abemaciclib</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Formestane</w:t>
            </w:r>
            <w:proofErr w:type="spellEnd"/>
            <w:r w:rsidRPr="001E7569">
              <w:rPr>
                <w:rFonts w:ascii="Times New Roman" w:hAnsi="Times New Roman" w:cs="Times New Roman"/>
              </w:rPr>
              <w:t xml:space="preserve">, Tamoxifen, Migalastat, Sodium fluoride, </w:t>
            </w:r>
            <w:proofErr w:type="spellStart"/>
            <w:r w:rsidRPr="001E7569">
              <w:rPr>
                <w:rFonts w:ascii="Times New Roman" w:hAnsi="Times New Roman" w:cs="Times New Roman"/>
              </w:rPr>
              <w:t>Talbutal</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Fluoroestradiol</w:t>
            </w:r>
            <w:proofErr w:type="spellEnd"/>
            <w:r w:rsidRPr="001E7569">
              <w:rPr>
                <w:rFonts w:ascii="Times New Roman" w:hAnsi="Times New Roman" w:cs="Times New Roman"/>
              </w:rPr>
              <w:t xml:space="preserve"> F-18, Butalbital, </w:t>
            </w:r>
            <w:proofErr w:type="spellStart"/>
            <w:r w:rsidRPr="001E7569">
              <w:rPr>
                <w:rFonts w:ascii="Times New Roman" w:hAnsi="Times New Roman" w:cs="Times New Roman"/>
              </w:rPr>
              <w:t>Ribociclib</w:t>
            </w:r>
            <w:proofErr w:type="spellEnd"/>
            <w:r w:rsidRPr="001E7569">
              <w:rPr>
                <w:rFonts w:ascii="Times New Roman" w:hAnsi="Times New Roman" w:cs="Times New Roman"/>
              </w:rPr>
              <w:t xml:space="preserve">, Exemestane, Gadoteridol, Anastrozole, Toremifene, Sucrose, </w:t>
            </w:r>
            <w:proofErr w:type="spellStart"/>
            <w:r w:rsidRPr="001E7569">
              <w:rPr>
                <w:rFonts w:ascii="Times New Roman" w:hAnsi="Times New Roman" w:cs="Times New Roman"/>
              </w:rPr>
              <w:t>Alfacalcidol</w:t>
            </w:r>
            <w:proofErr w:type="spellEnd"/>
            <w:r w:rsidRPr="001E7569">
              <w:rPr>
                <w:rFonts w:ascii="Times New Roman" w:hAnsi="Times New Roman" w:cs="Times New Roman"/>
              </w:rPr>
              <w:t xml:space="preserve">, Dapagliflozin, Prednisolone, Trastuzumab, Lapatinib, Palbociclib, </w:t>
            </w:r>
            <w:proofErr w:type="spellStart"/>
            <w:r w:rsidRPr="001E7569">
              <w:rPr>
                <w:rFonts w:ascii="Times New Roman" w:hAnsi="Times New Roman" w:cs="Times New Roman"/>
              </w:rPr>
              <w:t>Capivasertib</w:t>
            </w:r>
            <w:proofErr w:type="spellEnd"/>
            <w:r w:rsidRPr="001E7569">
              <w:rPr>
                <w:rFonts w:ascii="Times New Roman" w:hAnsi="Times New Roman" w:cs="Times New Roman"/>
              </w:rPr>
              <w:t xml:space="preserve">, Albuterol, Methylprednisolone, Betamethasone, Iodine, Gallium Ga-68 </w:t>
            </w:r>
            <w:proofErr w:type="spellStart"/>
            <w:r w:rsidRPr="001E7569">
              <w:rPr>
                <w:rFonts w:ascii="Times New Roman" w:hAnsi="Times New Roman" w:cs="Times New Roman"/>
              </w:rPr>
              <w:t>gozetotide</w:t>
            </w:r>
            <w:proofErr w:type="spellEnd"/>
            <w:r w:rsidRPr="001E7569">
              <w:rPr>
                <w:rFonts w:ascii="Times New Roman" w:hAnsi="Times New Roman" w:cs="Times New Roman"/>
              </w:rPr>
              <w:t xml:space="preserve">, Trabectedin, Hydrocortisone, </w:t>
            </w:r>
            <w:proofErr w:type="spellStart"/>
            <w:r w:rsidRPr="001E7569">
              <w:rPr>
                <w:rFonts w:ascii="Times New Roman" w:hAnsi="Times New Roman" w:cs="Times New Roman"/>
              </w:rPr>
              <w:t>Polyestradiol</w:t>
            </w:r>
            <w:proofErr w:type="spellEnd"/>
            <w:r w:rsidRPr="001E7569">
              <w:rPr>
                <w:rFonts w:ascii="Times New Roman" w:hAnsi="Times New Roman" w:cs="Times New Roman"/>
              </w:rPr>
              <w:t xml:space="preserve"> phosphate, </w:t>
            </w:r>
            <w:proofErr w:type="spellStart"/>
            <w:r w:rsidRPr="001E7569">
              <w:rPr>
                <w:rFonts w:ascii="Times New Roman" w:hAnsi="Times New Roman" w:cs="Times New Roman"/>
              </w:rPr>
              <w:t>Datopotamab</w:t>
            </w:r>
            <w:proofErr w:type="spellEnd"/>
            <w:r w:rsidRPr="001E7569">
              <w:rPr>
                <w:rFonts w:ascii="Times New Roman" w:hAnsi="Times New Roman" w:cs="Times New Roman"/>
              </w:rPr>
              <w:t xml:space="preserve"> deruxtecan, Salicylic acid, </w:t>
            </w:r>
            <w:proofErr w:type="spellStart"/>
            <w:r w:rsidRPr="001E7569">
              <w:rPr>
                <w:rFonts w:ascii="Times New Roman" w:hAnsi="Times New Roman" w:cs="Times New Roman"/>
              </w:rPr>
              <w:t>Cabazitaxel</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Testolactone</w:t>
            </w:r>
            <w:proofErr w:type="spellEnd"/>
            <w:r w:rsidRPr="001E7569">
              <w:rPr>
                <w:rFonts w:ascii="Times New Roman" w:hAnsi="Times New Roman" w:cs="Times New Roman"/>
              </w:rPr>
              <w:t xml:space="preserve">, Sodium fluorophosphate, </w:t>
            </w:r>
            <w:proofErr w:type="spellStart"/>
            <w:r w:rsidRPr="001E7569">
              <w:rPr>
                <w:rFonts w:ascii="Times New Roman" w:hAnsi="Times New Roman" w:cs="Times New Roman"/>
              </w:rPr>
              <w:t>Alpelisib</w:t>
            </w:r>
            <w:proofErr w:type="spellEnd"/>
            <w:r w:rsidRPr="001E7569">
              <w:rPr>
                <w:rFonts w:ascii="Times New Roman" w:hAnsi="Times New Roman" w:cs="Times New Roman"/>
              </w:rPr>
              <w:t xml:space="preserve">, Patent Blue, Tucatinib, Raloxifene, </w:t>
            </w:r>
            <w:proofErr w:type="spellStart"/>
            <w:r w:rsidRPr="001E7569">
              <w:rPr>
                <w:rFonts w:ascii="Times New Roman" w:hAnsi="Times New Roman" w:cs="Times New Roman"/>
              </w:rPr>
              <w:t>Sipuleucel</w:t>
            </w:r>
            <w:proofErr w:type="spellEnd"/>
            <w:r w:rsidRPr="001E7569">
              <w:rPr>
                <w:rFonts w:ascii="Times New Roman" w:hAnsi="Times New Roman" w:cs="Times New Roman"/>
              </w:rPr>
              <w:t xml:space="preserve">-T, Olaparib, </w:t>
            </w:r>
            <w:proofErr w:type="spellStart"/>
            <w:r w:rsidRPr="001E7569">
              <w:rPr>
                <w:rFonts w:ascii="Times New Roman" w:hAnsi="Times New Roman" w:cs="Times New Roman"/>
              </w:rPr>
              <w:t>Mirvetuximab</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soravtansine</w:t>
            </w:r>
            <w:proofErr w:type="spellEnd"/>
            <w:r w:rsidRPr="001E7569">
              <w:rPr>
                <w:rFonts w:ascii="Times New Roman" w:hAnsi="Times New Roman" w:cs="Times New Roman"/>
              </w:rPr>
              <w:t xml:space="preserve">, Pentobarbital, </w:t>
            </w:r>
            <w:proofErr w:type="spellStart"/>
            <w:r w:rsidRPr="001E7569">
              <w:rPr>
                <w:rFonts w:ascii="Times New Roman" w:hAnsi="Times New Roman" w:cs="Times New Roman"/>
              </w:rPr>
              <w:t>Talazoparib</w:t>
            </w:r>
            <w:proofErr w:type="spellEnd"/>
            <w:r w:rsidRPr="001E7569">
              <w:rPr>
                <w:rFonts w:ascii="Times New Roman" w:hAnsi="Times New Roman" w:cs="Times New Roman"/>
              </w:rPr>
              <w:t xml:space="preserve">, Nitroglycerin, </w:t>
            </w:r>
            <w:proofErr w:type="spellStart"/>
            <w:r w:rsidRPr="001E7569">
              <w:rPr>
                <w:rFonts w:ascii="Times New Roman" w:hAnsi="Times New Roman" w:cs="Times New Roman"/>
              </w:rPr>
              <w:t>Margetuximab</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Ixazomib</w:t>
            </w:r>
            <w:proofErr w:type="spellEnd"/>
            <w:r w:rsidRPr="001E7569">
              <w:rPr>
                <w:rFonts w:ascii="Times New Roman" w:hAnsi="Times New Roman" w:cs="Times New Roman"/>
              </w:rPr>
              <w:t xml:space="preserve">, Carfilzomib, Bortezomib D-mannitol, </w:t>
            </w:r>
            <w:proofErr w:type="spellStart"/>
            <w:r w:rsidRPr="001E7569">
              <w:rPr>
                <w:rFonts w:ascii="Times New Roman" w:hAnsi="Times New Roman" w:cs="Times New Roman"/>
              </w:rPr>
              <w:t>Ixazomib</w:t>
            </w:r>
            <w:proofErr w:type="spellEnd"/>
            <w:r w:rsidRPr="001E7569">
              <w:rPr>
                <w:rFonts w:ascii="Times New Roman" w:hAnsi="Times New Roman" w:cs="Times New Roman"/>
              </w:rPr>
              <w:t xml:space="preserve"> Citrate, Bortezomib, Vemurafenib, Paclitaxel, Erlotinib, Hexachlorophene, Sertraline Hydrochloride, Thimerosal, Abiraterone Acetate, Enzalutamide, Venetoclax, Epirubicin, </w:t>
            </w:r>
            <w:proofErr w:type="spellStart"/>
            <w:r w:rsidRPr="001E7569">
              <w:rPr>
                <w:rFonts w:ascii="Times New Roman" w:hAnsi="Times New Roman" w:cs="Times New Roman"/>
              </w:rPr>
              <w:t>Sulconazole</w:t>
            </w:r>
            <w:proofErr w:type="spellEnd"/>
            <w:r w:rsidRPr="001E7569">
              <w:rPr>
                <w:rFonts w:ascii="Times New Roman" w:hAnsi="Times New Roman" w:cs="Times New Roman"/>
              </w:rPr>
              <w:t xml:space="preserve"> Nitrate, Azacitidine, Cinnarizine, Paroxetine Hydrochloride, Hemihydrate, Ibrutinib, Cabozantinib S-malate, Docetaxel Anhydrous, </w:t>
            </w:r>
            <w:proofErr w:type="spellStart"/>
            <w:r w:rsidRPr="001E7569">
              <w:rPr>
                <w:rFonts w:ascii="Times New Roman" w:hAnsi="Times New Roman" w:cs="Times New Roman"/>
              </w:rPr>
              <w:t>Masoprocol</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Indoprofen</w:t>
            </w:r>
            <w:proofErr w:type="spellEnd"/>
            <w:r w:rsidRPr="001E7569">
              <w:rPr>
                <w:rFonts w:ascii="Times New Roman" w:hAnsi="Times New Roman" w:cs="Times New Roman"/>
              </w:rPr>
              <w:t xml:space="preserve">, Cisplatin, </w:t>
            </w:r>
            <w:proofErr w:type="spellStart"/>
            <w:r w:rsidRPr="001E7569">
              <w:rPr>
                <w:rFonts w:ascii="Times New Roman" w:hAnsi="Times New Roman" w:cs="Times New Roman"/>
              </w:rPr>
              <w:t>Pyrithione</w:t>
            </w:r>
            <w:proofErr w:type="spellEnd"/>
            <w:r w:rsidRPr="001E7569">
              <w:rPr>
                <w:rFonts w:ascii="Times New Roman" w:hAnsi="Times New Roman" w:cs="Times New Roman"/>
              </w:rPr>
              <w:t xml:space="preserve"> Zinc, </w:t>
            </w:r>
            <w:proofErr w:type="spellStart"/>
            <w:r w:rsidRPr="001E7569">
              <w:rPr>
                <w:rFonts w:ascii="Times New Roman" w:hAnsi="Times New Roman" w:cs="Times New Roman"/>
              </w:rPr>
              <w:t>Astemizole</w:t>
            </w:r>
            <w:proofErr w:type="spellEnd"/>
            <w:r w:rsidRPr="001E7569">
              <w:rPr>
                <w:rFonts w:ascii="Times New Roman" w:hAnsi="Times New Roman" w:cs="Times New Roman"/>
              </w:rPr>
              <w:t xml:space="preserve">, Dopamine, Sunitinib, Decitabine, Triflupromazine, Methimazole, </w:t>
            </w:r>
            <w:proofErr w:type="spellStart"/>
            <w:r w:rsidRPr="001E7569">
              <w:rPr>
                <w:rFonts w:ascii="Times New Roman" w:hAnsi="Times New Roman" w:cs="Times New Roman"/>
              </w:rPr>
              <w:t>Brigatinib</w:t>
            </w:r>
            <w:proofErr w:type="spellEnd"/>
            <w:r w:rsidRPr="001E7569">
              <w:rPr>
                <w:rFonts w:ascii="Times New Roman" w:hAnsi="Times New Roman" w:cs="Times New Roman"/>
              </w:rPr>
              <w:t xml:space="preserve">, Irinotecan Hydrochloride, Apomorphine, </w:t>
            </w:r>
            <w:proofErr w:type="spellStart"/>
            <w:r w:rsidRPr="001E7569">
              <w:rPr>
                <w:rFonts w:ascii="Times New Roman" w:hAnsi="Times New Roman" w:cs="Times New Roman"/>
              </w:rPr>
              <w:t>Idelalisib</w:t>
            </w:r>
            <w:proofErr w:type="spellEnd"/>
            <w:r w:rsidRPr="001E7569">
              <w:rPr>
                <w:rFonts w:ascii="Times New Roman" w:hAnsi="Times New Roman" w:cs="Times New Roman"/>
              </w:rPr>
              <w:t xml:space="preserve">, Trametinib Dimethyl Sulfoxide, </w:t>
            </w:r>
            <w:proofErr w:type="spellStart"/>
            <w:r w:rsidRPr="001E7569">
              <w:rPr>
                <w:rFonts w:ascii="Times New Roman" w:hAnsi="Times New Roman" w:cs="Times New Roman"/>
              </w:rPr>
              <w:t>Bendamustine</w:t>
            </w:r>
            <w:proofErr w:type="spellEnd"/>
            <w:r w:rsidRPr="001E7569">
              <w:rPr>
                <w:rFonts w:ascii="Times New Roman" w:hAnsi="Times New Roman" w:cs="Times New Roman"/>
              </w:rPr>
              <w:t xml:space="preserve">, Clioquinol, Ipilimumab, </w:t>
            </w:r>
            <w:proofErr w:type="spellStart"/>
            <w:r w:rsidRPr="001E7569">
              <w:rPr>
                <w:rFonts w:ascii="Times New Roman" w:hAnsi="Times New Roman" w:cs="Times New Roman"/>
              </w:rPr>
              <w:t>Clemastine</w:t>
            </w:r>
            <w:proofErr w:type="spellEnd"/>
            <w:r w:rsidRPr="001E7569">
              <w:rPr>
                <w:rFonts w:ascii="Times New Roman" w:hAnsi="Times New Roman" w:cs="Times New Roman"/>
              </w:rPr>
              <w:t xml:space="preserve">, Selumetinib, Rituximab, Cytarabine, Osimertinib, Raloxifene Hydrochloride, Pimozide, Amoxapine, Vitamin K3, </w:t>
            </w:r>
            <w:proofErr w:type="spellStart"/>
            <w:r w:rsidRPr="001E7569">
              <w:rPr>
                <w:rFonts w:ascii="Times New Roman" w:hAnsi="Times New Roman" w:cs="Times New Roman"/>
              </w:rPr>
              <w:t>Vorinostat</w:t>
            </w:r>
            <w:proofErr w:type="spellEnd"/>
            <w:r w:rsidRPr="001E7569">
              <w:rPr>
                <w:rFonts w:ascii="Times New Roman" w:hAnsi="Times New Roman" w:cs="Times New Roman"/>
              </w:rPr>
              <w:t xml:space="preserve">, Clotrimazole, Perphenazine, </w:t>
            </w:r>
            <w:r w:rsidRPr="001E7569">
              <w:rPr>
                <w:rFonts w:ascii="Times New Roman" w:hAnsi="Times New Roman" w:cs="Times New Roman"/>
              </w:rPr>
              <w:lastRenderedPageBreak/>
              <w:t xml:space="preserve">Genistein, Ethopropazine Hydrochloride, Crizotinib, Fenofibrate Micronized, Iodoquinol, Pembrolizumab, Levonorgestrel, Zanubrutinib, Oxaliplatin, Econazole Nitrate, Inositol, </w:t>
            </w:r>
            <w:proofErr w:type="spellStart"/>
            <w:r w:rsidRPr="001E7569">
              <w:rPr>
                <w:rFonts w:ascii="Times New Roman" w:hAnsi="Times New Roman" w:cs="Times New Roman"/>
              </w:rPr>
              <w:t>Alectinib</w:t>
            </w:r>
            <w:proofErr w:type="spellEnd"/>
            <w:r w:rsidRPr="001E7569">
              <w:rPr>
                <w:rFonts w:ascii="Times New Roman" w:hAnsi="Times New Roman" w:cs="Times New Roman"/>
              </w:rPr>
              <w:t xml:space="preserve">, Pazopanib, Thiotepa, Thioridazine, Benzalkonium Chloride, Dabrafenib, Melphalan, Cyclophosphamide Anhydrous, Tamoxifen Citrate, Nortriptyline, </w:t>
            </w:r>
            <w:proofErr w:type="spellStart"/>
            <w:r w:rsidRPr="001E7569">
              <w:rPr>
                <w:rFonts w:ascii="Times New Roman" w:hAnsi="Times New Roman" w:cs="Times New Roman"/>
              </w:rPr>
              <w:t>Lorlatinib</w:t>
            </w:r>
            <w:proofErr w:type="spellEnd"/>
            <w:r w:rsidRPr="001E7569">
              <w:rPr>
                <w:rFonts w:ascii="Times New Roman" w:hAnsi="Times New Roman" w:cs="Times New Roman"/>
              </w:rPr>
              <w:t xml:space="preserve">, Ruxolitinib, Alemtuzumab, Selinexor, </w:t>
            </w:r>
            <w:proofErr w:type="spellStart"/>
            <w:r w:rsidRPr="001E7569">
              <w:rPr>
                <w:rFonts w:ascii="Times New Roman" w:hAnsi="Times New Roman" w:cs="Times New Roman"/>
              </w:rPr>
              <w:t>Sapanisertib</w:t>
            </w:r>
            <w:proofErr w:type="spellEnd"/>
            <w:r w:rsidRPr="001E7569">
              <w:rPr>
                <w:rFonts w:ascii="Times New Roman" w:hAnsi="Times New Roman" w:cs="Times New Roman"/>
              </w:rPr>
              <w:t xml:space="preserve">, Propylthiouracil, Chlorambucil, Trifluridine, Mitomycin, Obinutuzumab, Loperamide, Methotrexate, Mercaptopurine, Zinc Chloride, Azathioprine, Triamterene, Niclosamide, Salmeterol Xinafoate, Enalapril Maleate, Sirolimus, Ifosfamide, Temozolomide, Mitoxantrone, Diethylstilbestrol, Mitoxantrone Hydrochloride, Bevacizumab, </w:t>
            </w:r>
            <w:proofErr w:type="spellStart"/>
            <w:r w:rsidRPr="001E7569">
              <w:rPr>
                <w:rFonts w:ascii="Times New Roman" w:hAnsi="Times New Roman" w:cs="Times New Roman"/>
              </w:rPr>
              <w:t>Pirtobrutinib</w:t>
            </w:r>
            <w:proofErr w:type="spellEnd"/>
            <w:r w:rsidRPr="001E7569">
              <w:rPr>
                <w:rFonts w:ascii="Times New Roman" w:hAnsi="Times New Roman" w:cs="Times New Roman"/>
              </w:rPr>
              <w:t xml:space="preserve">, Nivolumab, Fluphenazine Hydrochloride, Chlorpromazine, Cetuximab, Nitazoxanide, Interferon Alfa-2b, Cladribine, Clomipramine, Ursodiol, Glutaral, Duvelisib, Mechlorethamine Hydrochloride, Fluorouracil, </w:t>
            </w:r>
            <w:proofErr w:type="spellStart"/>
            <w:r w:rsidRPr="001E7569">
              <w:rPr>
                <w:rFonts w:ascii="Times New Roman" w:hAnsi="Times New Roman" w:cs="Times New Roman"/>
              </w:rPr>
              <w:t>Camptothecin</w:t>
            </w:r>
            <w:proofErr w:type="spellEnd"/>
            <w:r w:rsidRPr="001E7569">
              <w:rPr>
                <w:rFonts w:ascii="Times New Roman" w:hAnsi="Times New Roman" w:cs="Times New Roman"/>
              </w:rPr>
              <w:t xml:space="preserve">, Acalabrutinib, </w:t>
            </w:r>
            <w:proofErr w:type="spellStart"/>
            <w:r w:rsidRPr="001E7569">
              <w:rPr>
                <w:rFonts w:ascii="Times New Roman" w:hAnsi="Times New Roman" w:cs="Times New Roman"/>
              </w:rPr>
              <w:t>Chloroxine</w:t>
            </w:r>
            <w:proofErr w:type="spellEnd"/>
            <w:r w:rsidRPr="001E7569">
              <w:rPr>
                <w:rFonts w:ascii="Times New Roman" w:hAnsi="Times New Roman" w:cs="Times New Roman"/>
              </w:rPr>
              <w:t xml:space="preserve">, Doxorubicin Liposome, Ribavirin, Furazolidone, Clofibrate, Topotecan Hydrochloride, </w:t>
            </w:r>
            <w:proofErr w:type="spellStart"/>
            <w:r w:rsidRPr="001E7569">
              <w:rPr>
                <w:rFonts w:ascii="Times New Roman" w:hAnsi="Times New Roman" w:cs="Times New Roman"/>
              </w:rPr>
              <w:t>Encorafenib</w:t>
            </w:r>
            <w:proofErr w:type="spellEnd"/>
            <w:r w:rsidRPr="001E7569">
              <w:rPr>
                <w:rFonts w:ascii="Times New Roman" w:hAnsi="Times New Roman" w:cs="Times New Roman"/>
              </w:rPr>
              <w:t xml:space="preserve">, Hydralazine, Lenalidomide, Benzethonium Chloride, </w:t>
            </w:r>
            <w:proofErr w:type="spellStart"/>
            <w:r w:rsidRPr="001E7569">
              <w:rPr>
                <w:rFonts w:ascii="Times New Roman" w:hAnsi="Times New Roman" w:cs="Times New Roman"/>
              </w:rPr>
              <w:t>Fenretinide</w:t>
            </w:r>
            <w:proofErr w:type="spellEnd"/>
            <w:r w:rsidRPr="001E7569">
              <w:rPr>
                <w:rFonts w:ascii="Times New Roman" w:hAnsi="Times New Roman" w:cs="Times New Roman"/>
              </w:rPr>
              <w:t xml:space="preserve">, Panitumumab, Gemcitabine, </w:t>
            </w:r>
            <w:proofErr w:type="spellStart"/>
            <w:r w:rsidRPr="001E7569">
              <w:rPr>
                <w:rFonts w:ascii="Times New Roman" w:hAnsi="Times New Roman" w:cs="Times New Roman"/>
              </w:rPr>
              <w:t>Axitinib</w:t>
            </w:r>
            <w:proofErr w:type="spellEnd"/>
            <w:r w:rsidRPr="001E7569">
              <w:rPr>
                <w:rFonts w:ascii="Times New Roman" w:hAnsi="Times New Roman" w:cs="Times New Roman"/>
              </w:rPr>
              <w:t xml:space="preserve">, Pramlintide, Trifluoperazine, </w:t>
            </w:r>
            <w:proofErr w:type="spellStart"/>
            <w:r w:rsidRPr="001E7569">
              <w:rPr>
                <w:rFonts w:ascii="Times New Roman" w:hAnsi="Times New Roman" w:cs="Times New Roman"/>
              </w:rPr>
              <w:t>Anisindione</w:t>
            </w:r>
            <w:proofErr w:type="spellEnd"/>
            <w:r w:rsidRPr="001E7569">
              <w:rPr>
                <w:rFonts w:ascii="Times New Roman" w:hAnsi="Times New Roman" w:cs="Times New Roman"/>
              </w:rPr>
              <w:t xml:space="preserve">, Capecitabine, Resveratrol, Warfarin, Sorafenib, Doxorubicin Hydrochloride, Etoposide, </w:t>
            </w:r>
            <w:proofErr w:type="spellStart"/>
            <w:r w:rsidRPr="001E7569">
              <w:rPr>
                <w:rFonts w:ascii="Times New Roman" w:hAnsi="Times New Roman" w:cs="Times New Roman"/>
              </w:rPr>
              <w:t>Ceritinib</w:t>
            </w:r>
            <w:proofErr w:type="spellEnd"/>
            <w:r w:rsidRPr="001E7569">
              <w:rPr>
                <w:rFonts w:ascii="Times New Roman" w:hAnsi="Times New Roman" w:cs="Times New Roman"/>
              </w:rPr>
              <w:t xml:space="preserve">, Prochlorperazine, Maprotiline, Haloperidol Decanoate, Carboplatin, Bithionol, Daunorubicin Hydrochloride, </w:t>
            </w:r>
            <w:proofErr w:type="spellStart"/>
            <w:r w:rsidRPr="001E7569">
              <w:rPr>
                <w:rFonts w:ascii="Times New Roman" w:hAnsi="Times New Roman" w:cs="Times New Roman"/>
              </w:rPr>
              <w:t>Granisetron</w:t>
            </w:r>
            <w:proofErr w:type="spellEnd"/>
            <w:r w:rsidRPr="001E7569">
              <w:rPr>
                <w:rFonts w:ascii="Times New Roman" w:hAnsi="Times New Roman" w:cs="Times New Roman"/>
              </w:rPr>
              <w:t xml:space="preserve">, Papain, </w:t>
            </w:r>
            <w:proofErr w:type="spellStart"/>
            <w:r w:rsidRPr="001E7569">
              <w:rPr>
                <w:rFonts w:ascii="Times New Roman" w:hAnsi="Times New Roman" w:cs="Times New Roman"/>
              </w:rPr>
              <w:t>Ambroxol</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Eribulin</w:t>
            </w:r>
            <w:proofErr w:type="spellEnd"/>
            <w:r w:rsidRPr="001E7569">
              <w:rPr>
                <w:rFonts w:ascii="Times New Roman" w:hAnsi="Times New Roman" w:cs="Times New Roman"/>
              </w:rPr>
              <w:t xml:space="preserve">, Megestrol acetate, Gefitinib, Trastuzumab Emtansine, Gallium Nitrate, Danazol, Trastuzumab Deruxtecan, </w:t>
            </w:r>
            <w:proofErr w:type="spellStart"/>
            <w:r w:rsidRPr="001E7569">
              <w:rPr>
                <w:rFonts w:ascii="Times New Roman" w:hAnsi="Times New Roman" w:cs="Times New Roman"/>
              </w:rPr>
              <w:t>Buserelin</w:t>
            </w:r>
            <w:proofErr w:type="spellEnd"/>
            <w:r w:rsidRPr="001E7569">
              <w:rPr>
                <w:rFonts w:ascii="Times New Roman" w:hAnsi="Times New Roman" w:cs="Times New Roman"/>
              </w:rPr>
              <w:t xml:space="preserve">, Aminoglutethimide, </w:t>
            </w:r>
            <w:proofErr w:type="spellStart"/>
            <w:r w:rsidRPr="001E7569">
              <w:rPr>
                <w:rFonts w:ascii="Times New Roman" w:hAnsi="Times New Roman" w:cs="Times New Roman"/>
              </w:rPr>
              <w:t>Tirbanibulin</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Pafolacianine</w:t>
            </w:r>
            <w:proofErr w:type="spellEnd"/>
            <w:r w:rsidRPr="001E7569">
              <w:rPr>
                <w:rFonts w:ascii="Times New Roman" w:hAnsi="Times New Roman" w:cs="Times New Roman"/>
              </w:rPr>
              <w:t xml:space="preserve">, Doxorubicin, Docetaxel, </w:t>
            </w:r>
            <w:proofErr w:type="spellStart"/>
            <w:r w:rsidRPr="001E7569">
              <w:rPr>
                <w:rFonts w:ascii="Times New Roman" w:hAnsi="Times New Roman" w:cs="Times New Roman"/>
              </w:rPr>
              <w:t>Pegulicianine</w:t>
            </w:r>
            <w:proofErr w:type="spellEnd"/>
            <w:r w:rsidRPr="001E7569">
              <w:rPr>
                <w:rFonts w:ascii="Times New Roman" w:hAnsi="Times New Roman" w:cs="Times New Roman"/>
              </w:rPr>
              <w:t xml:space="preserve">, </w:t>
            </w:r>
            <w:proofErr w:type="spellStart"/>
            <w:r w:rsidRPr="001E7569">
              <w:rPr>
                <w:rFonts w:ascii="Times New Roman" w:hAnsi="Times New Roman" w:cs="Times New Roman"/>
              </w:rPr>
              <w:t>Avutometinib</w:t>
            </w:r>
            <w:proofErr w:type="spellEnd"/>
            <w:r w:rsidRPr="001E7569">
              <w:rPr>
                <w:rFonts w:ascii="Times New Roman" w:hAnsi="Times New Roman" w:cs="Times New Roman"/>
              </w:rPr>
              <w:t xml:space="preserve">, Vinorelbine, Darolutamide, Rucaparib, Bexarotene, </w:t>
            </w:r>
            <w:proofErr w:type="spellStart"/>
            <w:r w:rsidRPr="001E7569">
              <w:rPr>
                <w:rFonts w:ascii="Times New Roman" w:hAnsi="Times New Roman" w:cs="Times New Roman"/>
              </w:rPr>
              <w:t>Piflufolastat</w:t>
            </w:r>
            <w:proofErr w:type="spellEnd"/>
            <w:r w:rsidRPr="001E7569">
              <w:rPr>
                <w:rFonts w:ascii="Times New Roman" w:hAnsi="Times New Roman" w:cs="Times New Roman"/>
              </w:rPr>
              <w:t xml:space="preserve"> F 18, </w:t>
            </w:r>
            <w:proofErr w:type="spellStart"/>
            <w:r w:rsidRPr="001E7569">
              <w:rPr>
                <w:rFonts w:ascii="Times New Roman" w:hAnsi="Times New Roman" w:cs="Times New Roman"/>
              </w:rPr>
              <w:t>Zenocutuzumab</w:t>
            </w:r>
            <w:proofErr w:type="spellEnd"/>
            <w:r w:rsidRPr="001E7569">
              <w:rPr>
                <w:rFonts w:ascii="Times New Roman" w:hAnsi="Times New Roman" w:cs="Times New Roman"/>
              </w:rPr>
              <w:t xml:space="preserve">, Goserelin, Durvalumab, Catumaxomab, Tepotinib, Pralatrexate, Samarium (153sm) Lexidronam, Denosumab, </w:t>
            </w:r>
            <w:proofErr w:type="spellStart"/>
            <w:r w:rsidRPr="001E7569">
              <w:rPr>
                <w:rFonts w:ascii="Times New Roman" w:hAnsi="Times New Roman" w:cs="Times New Roman"/>
              </w:rPr>
              <w:t>Telisotuzumab</w:t>
            </w:r>
            <w:proofErr w:type="spellEnd"/>
            <w:r w:rsidRPr="001E7569">
              <w:rPr>
                <w:rFonts w:ascii="Times New Roman" w:hAnsi="Times New Roman" w:cs="Times New Roman"/>
              </w:rPr>
              <w:t xml:space="preserve"> Vedotin, Lenvatinib, Capmatinib, Apalutamide, </w:t>
            </w:r>
            <w:proofErr w:type="spellStart"/>
            <w:r w:rsidRPr="001E7569">
              <w:rPr>
                <w:rFonts w:ascii="Times New Roman" w:hAnsi="Times New Roman" w:cs="Times New Roman"/>
              </w:rPr>
              <w:t>Degarelix,</w:t>
            </w:r>
            <w:r w:rsidR="00334E0F" w:rsidRPr="001E7569">
              <w:rPr>
                <w:rFonts w:ascii="Times New Roman" w:hAnsi="Times New Roman" w:cs="Times New Roman"/>
              </w:rPr>
              <w:t>P</w:t>
            </w:r>
            <w:proofErr w:type="spellEnd"/>
            <w:r w:rsidRPr="001E7569">
              <w:rPr>
                <w:rFonts w:ascii="Times New Roman" w:hAnsi="Times New Roman" w:cs="Times New Roman"/>
              </w:rPr>
              <w:t xml:space="preserve"> </w:t>
            </w:r>
            <w:proofErr w:type="spellStart"/>
            <w:r w:rsidR="00334E0F" w:rsidRPr="001E7569">
              <w:rPr>
                <w:rFonts w:ascii="Times New Roman" w:hAnsi="Times New Roman" w:cs="Times New Roman"/>
              </w:rPr>
              <w:t>apain</w:t>
            </w:r>
            <w:proofErr w:type="spellEnd"/>
            <w:r w:rsidR="00334E0F" w:rsidRPr="001E7569">
              <w:rPr>
                <w:rFonts w:ascii="Times New Roman" w:hAnsi="Times New Roman" w:cs="Times New Roman"/>
              </w:rPr>
              <w:t xml:space="preserve">, Letrozole, Pertuzumab, Fulvestrant, </w:t>
            </w:r>
            <w:proofErr w:type="spellStart"/>
            <w:r w:rsidR="00334E0F" w:rsidRPr="001E7569">
              <w:rPr>
                <w:rFonts w:ascii="Times New Roman" w:hAnsi="Times New Roman" w:cs="Times New Roman"/>
              </w:rPr>
              <w:t>Formestane</w:t>
            </w:r>
            <w:proofErr w:type="spellEnd"/>
            <w:r w:rsidR="00334E0F" w:rsidRPr="001E7569">
              <w:rPr>
                <w:rFonts w:ascii="Times New Roman" w:hAnsi="Times New Roman" w:cs="Times New Roman"/>
              </w:rPr>
              <w:t xml:space="preserve">, Tamoxifen, </w:t>
            </w:r>
            <w:proofErr w:type="spellStart"/>
            <w:r w:rsidR="00334E0F" w:rsidRPr="001E7569">
              <w:rPr>
                <w:rFonts w:ascii="Times New Roman" w:hAnsi="Times New Roman" w:cs="Times New Roman"/>
              </w:rPr>
              <w:t>Fluoroestradiol</w:t>
            </w:r>
            <w:proofErr w:type="spellEnd"/>
            <w:r w:rsidR="00334E0F" w:rsidRPr="001E7569">
              <w:rPr>
                <w:rFonts w:ascii="Times New Roman" w:hAnsi="Times New Roman" w:cs="Times New Roman"/>
              </w:rPr>
              <w:t xml:space="preserve"> F-18, Exemestane, </w:t>
            </w:r>
            <w:proofErr w:type="spellStart"/>
            <w:r w:rsidR="00334E0F" w:rsidRPr="001E7569">
              <w:rPr>
                <w:rFonts w:ascii="Times New Roman" w:hAnsi="Times New Roman" w:cs="Times New Roman"/>
              </w:rPr>
              <w:t>Elacestrant</w:t>
            </w:r>
            <w:proofErr w:type="spellEnd"/>
            <w:r w:rsidR="00334E0F" w:rsidRPr="001E7569">
              <w:rPr>
                <w:rFonts w:ascii="Times New Roman" w:hAnsi="Times New Roman" w:cs="Times New Roman"/>
              </w:rPr>
              <w:t xml:space="preserve">, Anastrozole, Toremifene, Sucrose, Racementhol, Trastuzumab, Lapatinib, Albuterol, Iodine, Gallium Ga-68 </w:t>
            </w:r>
            <w:proofErr w:type="spellStart"/>
            <w:r w:rsidR="00334E0F" w:rsidRPr="001E7569">
              <w:rPr>
                <w:rFonts w:ascii="Times New Roman" w:hAnsi="Times New Roman" w:cs="Times New Roman"/>
              </w:rPr>
              <w:t>gozetotide</w:t>
            </w:r>
            <w:proofErr w:type="spellEnd"/>
            <w:r w:rsidR="00334E0F" w:rsidRPr="001E7569">
              <w:rPr>
                <w:rFonts w:ascii="Times New Roman" w:hAnsi="Times New Roman" w:cs="Times New Roman"/>
              </w:rPr>
              <w:t xml:space="preserve">, Trabectedin, Sacituzumab </w:t>
            </w:r>
            <w:proofErr w:type="spellStart"/>
            <w:r w:rsidR="00334E0F" w:rsidRPr="001E7569">
              <w:rPr>
                <w:rFonts w:ascii="Times New Roman" w:hAnsi="Times New Roman" w:cs="Times New Roman"/>
              </w:rPr>
              <w:t>govitecan</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Testolactone</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Ribociclib</w:t>
            </w:r>
            <w:proofErr w:type="spellEnd"/>
            <w:r w:rsidR="00334E0F" w:rsidRPr="001E7569">
              <w:rPr>
                <w:rFonts w:ascii="Times New Roman" w:hAnsi="Times New Roman" w:cs="Times New Roman"/>
              </w:rPr>
              <w:t xml:space="preserve">, Tucatinib, Raloxifene, </w:t>
            </w:r>
            <w:proofErr w:type="spellStart"/>
            <w:r w:rsidR="00334E0F" w:rsidRPr="001E7569">
              <w:rPr>
                <w:rFonts w:ascii="Times New Roman" w:hAnsi="Times New Roman" w:cs="Times New Roman"/>
              </w:rPr>
              <w:t>Sipuleucel</w:t>
            </w:r>
            <w:proofErr w:type="spellEnd"/>
            <w:r w:rsidR="00334E0F" w:rsidRPr="001E7569">
              <w:rPr>
                <w:rFonts w:ascii="Times New Roman" w:hAnsi="Times New Roman" w:cs="Times New Roman"/>
              </w:rPr>
              <w:t xml:space="preserve">-T, </w:t>
            </w:r>
            <w:proofErr w:type="spellStart"/>
            <w:r w:rsidR="00334E0F" w:rsidRPr="001E7569">
              <w:rPr>
                <w:rFonts w:ascii="Times New Roman" w:hAnsi="Times New Roman" w:cs="Times New Roman"/>
              </w:rPr>
              <w:t>Abemaciclib</w:t>
            </w:r>
            <w:proofErr w:type="spellEnd"/>
            <w:r w:rsidR="00334E0F" w:rsidRPr="001E7569">
              <w:rPr>
                <w:rFonts w:ascii="Times New Roman" w:hAnsi="Times New Roman" w:cs="Times New Roman"/>
              </w:rPr>
              <w:t xml:space="preserve">, Olaparib, Bevacizumab, Ixabepilone, </w:t>
            </w:r>
            <w:proofErr w:type="spellStart"/>
            <w:r w:rsidR="00334E0F" w:rsidRPr="001E7569">
              <w:rPr>
                <w:rFonts w:ascii="Times New Roman" w:hAnsi="Times New Roman" w:cs="Times New Roman"/>
              </w:rPr>
              <w:t>Margetuximab</w:t>
            </w:r>
            <w:proofErr w:type="spellEnd"/>
            <w:r w:rsidR="00334E0F" w:rsidRPr="001E7569">
              <w:rPr>
                <w:rFonts w:ascii="Times New Roman" w:hAnsi="Times New Roman" w:cs="Times New Roman"/>
              </w:rPr>
              <w:t xml:space="preserve">, Methyltestosterone, Neratinib, </w:t>
            </w:r>
            <w:proofErr w:type="spellStart"/>
            <w:r w:rsidR="00334E0F" w:rsidRPr="001E7569">
              <w:rPr>
                <w:rFonts w:ascii="Times New Roman" w:hAnsi="Times New Roman" w:cs="Times New Roman"/>
              </w:rPr>
              <w:t>Ambroxol</w:t>
            </w:r>
            <w:proofErr w:type="spellEnd"/>
            <w:r w:rsidR="00334E0F" w:rsidRPr="001E7569">
              <w:rPr>
                <w:rFonts w:ascii="Times New Roman" w:hAnsi="Times New Roman" w:cs="Times New Roman"/>
              </w:rPr>
              <w:t xml:space="preserve">, Benzocaine, </w:t>
            </w:r>
            <w:proofErr w:type="spellStart"/>
            <w:r w:rsidR="00334E0F" w:rsidRPr="001E7569">
              <w:rPr>
                <w:rFonts w:ascii="Times New Roman" w:hAnsi="Times New Roman" w:cs="Times New Roman"/>
              </w:rPr>
              <w:t>Eribulin</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Alpelisib</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Talazoparib</w:t>
            </w:r>
            <w:proofErr w:type="spellEnd"/>
            <w:r w:rsidR="00334E0F" w:rsidRPr="001E7569">
              <w:rPr>
                <w:rFonts w:ascii="Times New Roman" w:hAnsi="Times New Roman" w:cs="Times New Roman"/>
              </w:rPr>
              <w:t xml:space="preserve">, Megestrol acetate, Patent Blue, Gefitinib, Trastuzumab emtansine, Paclitaxel, Gallium nitrate, Capecitabine, Danazol, Trastuzumab deruxtecan, Palbociclib, </w:t>
            </w:r>
            <w:proofErr w:type="spellStart"/>
            <w:r w:rsidR="00334E0F" w:rsidRPr="001E7569">
              <w:rPr>
                <w:rFonts w:ascii="Times New Roman" w:hAnsi="Times New Roman" w:cs="Times New Roman"/>
              </w:rPr>
              <w:t>Capivasertib</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Buserelin</w:t>
            </w:r>
            <w:proofErr w:type="spellEnd"/>
            <w:r w:rsidR="00334E0F" w:rsidRPr="001E7569">
              <w:rPr>
                <w:rFonts w:ascii="Times New Roman" w:hAnsi="Times New Roman" w:cs="Times New Roman"/>
              </w:rPr>
              <w:t xml:space="preserve">, Cetuximab, Aminoglutethimide, </w:t>
            </w:r>
            <w:proofErr w:type="spellStart"/>
            <w:r w:rsidR="00334E0F" w:rsidRPr="001E7569">
              <w:rPr>
                <w:rFonts w:ascii="Times New Roman" w:hAnsi="Times New Roman" w:cs="Times New Roman"/>
              </w:rPr>
              <w:t>Tirbanibulin</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Pafolacianine</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Datopotamab</w:t>
            </w:r>
            <w:proofErr w:type="spellEnd"/>
            <w:r w:rsidR="00334E0F" w:rsidRPr="001E7569">
              <w:rPr>
                <w:rFonts w:ascii="Times New Roman" w:hAnsi="Times New Roman" w:cs="Times New Roman"/>
              </w:rPr>
              <w:t xml:space="preserve"> deruxtecan, Doxorubicin, Docetaxel, </w:t>
            </w:r>
            <w:proofErr w:type="spellStart"/>
            <w:r w:rsidR="00334E0F" w:rsidRPr="001E7569">
              <w:rPr>
                <w:rFonts w:ascii="Times New Roman" w:hAnsi="Times New Roman" w:cs="Times New Roman"/>
              </w:rPr>
              <w:t>Pegulicianine</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Avutometinib</w:t>
            </w:r>
            <w:proofErr w:type="spellEnd"/>
            <w:r w:rsidR="00334E0F" w:rsidRPr="001E7569">
              <w:rPr>
                <w:rFonts w:ascii="Times New Roman" w:hAnsi="Times New Roman" w:cs="Times New Roman"/>
              </w:rPr>
              <w:t xml:space="preserve">, Vinorelbine, Darolutamide, Rucaparib, Estrone sulfate, Bexarotene, Gemcitabine, </w:t>
            </w:r>
            <w:proofErr w:type="spellStart"/>
            <w:r w:rsidR="00334E0F" w:rsidRPr="001E7569">
              <w:rPr>
                <w:rFonts w:ascii="Times New Roman" w:hAnsi="Times New Roman" w:cs="Times New Roman"/>
              </w:rPr>
              <w:t>Piflufolastat</w:t>
            </w:r>
            <w:proofErr w:type="spellEnd"/>
            <w:r w:rsidR="00334E0F" w:rsidRPr="001E7569">
              <w:rPr>
                <w:rFonts w:ascii="Times New Roman" w:hAnsi="Times New Roman" w:cs="Times New Roman"/>
              </w:rPr>
              <w:t xml:space="preserve"> F 18, </w:t>
            </w:r>
            <w:proofErr w:type="spellStart"/>
            <w:r w:rsidR="00334E0F" w:rsidRPr="001E7569">
              <w:rPr>
                <w:rFonts w:ascii="Times New Roman" w:hAnsi="Times New Roman" w:cs="Times New Roman"/>
              </w:rPr>
              <w:t>Zenocutuzumab</w:t>
            </w:r>
            <w:proofErr w:type="spellEnd"/>
            <w:r w:rsidR="00334E0F" w:rsidRPr="001E7569">
              <w:rPr>
                <w:rFonts w:ascii="Times New Roman" w:hAnsi="Times New Roman" w:cs="Times New Roman"/>
              </w:rPr>
              <w:t xml:space="preserve">, Goserelin, Durvalumab, Sodium fluorophosphate, Catumaxomab, Methotrexate, Tepotinib, </w:t>
            </w:r>
            <w:proofErr w:type="spellStart"/>
            <w:r w:rsidR="00334E0F" w:rsidRPr="001E7569">
              <w:rPr>
                <w:rFonts w:ascii="Times New Roman" w:hAnsi="Times New Roman" w:cs="Times New Roman"/>
              </w:rPr>
              <w:t>Mirvetuximab</w:t>
            </w:r>
            <w:proofErr w:type="spellEnd"/>
            <w:r w:rsidR="00334E0F" w:rsidRPr="001E7569">
              <w:rPr>
                <w:rFonts w:ascii="Times New Roman" w:hAnsi="Times New Roman" w:cs="Times New Roman"/>
              </w:rPr>
              <w:t xml:space="preserve"> </w:t>
            </w:r>
            <w:proofErr w:type="spellStart"/>
            <w:r w:rsidR="00334E0F" w:rsidRPr="001E7569">
              <w:rPr>
                <w:rFonts w:ascii="Times New Roman" w:hAnsi="Times New Roman" w:cs="Times New Roman"/>
              </w:rPr>
              <w:t>soravtansine</w:t>
            </w:r>
            <w:proofErr w:type="spellEnd"/>
            <w:r w:rsidR="00334E0F" w:rsidRPr="001E7569">
              <w:rPr>
                <w:rFonts w:ascii="Times New Roman" w:hAnsi="Times New Roman" w:cs="Times New Roman"/>
              </w:rPr>
              <w:t xml:space="preserve">, Pralatrexate, Samarium (153Sm) lexidronam, Denosumab, Dabrafenib, </w:t>
            </w:r>
            <w:proofErr w:type="spellStart"/>
            <w:r w:rsidR="00334E0F" w:rsidRPr="001E7569">
              <w:rPr>
                <w:rFonts w:ascii="Times New Roman" w:hAnsi="Times New Roman" w:cs="Times New Roman"/>
              </w:rPr>
              <w:t>Telisotuzumab</w:t>
            </w:r>
            <w:proofErr w:type="spellEnd"/>
            <w:r w:rsidR="00334E0F" w:rsidRPr="001E7569">
              <w:rPr>
                <w:rFonts w:ascii="Times New Roman" w:hAnsi="Times New Roman" w:cs="Times New Roman"/>
              </w:rPr>
              <w:t xml:space="preserve"> vedotin, Lenvatinib, Capmatinib, Apalutamide, </w:t>
            </w:r>
            <w:proofErr w:type="spellStart"/>
            <w:r w:rsidR="00334E0F" w:rsidRPr="001E7569">
              <w:rPr>
                <w:rFonts w:ascii="Times New Roman" w:hAnsi="Times New Roman" w:cs="Times New Roman"/>
              </w:rPr>
              <w:t>Degarelix</w:t>
            </w:r>
            <w:proofErr w:type="spellEnd"/>
          </w:p>
        </w:tc>
      </w:tr>
    </w:tbl>
    <w:p w14:paraId="28C63820" w14:textId="77777777" w:rsidR="002B0218" w:rsidRPr="001E7569" w:rsidRDefault="002B0218" w:rsidP="00433BFC">
      <w:pPr>
        <w:rPr>
          <w:rFonts w:ascii="Times New Roman" w:hAnsi="Times New Roman" w:cs="Times New Roman"/>
        </w:rPr>
      </w:pPr>
    </w:p>
    <w:p w14:paraId="2EF772D2" w14:textId="77777777" w:rsidR="002B0218" w:rsidRDefault="002B0218" w:rsidP="00433BFC">
      <w:pPr>
        <w:rPr>
          <w:rFonts w:ascii="Times New Roman" w:hAnsi="Times New Roman" w:cs="Times New Roman"/>
        </w:rPr>
      </w:pPr>
    </w:p>
    <w:p w14:paraId="7FF91C34" w14:textId="77777777" w:rsidR="00210D07" w:rsidRDefault="00210D07" w:rsidP="00433BFC">
      <w:pPr>
        <w:rPr>
          <w:rFonts w:ascii="Times New Roman" w:hAnsi="Times New Roman" w:cs="Times New Roman"/>
        </w:rPr>
      </w:pPr>
    </w:p>
    <w:p w14:paraId="4D85022D" w14:textId="77777777" w:rsidR="00210D07" w:rsidRDefault="00210D07" w:rsidP="00433BFC">
      <w:pPr>
        <w:rPr>
          <w:rFonts w:ascii="Times New Roman" w:hAnsi="Times New Roman" w:cs="Times New Roman"/>
        </w:rPr>
      </w:pPr>
    </w:p>
    <w:p w14:paraId="67C4ABF1" w14:textId="77777777" w:rsidR="00210D07" w:rsidRDefault="00210D07" w:rsidP="00433BFC">
      <w:pPr>
        <w:rPr>
          <w:rFonts w:ascii="Times New Roman" w:hAnsi="Times New Roman" w:cs="Times New Roman"/>
        </w:rPr>
      </w:pPr>
    </w:p>
    <w:p w14:paraId="07183F5F" w14:textId="77777777" w:rsidR="00210D07" w:rsidRDefault="00210D07" w:rsidP="00433BFC">
      <w:pPr>
        <w:rPr>
          <w:rFonts w:ascii="Times New Roman" w:hAnsi="Times New Roman" w:cs="Times New Roman"/>
        </w:rPr>
      </w:pPr>
    </w:p>
    <w:p w14:paraId="6A89A208" w14:textId="77777777" w:rsidR="00210D07" w:rsidRPr="001E7569" w:rsidRDefault="00210D07" w:rsidP="00433BFC">
      <w:pPr>
        <w:rPr>
          <w:rFonts w:ascii="Times New Roman" w:hAnsi="Times New Roman" w:cs="Times New Roman"/>
        </w:rPr>
      </w:pPr>
    </w:p>
    <w:tbl>
      <w:tblPr>
        <w:tblStyle w:val="TableGrid"/>
        <w:tblW w:w="9720" w:type="dxa"/>
        <w:tblLook w:val="04A0" w:firstRow="1" w:lastRow="0" w:firstColumn="1" w:lastColumn="0" w:noHBand="0" w:noVBand="1"/>
      </w:tblPr>
      <w:tblGrid>
        <w:gridCol w:w="1620"/>
        <w:gridCol w:w="8100"/>
      </w:tblGrid>
      <w:tr w:rsidR="00334E0F" w:rsidRPr="001E7569" w14:paraId="3120B525" w14:textId="77777777" w:rsidTr="00AD2D14">
        <w:tc>
          <w:tcPr>
            <w:tcW w:w="9720" w:type="dxa"/>
            <w:gridSpan w:val="2"/>
            <w:tcBorders>
              <w:top w:val="nil"/>
              <w:left w:val="nil"/>
              <w:bottom w:val="nil"/>
              <w:right w:val="nil"/>
            </w:tcBorders>
          </w:tcPr>
          <w:p w14:paraId="51AE91EB" w14:textId="7E409F67" w:rsidR="00334E0F" w:rsidRPr="001E7569" w:rsidRDefault="00334E0F" w:rsidP="00334E0F">
            <w:pPr>
              <w:rPr>
                <w:rFonts w:ascii="Times New Roman" w:hAnsi="Times New Roman" w:cs="Times New Roman"/>
                <w:b/>
                <w:bCs/>
              </w:rPr>
            </w:pPr>
            <w:r w:rsidRPr="001E7569">
              <w:rPr>
                <w:rFonts w:ascii="Times New Roman" w:hAnsi="Times New Roman" w:cs="Times New Roman"/>
                <w:b/>
                <w:bCs/>
              </w:rPr>
              <w:lastRenderedPageBreak/>
              <w:t xml:space="preserve">Table S3. </w:t>
            </w:r>
            <w:r w:rsidRPr="001E7569">
              <w:rPr>
                <w:rFonts w:ascii="Times New Roman" w:eastAsia="Aptos" w:hAnsi="Times New Roman" w:cs="Times New Roman"/>
                <w:b/>
                <w:bCs/>
              </w:rPr>
              <w:t xml:space="preserve">Collection of </w:t>
            </w:r>
            <w:proofErr w:type="spellStart"/>
            <w:r w:rsidRPr="001E7569">
              <w:rPr>
                <w:rFonts w:ascii="Times New Roman" w:eastAsia="Aptos" w:hAnsi="Times New Roman" w:cs="Times New Roman"/>
                <w:b/>
                <w:bCs/>
              </w:rPr>
              <w:t>sKGs</w:t>
            </w:r>
            <w:proofErr w:type="spellEnd"/>
            <w:r w:rsidRPr="001E7569">
              <w:rPr>
                <w:rFonts w:ascii="Times New Roman" w:eastAsia="Aptos" w:hAnsi="Times New Roman" w:cs="Times New Roman"/>
                <w:b/>
                <w:bCs/>
              </w:rPr>
              <w:t xml:space="preserve"> drug agents from</w:t>
            </w:r>
            <w:r w:rsidRPr="001E7569">
              <w:rPr>
                <w:rFonts w:ascii="Times New Roman" w:hAnsi="Times New Roman" w:cs="Times New Roman"/>
                <w:b/>
                <w:bCs/>
                <w:noProof/>
                <w:kern w:val="0"/>
              </w:rPr>
              <w:t xml:space="preserve"> DGIdb 4.0</w:t>
            </w:r>
            <w:r w:rsidR="002B0218" w:rsidRPr="001E7569">
              <w:rPr>
                <w:rFonts w:ascii="Times New Roman" w:hAnsi="Times New Roman" w:cs="Times New Roman"/>
                <w:b/>
                <w:bCs/>
                <w:noProof/>
                <w:kern w:val="0"/>
              </w:rPr>
              <w:t xml:space="preserve"> database</w:t>
            </w:r>
          </w:p>
        </w:tc>
      </w:tr>
      <w:tr w:rsidR="00334E0F" w:rsidRPr="001E7569" w14:paraId="2E1712B9" w14:textId="77777777" w:rsidTr="00230AD8">
        <w:trPr>
          <w:trHeight w:val="2780"/>
        </w:trPr>
        <w:tc>
          <w:tcPr>
            <w:tcW w:w="1620" w:type="dxa"/>
          </w:tcPr>
          <w:p w14:paraId="38518736" w14:textId="6D7DB3FF" w:rsidR="00334E0F" w:rsidRPr="001E7569" w:rsidRDefault="00334E0F" w:rsidP="00334E0F">
            <w:pPr>
              <w:rPr>
                <w:rFonts w:ascii="Times New Roman" w:hAnsi="Times New Roman" w:cs="Times New Roman"/>
              </w:rPr>
            </w:pPr>
            <w:r w:rsidRPr="001E7569">
              <w:rPr>
                <w:rFonts w:ascii="Times New Roman" w:eastAsia="Aptos" w:hAnsi="Times New Roman" w:cs="Times New Roman"/>
              </w:rPr>
              <w:fldChar w:fldCharType="begin" w:fldLock="1"/>
            </w:r>
            <w:r w:rsidR="00356D32">
              <w:rPr>
                <w:rFonts w:ascii="Times New Roman" w:eastAsia="Aptos" w:hAnsi="Times New Roman" w:cs="Times New Roman"/>
              </w:rPr>
              <w:instrText>ADDIN CSL_CITATION {"citationItems":[{"id":"ITEM-1","itemData":{"DOI":"10.1093/nar/gkaa1084","ISSN":"13624962","PMID":"33237278","abstract":"The Drug-Gene Interaction Database (DGIdb, www.dgidb.org) is a web resource that provides information on drug-gene interactions and druggable genes from publications, databases, and other web-based sources. Drug, gene, and interaction data are normalized and merged into conceptual groups. The information contained in this resource is available to users through a straightforward search interface, an application programming interface (API), and TSV data downloads. DGIdb 4.0 is the latest major version release of this database. A primary focus of this update was integration with crowdsourced efforts, leveraging the Drug Target Commons for community-contributed interaction data, Wikidata to facilitate term normalization, and export to NDEx for drug-gene interaction network representations. Seven new sources have been added since the last major version release, bringing the total number of sources included to 41. Of the previously aggregated sources, 15 have been updated. DGIdb 4.0 also includes improvements to the process of drug normalization and grouping of imported sources. Other notable updates include the introduction of a more sophisticated Query Score for interaction search results, an updated Interaction Score, the inclusion of interaction directionality, and several additional improvements to search features, data releases, licensing documentation and the application framework.","author":[{"dropping-particle":"","family":"Freshour","given":"Sharon L.","non-dropping-particle":"","parse-names":false,"suffix":""},{"dropping-particle":"","family":"Kiwala","given":"Susanna","non-dropping-particle":"","parse-names":false,"suffix":""},{"dropping-particle":"","family":"Cotto","given":"Kelsy C.","non-dropping-particle":"","parse-names":false,"suffix":""},{"dropping-particle":"","family":"Coffman","given":"Adam C.","non-dropping-particle":"","parse-names":false,"suffix":""},{"dropping-particle":"","family":"McMichael","given":"Joshua F.","non-dropping-particle":"","parse-names":false,"suffix":""},{"dropping-particle":"","family":"Song","given":"Jonathan J.","non-dropping-particle":"","parse-names":false,"suffix":""},{"dropping-particle":"","family":"Griffith","given":"Malachi","non-dropping-particle":"","parse-names":false,"suffix":""},{"dropping-particle":"","family":"Griffith","given":"Obi L.","non-dropping-particle":"","parse-names":false,"suffix":""},{"dropping-particle":"","family":"Wagner","given":"Alex H.","non-dropping-particle":"","parse-names":false,"suffix":""}],"container-title":"Nucleic Acids Research","id":"ITEM-1","issue":"D1","issued":{"date-parts":[["2021"]]},"page":"D1144-D1151","title":"Integration of the Drug-Gene Interaction Database (DGIdb 4.0) with open crowdsource efforts","type":"article-journal","volume":"49"},"uris":["http://www.mendeley.com/documents/?uuid=fdad9cc7-1f4b-4ddf-9e23-acfb571170e6"]}],"mendeley":{"formattedCitation":"[34]","plainTextFormattedCitation":"[34]","previouslyFormattedCitation":"[33]"},"properties":{"noteIndex":0},"schema":"https://github.com/citation-style-language/schema/raw/master/csl-citation.json"}</w:instrText>
            </w:r>
            <w:r w:rsidRPr="001E7569">
              <w:rPr>
                <w:rFonts w:ascii="Times New Roman" w:eastAsia="Aptos" w:hAnsi="Times New Roman" w:cs="Times New Roman"/>
              </w:rPr>
              <w:fldChar w:fldCharType="separate"/>
            </w:r>
            <w:r w:rsidR="00356D32" w:rsidRPr="00356D32">
              <w:rPr>
                <w:rFonts w:ascii="Times New Roman" w:eastAsia="Aptos" w:hAnsi="Times New Roman" w:cs="Times New Roman"/>
                <w:noProof/>
              </w:rPr>
              <w:t>[34]</w:t>
            </w:r>
            <w:r w:rsidRPr="001E7569">
              <w:rPr>
                <w:rFonts w:ascii="Times New Roman" w:eastAsia="Aptos" w:hAnsi="Times New Roman" w:cs="Times New Roman"/>
              </w:rPr>
              <w:fldChar w:fldCharType="end"/>
            </w:r>
          </w:p>
        </w:tc>
        <w:tc>
          <w:tcPr>
            <w:tcW w:w="8100" w:type="dxa"/>
          </w:tcPr>
          <w:p w14:paraId="2ABCF531" w14:textId="54B23531" w:rsidR="00334E0F" w:rsidRPr="001E7569" w:rsidRDefault="00AD2D14" w:rsidP="00AD2D14">
            <w:pPr>
              <w:jc w:val="both"/>
              <w:rPr>
                <w:rFonts w:ascii="Times New Roman" w:hAnsi="Times New Roman" w:cs="Times New Roman"/>
              </w:rPr>
            </w:pPr>
            <w:proofErr w:type="spellStart"/>
            <w:r w:rsidRPr="001E7569">
              <w:rPr>
                <w:rFonts w:ascii="Times New Roman" w:eastAsia="Aptos" w:hAnsi="Times New Roman" w:cs="Times New Roman"/>
              </w:rPr>
              <w:t>Ixazomib</w:t>
            </w:r>
            <w:proofErr w:type="spellEnd"/>
            <w:r w:rsidRPr="001E7569">
              <w:rPr>
                <w:rFonts w:ascii="Times New Roman" w:eastAsia="Aptos" w:hAnsi="Times New Roman" w:cs="Times New Roman"/>
              </w:rPr>
              <w:t xml:space="preserve">, Carfilzomib, Bortezomib D-mannitol, </w:t>
            </w:r>
            <w:proofErr w:type="spellStart"/>
            <w:r w:rsidRPr="001E7569">
              <w:rPr>
                <w:rFonts w:ascii="Times New Roman" w:eastAsia="Aptos" w:hAnsi="Times New Roman" w:cs="Times New Roman"/>
              </w:rPr>
              <w:t>Ixazomib</w:t>
            </w:r>
            <w:proofErr w:type="spellEnd"/>
            <w:r w:rsidRPr="001E7569">
              <w:rPr>
                <w:rFonts w:ascii="Times New Roman" w:eastAsia="Aptos" w:hAnsi="Times New Roman" w:cs="Times New Roman"/>
              </w:rPr>
              <w:t xml:space="preserve"> Citrate, Bortezomib, Vemurafenib, Paclitaxel, Erlotinib, Hexachlorophene, Sertraline Hydrochloride, Thimerosal, Abiraterone Acetate, Enzalutamide, Venetoclax, Epirubicin, </w:t>
            </w:r>
            <w:proofErr w:type="spellStart"/>
            <w:r w:rsidRPr="001E7569">
              <w:rPr>
                <w:rFonts w:ascii="Times New Roman" w:eastAsia="Aptos" w:hAnsi="Times New Roman" w:cs="Times New Roman"/>
              </w:rPr>
              <w:t>Sulconazole</w:t>
            </w:r>
            <w:proofErr w:type="spellEnd"/>
            <w:r w:rsidRPr="001E7569">
              <w:rPr>
                <w:rFonts w:ascii="Times New Roman" w:eastAsia="Aptos" w:hAnsi="Times New Roman" w:cs="Times New Roman"/>
              </w:rPr>
              <w:t xml:space="preserve"> Nitrate, Azacitidine, Cinnarizine, Paroxetine Hydrochloride, Hemihydrate, Ibrutinib, Cabozantinib S-malate, </w:t>
            </w:r>
            <w:proofErr w:type="spellStart"/>
            <w:r w:rsidRPr="001E7569">
              <w:rPr>
                <w:rFonts w:ascii="Times New Roman" w:eastAsia="Aptos" w:hAnsi="Times New Roman" w:cs="Times New Roman"/>
              </w:rPr>
              <w:t>Capivasertib</w:t>
            </w:r>
            <w:proofErr w:type="spellEnd"/>
            <w:r w:rsidRPr="001E7569">
              <w:rPr>
                <w:rFonts w:ascii="Times New Roman" w:eastAsia="Aptos" w:hAnsi="Times New Roman" w:cs="Times New Roman"/>
              </w:rPr>
              <w:t xml:space="preserve">, Tamoxifen, Docetaxel Anhydrous, </w:t>
            </w:r>
            <w:proofErr w:type="spellStart"/>
            <w:r w:rsidRPr="001E7569">
              <w:rPr>
                <w:rFonts w:ascii="Times New Roman" w:eastAsia="Aptos" w:hAnsi="Times New Roman" w:cs="Times New Roman"/>
              </w:rPr>
              <w:t>Masoprocol</w:t>
            </w:r>
            <w:proofErr w:type="spellEnd"/>
            <w:r w:rsidRPr="001E7569">
              <w:rPr>
                <w:rFonts w:ascii="Times New Roman" w:eastAsia="Aptos" w:hAnsi="Times New Roman" w:cs="Times New Roman"/>
              </w:rPr>
              <w:t xml:space="preserve">, </w:t>
            </w:r>
            <w:proofErr w:type="spellStart"/>
            <w:r w:rsidRPr="001E7569">
              <w:rPr>
                <w:rFonts w:ascii="Times New Roman" w:eastAsia="Aptos" w:hAnsi="Times New Roman" w:cs="Times New Roman"/>
              </w:rPr>
              <w:t>Indoprofen</w:t>
            </w:r>
            <w:proofErr w:type="spellEnd"/>
            <w:r w:rsidRPr="001E7569">
              <w:rPr>
                <w:rFonts w:ascii="Times New Roman" w:eastAsia="Aptos" w:hAnsi="Times New Roman" w:cs="Times New Roman"/>
              </w:rPr>
              <w:t xml:space="preserve">, Cisplatin, </w:t>
            </w:r>
            <w:proofErr w:type="spellStart"/>
            <w:r w:rsidRPr="001E7569">
              <w:rPr>
                <w:rFonts w:ascii="Times New Roman" w:eastAsia="Aptos" w:hAnsi="Times New Roman" w:cs="Times New Roman"/>
              </w:rPr>
              <w:t>Pyrithione</w:t>
            </w:r>
            <w:proofErr w:type="spellEnd"/>
            <w:r w:rsidRPr="001E7569">
              <w:rPr>
                <w:rFonts w:ascii="Times New Roman" w:eastAsia="Aptos" w:hAnsi="Times New Roman" w:cs="Times New Roman"/>
              </w:rPr>
              <w:t xml:space="preserve"> Zinc, </w:t>
            </w:r>
            <w:proofErr w:type="spellStart"/>
            <w:r w:rsidRPr="001E7569">
              <w:rPr>
                <w:rFonts w:ascii="Times New Roman" w:eastAsia="Aptos" w:hAnsi="Times New Roman" w:cs="Times New Roman"/>
              </w:rPr>
              <w:t>Astemizole</w:t>
            </w:r>
            <w:proofErr w:type="spellEnd"/>
            <w:r w:rsidRPr="001E7569">
              <w:rPr>
                <w:rFonts w:ascii="Times New Roman" w:eastAsia="Aptos" w:hAnsi="Times New Roman" w:cs="Times New Roman"/>
              </w:rPr>
              <w:t xml:space="preserve">, Dopamine, Sunitinib, Decitabine, Triflupromazine, Methimazole, </w:t>
            </w:r>
            <w:proofErr w:type="spellStart"/>
            <w:r w:rsidRPr="001E7569">
              <w:rPr>
                <w:rFonts w:ascii="Times New Roman" w:eastAsia="Aptos" w:hAnsi="Times New Roman" w:cs="Times New Roman"/>
              </w:rPr>
              <w:t>Brigatinib</w:t>
            </w:r>
            <w:proofErr w:type="spellEnd"/>
            <w:r w:rsidRPr="001E7569">
              <w:rPr>
                <w:rFonts w:ascii="Times New Roman" w:eastAsia="Aptos" w:hAnsi="Times New Roman" w:cs="Times New Roman"/>
              </w:rPr>
              <w:t xml:space="preserve">, Irinotecan Hydrochloride, Apomorphine, </w:t>
            </w:r>
            <w:proofErr w:type="spellStart"/>
            <w:r w:rsidRPr="001E7569">
              <w:rPr>
                <w:rFonts w:ascii="Times New Roman" w:eastAsia="Aptos" w:hAnsi="Times New Roman" w:cs="Times New Roman"/>
              </w:rPr>
              <w:t>Idelalisib</w:t>
            </w:r>
            <w:proofErr w:type="spellEnd"/>
            <w:r w:rsidRPr="001E7569">
              <w:rPr>
                <w:rFonts w:ascii="Times New Roman" w:eastAsia="Aptos" w:hAnsi="Times New Roman" w:cs="Times New Roman"/>
              </w:rPr>
              <w:t xml:space="preserve">, Trametinib Dimethyl Sulfoxide, </w:t>
            </w:r>
            <w:proofErr w:type="spellStart"/>
            <w:r w:rsidRPr="001E7569">
              <w:rPr>
                <w:rFonts w:ascii="Times New Roman" w:eastAsia="Aptos" w:hAnsi="Times New Roman" w:cs="Times New Roman"/>
              </w:rPr>
              <w:t>Bendamustine</w:t>
            </w:r>
            <w:proofErr w:type="spellEnd"/>
            <w:r w:rsidRPr="001E7569">
              <w:rPr>
                <w:rFonts w:ascii="Times New Roman" w:eastAsia="Aptos" w:hAnsi="Times New Roman" w:cs="Times New Roman"/>
              </w:rPr>
              <w:t xml:space="preserve">, Clioquinol, Ipilimumab, Olaparib, Clemastine, Selumetinib, Rituximab, Cytarabine, Osimertinib, Raloxifene Hydrochloride, Pimozide, Amoxapine, Vitamin K3, </w:t>
            </w:r>
            <w:proofErr w:type="spellStart"/>
            <w:r w:rsidRPr="001E7569">
              <w:rPr>
                <w:rFonts w:ascii="Times New Roman" w:eastAsia="Aptos" w:hAnsi="Times New Roman" w:cs="Times New Roman"/>
              </w:rPr>
              <w:t>Vorinostat</w:t>
            </w:r>
            <w:proofErr w:type="spellEnd"/>
            <w:r w:rsidRPr="001E7569">
              <w:rPr>
                <w:rFonts w:ascii="Times New Roman" w:eastAsia="Aptos" w:hAnsi="Times New Roman" w:cs="Times New Roman"/>
              </w:rPr>
              <w:t xml:space="preserve">, Clotrimazole, Perphenazine, Fulvestrant, Palbociclib, Genistein, Ethopropazine Hydrochloride, Crizotinib, Fenofibrate Micronized, Iodoquinol, Pembrolizumab, Levonorgestrel, Zanubrutinib, Oxaliplatin, Econazole Nitrate, Inositol, </w:t>
            </w:r>
            <w:proofErr w:type="spellStart"/>
            <w:r w:rsidRPr="001E7569">
              <w:rPr>
                <w:rFonts w:ascii="Times New Roman" w:eastAsia="Aptos" w:hAnsi="Times New Roman" w:cs="Times New Roman"/>
              </w:rPr>
              <w:t>Alectinib</w:t>
            </w:r>
            <w:proofErr w:type="spellEnd"/>
            <w:r w:rsidRPr="001E7569">
              <w:rPr>
                <w:rFonts w:ascii="Times New Roman" w:eastAsia="Aptos" w:hAnsi="Times New Roman" w:cs="Times New Roman"/>
              </w:rPr>
              <w:t xml:space="preserve">, Pazopanib, Thiotepa, Thioridazine, Benzalkonium Chloride, Dabrafenib, Melphalan, Cyclophosphamide Anhydrous, Tamoxifen Citrate, Nortriptyline, </w:t>
            </w:r>
            <w:proofErr w:type="spellStart"/>
            <w:r w:rsidRPr="001E7569">
              <w:rPr>
                <w:rFonts w:ascii="Times New Roman" w:eastAsia="Aptos" w:hAnsi="Times New Roman" w:cs="Times New Roman"/>
              </w:rPr>
              <w:t>Lorlatinib</w:t>
            </w:r>
            <w:proofErr w:type="spellEnd"/>
            <w:r w:rsidRPr="001E7569">
              <w:rPr>
                <w:rFonts w:ascii="Times New Roman" w:eastAsia="Aptos" w:hAnsi="Times New Roman" w:cs="Times New Roman"/>
              </w:rPr>
              <w:t xml:space="preserve">, Ruxolitinib, Alemtuzumab, Selinexor, </w:t>
            </w:r>
            <w:proofErr w:type="spellStart"/>
            <w:r w:rsidRPr="001E7569">
              <w:rPr>
                <w:rFonts w:ascii="Times New Roman" w:eastAsia="Aptos" w:hAnsi="Times New Roman" w:cs="Times New Roman"/>
              </w:rPr>
              <w:t>Sapanisertib</w:t>
            </w:r>
            <w:proofErr w:type="spellEnd"/>
            <w:r w:rsidRPr="001E7569">
              <w:rPr>
                <w:rFonts w:ascii="Times New Roman" w:eastAsia="Aptos" w:hAnsi="Times New Roman" w:cs="Times New Roman"/>
              </w:rPr>
              <w:t xml:space="preserve">, Propylthiouracil, Chlorambucil, Trifluridine, Mitomycin, Obinutuzumab, Loperamide, Methotrexate, Mercaptopurine, Zinc Chloride, Azathioprine, Triamterene, Niclosamide, Salmeterol Xinafoate, Enalapril Maleate, Sirolimus, </w:t>
            </w:r>
            <w:proofErr w:type="spellStart"/>
            <w:r w:rsidRPr="001E7569">
              <w:rPr>
                <w:rFonts w:ascii="Times New Roman" w:eastAsia="Aptos" w:hAnsi="Times New Roman" w:cs="Times New Roman"/>
              </w:rPr>
              <w:t>Alpelisib</w:t>
            </w:r>
            <w:proofErr w:type="spellEnd"/>
            <w:r w:rsidRPr="001E7569">
              <w:rPr>
                <w:rFonts w:ascii="Times New Roman" w:eastAsia="Aptos" w:hAnsi="Times New Roman" w:cs="Times New Roman"/>
              </w:rPr>
              <w:t xml:space="preserve">, Ifosfamide, Temozolomide, Mitoxantrone, Diethylstilbestrol, Mitoxantrone Hydrochloride, Bevacizumab, </w:t>
            </w:r>
            <w:proofErr w:type="spellStart"/>
            <w:r w:rsidRPr="001E7569">
              <w:rPr>
                <w:rFonts w:ascii="Times New Roman" w:eastAsia="Aptos" w:hAnsi="Times New Roman" w:cs="Times New Roman"/>
              </w:rPr>
              <w:t>Pirtobrutinib</w:t>
            </w:r>
            <w:proofErr w:type="spellEnd"/>
            <w:r w:rsidRPr="001E7569">
              <w:rPr>
                <w:rFonts w:ascii="Times New Roman" w:eastAsia="Aptos" w:hAnsi="Times New Roman" w:cs="Times New Roman"/>
              </w:rPr>
              <w:t xml:space="preserve">, Nivolumab, Fluphenazine Hydrochloride, Chlorpromazine, Cetuximab, Nitazoxanide, Interferon Alfa-2b, Cladribine, Clomipramine, Ursodiol, Glutaral, </w:t>
            </w:r>
            <w:proofErr w:type="spellStart"/>
            <w:r w:rsidRPr="001E7569">
              <w:rPr>
                <w:rFonts w:ascii="Times New Roman" w:eastAsia="Aptos" w:hAnsi="Times New Roman" w:cs="Times New Roman"/>
              </w:rPr>
              <w:t>Abemaciclib</w:t>
            </w:r>
            <w:proofErr w:type="spellEnd"/>
            <w:r w:rsidRPr="001E7569">
              <w:rPr>
                <w:rFonts w:ascii="Times New Roman" w:eastAsia="Aptos" w:hAnsi="Times New Roman" w:cs="Times New Roman"/>
              </w:rPr>
              <w:t xml:space="preserve">, Trabectedin, Duvelisib, Mechlorethamine Hydrochloride, Fluorouracil, </w:t>
            </w:r>
            <w:proofErr w:type="spellStart"/>
            <w:r w:rsidRPr="001E7569">
              <w:rPr>
                <w:rFonts w:ascii="Times New Roman" w:eastAsia="Aptos" w:hAnsi="Times New Roman" w:cs="Times New Roman"/>
              </w:rPr>
              <w:t>Camptothecin</w:t>
            </w:r>
            <w:proofErr w:type="spellEnd"/>
            <w:r w:rsidRPr="001E7569">
              <w:rPr>
                <w:rFonts w:ascii="Times New Roman" w:eastAsia="Aptos" w:hAnsi="Times New Roman" w:cs="Times New Roman"/>
              </w:rPr>
              <w:t xml:space="preserve">, Acalabrutinib, </w:t>
            </w:r>
            <w:proofErr w:type="spellStart"/>
            <w:r w:rsidRPr="001E7569">
              <w:rPr>
                <w:rFonts w:ascii="Times New Roman" w:eastAsia="Aptos" w:hAnsi="Times New Roman" w:cs="Times New Roman"/>
              </w:rPr>
              <w:t>Chloroxine</w:t>
            </w:r>
            <w:proofErr w:type="spellEnd"/>
            <w:r w:rsidRPr="001E7569">
              <w:rPr>
                <w:rFonts w:ascii="Times New Roman" w:eastAsia="Aptos" w:hAnsi="Times New Roman" w:cs="Times New Roman"/>
              </w:rPr>
              <w:t xml:space="preserve">, Doxorubicin Liposome, Ribavirin, Furazolidone, Clofibrate, Topotecan Hydrochloride, </w:t>
            </w:r>
            <w:proofErr w:type="spellStart"/>
            <w:r w:rsidRPr="001E7569">
              <w:rPr>
                <w:rFonts w:ascii="Times New Roman" w:eastAsia="Aptos" w:hAnsi="Times New Roman" w:cs="Times New Roman"/>
              </w:rPr>
              <w:t>Encorafenib</w:t>
            </w:r>
            <w:proofErr w:type="spellEnd"/>
            <w:r w:rsidRPr="001E7569">
              <w:rPr>
                <w:rFonts w:ascii="Times New Roman" w:eastAsia="Aptos" w:hAnsi="Times New Roman" w:cs="Times New Roman"/>
              </w:rPr>
              <w:t xml:space="preserve">, Hydralazine, Lenalidomide, Benzethonium Chloride, </w:t>
            </w:r>
            <w:proofErr w:type="spellStart"/>
            <w:r w:rsidRPr="001E7569">
              <w:rPr>
                <w:rFonts w:ascii="Times New Roman" w:eastAsia="Aptos" w:hAnsi="Times New Roman" w:cs="Times New Roman"/>
              </w:rPr>
              <w:t>Fenretinide</w:t>
            </w:r>
            <w:proofErr w:type="spellEnd"/>
            <w:r w:rsidRPr="001E7569">
              <w:rPr>
                <w:rFonts w:ascii="Times New Roman" w:eastAsia="Aptos" w:hAnsi="Times New Roman" w:cs="Times New Roman"/>
              </w:rPr>
              <w:t xml:space="preserve">, Panitumumab, Gemcitabine, </w:t>
            </w:r>
            <w:proofErr w:type="spellStart"/>
            <w:r w:rsidRPr="001E7569">
              <w:rPr>
                <w:rFonts w:ascii="Times New Roman" w:eastAsia="Aptos" w:hAnsi="Times New Roman" w:cs="Times New Roman"/>
              </w:rPr>
              <w:t>Axitinib</w:t>
            </w:r>
            <w:proofErr w:type="spellEnd"/>
            <w:r w:rsidRPr="001E7569">
              <w:rPr>
                <w:rFonts w:ascii="Times New Roman" w:eastAsia="Aptos" w:hAnsi="Times New Roman" w:cs="Times New Roman"/>
              </w:rPr>
              <w:t xml:space="preserve">, Pramlintide, Trifluoperazine, </w:t>
            </w:r>
            <w:proofErr w:type="spellStart"/>
            <w:r w:rsidRPr="001E7569">
              <w:rPr>
                <w:rFonts w:ascii="Times New Roman" w:eastAsia="Aptos" w:hAnsi="Times New Roman" w:cs="Times New Roman"/>
              </w:rPr>
              <w:t>Anisindione</w:t>
            </w:r>
            <w:proofErr w:type="spellEnd"/>
            <w:r w:rsidRPr="001E7569">
              <w:rPr>
                <w:rFonts w:ascii="Times New Roman" w:eastAsia="Aptos" w:hAnsi="Times New Roman" w:cs="Times New Roman"/>
              </w:rPr>
              <w:t xml:space="preserve">, Capecitabine, Resveratrol, Warfarin, Sorafenib, Doxorubicin Hydrochloride, Etoposide, </w:t>
            </w:r>
            <w:proofErr w:type="spellStart"/>
            <w:r w:rsidRPr="001E7569">
              <w:rPr>
                <w:rFonts w:ascii="Times New Roman" w:eastAsia="Aptos" w:hAnsi="Times New Roman" w:cs="Times New Roman"/>
              </w:rPr>
              <w:t>Ceritinib</w:t>
            </w:r>
            <w:proofErr w:type="spellEnd"/>
            <w:r w:rsidRPr="001E7569">
              <w:rPr>
                <w:rFonts w:ascii="Times New Roman" w:eastAsia="Aptos" w:hAnsi="Times New Roman" w:cs="Times New Roman"/>
              </w:rPr>
              <w:t xml:space="preserve">, Prochlorperazine, Maprotiline, Haloperidol Decanoate, Carboplatin, Bithionol, Daunorubicin Hydrochloride, </w:t>
            </w:r>
            <w:proofErr w:type="spellStart"/>
            <w:r w:rsidRPr="001E7569">
              <w:rPr>
                <w:rFonts w:ascii="Times New Roman" w:eastAsia="Aptos" w:hAnsi="Times New Roman" w:cs="Times New Roman"/>
              </w:rPr>
              <w:t>Granisetron</w:t>
            </w:r>
            <w:proofErr w:type="spellEnd"/>
            <w:r w:rsidRPr="001E7569">
              <w:rPr>
                <w:rFonts w:ascii="Times New Roman" w:eastAsia="Aptos" w:hAnsi="Times New Roman" w:cs="Times New Roman"/>
              </w:rPr>
              <w:t>, Methylprednisolone</w:t>
            </w:r>
          </w:p>
        </w:tc>
      </w:tr>
    </w:tbl>
    <w:p w14:paraId="3576F709" w14:textId="77777777" w:rsidR="004A4633" w:rsidRPr="001E7569" w:rsidRDefault="004A4633" w:rsidP="00433BFC">
      <w:pPr>
        <w:rPr>
          <w:rFonts w:ascii="Times New Roman" w:hAnsi="Times New Roman" w:cs="Times New Roman"/>
        </w:rPr>
      </w:pPr>
    </w:p>
    <w:tbl>
      <w:tblPr>
        <w:tblStyle w:val="GridTable1Light-Accent61"/>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5"/>
      </w:tblGrid>
      <w:tr w:rsidR="00D31988" w:rsidRPr="001E7569" w14:paraId="2D57DFE4" w14:textId="77777777" w:rsidTr="00FC2105">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535" w:type="dxa"/>
            <w:tcBorders>
              <w:top w:val="nil"/>
              <w:left w:val="nil"/>
              <w:bottom w:val="single" w:sz="4" w:space="0" w:color="auto"/>
              <w:right w:val="nil"/>
            </w:tcBorders>
          </w:tcPr>
          <w:p w14:paraId="5F43210D" w14:textId="7892DF36" w:rsidR="00D31988" w:rsidRPr="00356D32" w:rsidRDefault="00D31988" w:rsidP="00FC2105">
            <w:pPr>
              <w:rPr>
                <w:rFonts w:ascii="Times New Roman" w:eastAsia="Times New Roman" w:hAnsi="Times New Roman" w:cs="Times New Roman"/>
                <w:sz w:val="24"/>
                <w:szCs w:val="24"/>
              </w:rPr>
            </w:pPr>
            <w:bookmarkStart w:id="12" w:name="_Hlk215661479"/>
            <w:r w:rsidRPr="00356D32">
              <w:rPr>
                <w:rFonts w:ascii="Times New Roman" w:hAnsi="Times New Roman" w:cs="Times New Roman"/>
                <w:sz w:val="24"/>
                <w:szCs w:val="24"/>
              </w:rPr>
              <w:t>Table S</w:t>
            </w:r>
            <w:r w:rsidR="002B0218" w:rsidRPr="00356D32">
              <w:rPr>
                <w:rFonts w:ascii="Times New Roman" w:hAnsi="Times New Roman" w:cs="Times New Roman"/>
                <w:sz w:val="24"/>
                <w:szCs w:val="24"/>
              </w:rPr>
              <w:t>4</w:t>
            </w:r>
            <w:r w:rsidRPr="00356D32">
              <w:rPr>
                <w:rFonts w:ascii="Times New Roman" w:hAnsi="Times New Roman" w:cs="Times New Roman"/>
                <w:sz w:val="24"/>
                <w:szCs w:val="24"/>
              </w:rPr>
              <w:t xml:space="preserve">. List of </w:t>
            </w:r>
            <w:proofErr w:type="spellStart"/>
            <w:r w:rsidR="00FB0664" w:rsidRPr="00356D32">
              <w:rPr>
                <w:rFonts w:ascii="Times New Roman" w:hAnsi="Times New Roman" w:cs="Times New Roman"/>
                <w:sz w:val="24"/>
                <w:szCs w:val="24"/>
              </w:rPr>
              <w:t>s</w:t>
            </w:r>
            <w:r w:rsidRPr="00356D32">
              <w:rPr>
                <w:rFonts w:ascii="Times New Roman" w:hAnsi="Times New Roman" w:cs="Times New Roman"/>
                <w:sz w:val="24"/>
                <w:szCs w:val="24"/>
              </w:rPr>
              <w:t>DEGs</w:t>
            </w:r>
            <w:proofErr w:type="spellEnd"/>
            <w:r w:rsidRPr="00356D32">
              <w:rPr>
                <w:rFonts w:ascii="Times New Roman" w:hAnsi="Times New Roman" w:cs="Times New Roman"/>
                <w:sz w:val="24"/>
                <w:szCs w:val="24"/>
              </w:rPr>
              <w:t xml:space="preserve"> for T2D and </w:t>
            </w:r>
            <w:r w:rsidR="002B0218" w:rsidRPr="00356D32">
              <w:rPr>
                <w:rFonts w:ascii="Times New Roman" w:hAnsi="Times New Roman" w:cs="Times New Roman"/>
                <w:sz w:val="24"/>
                <w:szCs w:val="24"/>
              </w:rPr>
              <w:t>TNBC</w:t>
            </w:r>
          </w:p>
        </w:tc>
      </w:tr>
      <w:bookmarkEnd w:id="12"/>
      <w:tr w:rsidR="00D31988" w:rsidRPr="001E7569" w14:paraId="4FF8625A" w14:textId="77777777" w:rsidTr="00FC2105">
        <w:trPr>
          <w:trHeight w:val="351"/>
        </w:trPr>
        <w:tc>
          <w:tcPr>
            <w:cnfStyle w:val="001000000000" w:firstRow="0" w:lastRow="0" w:firstColumn="1" w:lastColumn="0" w:oddVBand="0" w:evenVBand="0" w:oddHBand="0" w:evenHBand="0" w:firstRowFirstColumn="0" w:firstRowLastColumn="0" w:lastRowFirstColumn="0" w:lastRowLastColumn="0"/>
            <w:tcW w:w="9535" w:type="dxa"/>
            <w:tcBorders>
              <w:top w:val="single" w:sz="4" w:space="0" w:color="auto"/>
            </w:tcBorders>
          </w:tcPr>
          <w:p w14:paraId="1F350473" w14:textId="2351984D" w:rsidR="00D31988" w:rsidRPr="001E7569" w:rsidRDefault="00D31988" w:rsidP="00FC2105">
            <w:pPr>
              <w:jc w:val="center"/>
              <w:rPr>
                <w:rFonts w:ascii="Times New Roman" w:eastAsia="Times New Roman" w:hAnsi="Times New Roman" w:cs="Times New Roman"/>
              </w:rPr>
            </w:pPr>
            <w:r w:rsidRPr="001E7569">
              <w:rPr>
                <w:rFonts w:ascii="Times New Roman" w:hAnsi="Times New Roman" w:cs="Times New Roman"/>
                <w:sz w:val="24"/>
                <w:szCs w:val="24"/>
              </w:rPr>
              <w:t xml:space="preserve">Up </w:t>
            </w:r>
            <w:proofErr w:type="spellStart"/>
            <w:r w:rsidR="00FB0664" w:rsidRPr="001E7569">
              <w:rPr>
                <w:rFonts w:ascii="Times New Roman" w:hAnsi="Times New Roman" w:cs="Times New Roman"/>
                <w:sz w:val="24"/>
                <w:szCs w:val="24"/>
              </w:rPr>
              <w:t>s</w:t>
            </w:r>
            <w:r w:rsidRPr="001E7569">
              <w:rPr>
                <w:rFonts w:ascii="Times New Roman" w:hAnsi="Times New Roman" w:cs="Times New Roman"/>
                <w:sz w:val="24"/>
                <w:szCs w:val="24"/>
              </w:rPr>
              <w:t>DEGs</w:t>
            </w:r>
            <w:proofErr w:type="spellEnd"/>
          </w:p>
        </w:tc>
      </w:tr>
      <w:tr w:rsidR="00D31988" w:rsidRPr="001E7569" w14:paraId="28538139" w14:textId="77777777" w:rsidTr="00FC2105">
        <w:trPr>
          <w:trHeight w:val="351"/>
        </w:trPr>
        <w:tc>
          <w:tcPr>
            <w:cnfStyle w:val="001000000000" w:firstRow="0" w:lastRow="0" w:firstColumn="1" w:lastColumn="0" w:oddVBand="0" w:evenVBand="0" w:oddHBand="0" w:evenHBand="0" w:firstRowFirstColumn="0" w:firstRowLastColumn="0" w:lastRowFirstColumn="0" w:lastRowLastColumn="0"/>
            <w:tcW w:w="9535" w:type="dxa"/>
          </w:tcPr>
          <w:p w14:paraId="06E207D7" w14:textId="30E83522" w:rsidR="00D31988" w:rsidRPr="001E7569" w:rsidRDefault="002B0218" w:rsidP="00FC2105">
            <w:pPr>
              <w:jc w:val="both"/>
              <w:rPr>
                <w:rFonts w:ascii="Times New Roman" w:eastAsia="Times New Roman" w:hAnsi="Times New Roman" w:cs="Times New Roman"/>
                <w:b w:val="0"/>
              </w:rPr>
            </w:pPr>
            <w:r w:rsidRPr="001E7569">
              <w:rPr>
                <w:rFonts w:ascii="Times New Roman" w:eastAsia="Times New Roman" w:hAnsi="Times New Roman" w:cs="Times New Roman"/>
                <w:b w:val="0"/>
              </w:rPr>
              <w:t>USP10, HCCS, CDC42SE1, HIST1H2BD, PTRH2, ARHGEF11, PLAGL2, PREB, SLC25A40, PLAUR, ASCC3, PSMD1, ME2, ALDH1B1, KRT23, MRPL18, RQCD1, MYD88, S100A9, SRPK1, S100A8, ACOT9, HSPH1, UBFD1</w:t>
            </w:r>
          </w:p>
        </w:tc>
      </w:tr>
      <w:tr w:rsidR="00D31988" w:rsidRPr="001E7569" w14:paraId="2B226556" w14:textId="77777777" w:rsidTr="00FC2105">
        <w:trPr>
          <w:trHeight w:val="351"/>
        </w:trPr>
        <w:tc>
          <w:tcPr>
            <w:cnfStyle w:val="001000000000" w:firstRow="0" w:lastRow="0" w:firstColumn="1" w:lastColumn="0" w:oddVBand="0" w:evenVBand="0" w:oddHBand="0" w:evenHBand="0" w:firstRowFirstColumn="0" w:firstRowLastColumn="0" w:lastRowFirstColumn="0" w:lastRowLastColumn="0"/>
            <w:tcW w:w="9535" w:type="dxa"/>
          </w:tcPr>
          <w:p w14:paraId="26913170" w14:textId="70B7BB1B" w:rsidR="00D31988" w:rsidRPr="001E7569" w:rsidRDefault="00D31988" w:rsidP="00FC2105">
            <w:pPr>
              <w:jc w:val="center"/>
              <w:rPr>
                <w:rFonts w:ascii="Times New Roman" w:eastAsia="Times New Roman" w:hAnsi="Times New Roman" w:cs="Times New Roman"/>
              </w:rPr>
            </w:pPr>
            <w:r w:rsidRPr="001E7569">
              <w:rPr>
                <w:rFonts w:ascii="Times New Roman" w:hAnsi="Times New Roman" w:cs="Times New Roman"/>
                <w:sz w:val="24"/>
                <w:szCs w:val="24"/>
              </w:rPr>
              <w:t xml:space="preserve">Down </w:t>
            </w:r>
            <w:proofErr w:type="spellStart"/>
            <w:r w:rsidR="00FB0664" w:rsidRPr="001E7569">
              <w:rPr>
                <w:rFonts w:ascii="Times New Roman" w:hAnsi="Times New Roman" w:cs="Times New Roman"/>
                <w:sz w:val="24"/>
                <w:szCs w:val="24"/>
              </w:rPr>
              <w:t>s</w:t>
            </w:r>
            <w:r w:rsidRPr="001E7569">
              <w:rPr>
                <w:rFonts w:ascii="Times New Roman" w:hAnsi="Times New Roman" w:cs="Times New Roman"/>
                <w:sz w:val="24"/>
                <w:szCs w:val="24"/>
              </w:rPr>
              <w:t>DEGs</w:t>
            </w:r>
            <w:proofErr w:type="spellEnd"/>
            <w:r w:rsidRPr="001E7569">
              <w:rPr>
                <w:rFonts w:ascii="Times New Roman" w:hAnsi="Times New Roman" w:cs="Times New Roman"/>
              </w:rPr>
              <w:t xml:space="preserve"> </w:t>
            </w:r>
          </w:p>
        </w:tc>
      </w:tr>
      <w:tr w:rsidR="00D31988" w:rsidRPr="001E7569" w14:paraId="14B545AA" w14:textId="77777777" w:rsidTr="00FC2105">
        <w:trPr>
          <w:trHeight w:val="532"/>
        </w:trPr>
        <w:tc>
          <w:tcPr>
            <w:cnfStyle w:val="001000000000" w:firstRow="0" w:lastRow="0" w:firstColumn="1" w:lastColumn="0" w:oddVBand="0" w:evenVBand="0" w:oddHBand="0" w:evenHBand="0" w:firstRowFirstColumn="0" w:firstRowLastColumn="0" w:lastRowFirstColumn="0" w:lastRowLastColumn="0"/>
            <w:tcW w:w="9535" w:type="dxa"/>
          </w:tcPr>
          <w:p w14:paraId="638587BD" w14:textId="1205142A" w:rsidR="00D31988" w:rsidRPr="001E7569" w:rsidRDefault="002B0218" w:rsidP="00273D76">
            <w:pPr>
              <w:rPr>
                <w:rFonts w:ascii="Times New Roman" w:eastAsia="Times New Roman" w:hAnsi="Times New Roman" w:cs="Times New Roman"/>
                <w:b w:val="0"/>
                <w:bCs w:val="0"/>
              </w:rPr>
            </w:pPr>
            <w:r w:rsidRPr="001E7569">
              <w:rPr>
                <w:rFonts w:ascii="Times New Roman" w:eastAsia="Times New Roman" w:hAnsi="Times New Roman" w:cs="Times New Roman"/>
                <w:b w:val="0"/>
                <w:bCs w:val="0"/>
              </w:rPr>
              <w:t>PCBP2, CIRBP, CXCL14, ATP5G2, AASS, DHRS12, DLC1, GCOM1, GNG11, ARL15, GPX4, HABP4</w:t>
            </w:r>
          </w:p>
        </w:tc>
      </w:tr>
    </w:tbl>
    <w:p w14:paraId="093E42BC" w14:textId="77777777" w:rsidR="00D31988" w:rsidRDefault="00D31988" w:rsidP="00433BFC">
      <w:pPr>
        <w:rPr>
          <w:rFonts w:ascii="Times New Roman" w:hAnsi="Times New Roman" w:cs="Times New Roman"/>
        </w:rPr>
      </w:pPr>
    </w:p>
    <w:tbl>
      <w:tblPr>
        <w:tblW w:w="8478" w:type="dxa"/>
        <w:tblInd w:w="5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0"/>
        <w:gridCol w:w="658"/>
        <w:gridCol w:w="1482"/>
        <w:gridCol w:w="1347"/>
        <w:gridCol w:w="1044"/>
        <w:gridCol w:w="1535"/>
        <w:gridCol w:w="1242"/>
      </w:tblGrid>
      <w:tr w:rsidR="00210D07" w:rsidRPr="00210D07" w14:paraId="47CEFC50" w14:textId="77777777" w:rsidTr="00B622E8">
        <w:trPr>
          <w:trHeight w:val="768"/>
        </w:trPr>
        <w:tc>
          <w:tcPr>
            <w:tcW w:w="8478" w:type="dxa"/>
            <w:gridSpan w:val="7"/>
            <w:tcBorders>
              <w:top w:val="nil"/>
              <w:left w:val="nil"/>
              <w:bottom w:val="single" w:sz="4" w:space="0" w:color="auto"/>
              <w:right w:val="nil"/>
            </w:tcBorders>
            <w:vAlign w:val="center"/>
          </w:tcPr>
          <w:p w14:paraId="31489027" w14:textId="7E848E7A" w:rsidR="008D49B3" w:rsidRPr="00210D07" w:rsidRDefault="008D49B3" w:rsidP="008D49B3">
            <w:pPr>
              <w:spacing w:line="276" w:lineRule="auto"/>
              <w:rPr>
                <w:rFonts w:ascii="Times New Roman" w:hAnsi="Times New Roman" w:cs="Times New Roman"/>
                <w:b/>
                <w:bCs/>
                <w:sz w:val="22"/>
                <w:szCs w:val="22"/>
              </w:rPr>
            </w:pPr>
            <w:r w:rsidRPr="00210D07">
              <w:rPr>
                <w:rFonts w:ascii="Times New Roman" w:hAnsi="Times New Roman" w:cs="Times New Roman"/>
                <w:b/>
                <w:bCs/>
                <w:sz w:val="22"/>
                <w:szCs w:val="22"/>
              </w:rPr>
              <w:lastRenderedPageBreak/>
              <w:t>Table S5: Binding Pocket Identification and Druggability Assessment of the target protein</w:t>
            </w:r>
          </w:p>
        </w:tc>
      </w:tr>
      <w:tr w:rsidR="00210D07" w:rsidRPr="00210D07" w14:paraId="09CC06AD" w14:textId="77777777" w:rsidTr="008D49B3">
        <w:trPr>
          <w:trHeight w:val="768"/>
        </w:trPr>
        <w:tc>
          <w:tcPr>
            <w:tcW w:w="1170" w:type="dxa"/>
            <w:tcBorders>
              <w:top w:val="single" w:sz="4" w:space="0" w:color="auto"/>
              <w:left w:val="single" w:sz="6" w:space="0" w:color="auto"/>
              <w:bottom w:val="single" w:sz="6" w:space="0" w:color="auto"/>
              <w:right w:val="single" w:sz="6" w:space="0" w:color="auto"/>
            </w:tcBorders>
            <w:vAlign w:val="center"/>
            <w:hideMark/>
          </w:tcPr>
          <w:p w14:paraId="7F1D6B2F"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Gene</w:t>
            </w:r>
          </w:p>
        </w:tc>
        <w:tc>
          <w:tcPr>
            <w:tcW w:w="658" w:type="dxa"/>
            <w:tcBorders>
              <w:top w:val="single" w:sz="4" w:space="0" w:color="auto"/>
              <w:left w:val="single" w:sz="6" w:space="0" w:color="auto"/>
              <w:bottom w:val="single" w:sz="6" w:space="0" w:color="auto"/>
              <w:right w:val="single" w:sz="6" w:space="0" w:color="auto"/>
            </w:tcBorders>
            <w:vAlign w:val="center"/>
            <w:hideMark/>
          </w:tcPr>
          <w:p w14:paraId="26A5E1A9"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Chain</w:t>
            </w:r>
          </w:p>
        </w:tc>
        <w:tc>
          <w:tcPr>
            <w:tcW w:w="1482" w:type="dxa"/>
            <w:tcBorders>
              <w:top w:val="single" w:sz="4" w:space="0" w:color="auto"/>
              <w:left w:val="single" w:sz="6" w:space="0" w:color="auto"/>
              <w:bottom w:val="single" w:sz="6" w:space="0" w:color="auto"/>
              <w:right w:val="single" w:sz="6" w:space="0" w:color="auto"/>
            </w:tcBorders>
            <w:vAlign w:val="center"/>
            <w:hideMark/>
          </w:tcPr>
          <w:p w14:paraId="44CEE656"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Volume (Å³)</w:t>
            </w:r>
          </w:p>
          <w:p w14:paraId="50675831" w14:textId="77777777" w:rsidR="008D49B3" w:rsidRPr="00210D07" w:rsidRDefault="008D49B3" w:rsidP="00F538D9">
            <w:pPr>
              <w:spacing w:line="276" w:lineRule="auto"/>
              <w:jc w:val="center"/>
              <w:rPr>
                <w:rFonts w:ascii="Times New Roman" w:hAnsi="Times New Roman" w:cs="Times New Roman"/>
                <w:sz w:val="22"/>
                <w:szCs w:val="22"/>
              </w:rPr>
            </w:pPr>
          </w:p>
        </w:tc>
        <w:tc>
          <w:tcPr>
            <w:tcW w:w="1347" w:type="dxa"/>
            <w:tcBorders>
              <w:top w:val="single" w:sz="4" w:space="0" w:color="auto"/>
              <w:left w:val="single" w:sz="6" w:space="0" w:color="auto"/>
              <w:bottom w:val="single" w:sz="6" w:space="0" w:color="auto"/>
              <w:right w:val="single" w:sz="6" w:space="0" w:color="auto"/>
            </w:tcBorders>
            <w:vAlign w:val="center"/>
            <w:hideMark/>
          </w:tcPr>
          <w:p w14:paraId="27AF3FAC"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Surface (Å²)</w:t>
            </w:r>
          </w:p>
        </w:tc>
        <w:tc>
          <w:tcPr>
            <w:tcW w:w="1044" w:type="dxa"/>
            <w:tcBorders>
              <w:top w:val="single" w:sz="4" w:space="0" w:color="auto"/>
              <w:left w:val="single" w:sz="6" w:space="0" w:color="auto"/>
              <w:bottom w:val="single" w:sz="6" w:space="0" w:color="auto"/>
              <w:right w:val="single" w:sz="6" w:space="0" w:color="auto"/>
            </w:tcBorders>
            <w:vAlign w:val="center"/>
            <w:hideMark/>
          </w:tcPr>
          <w:p w14:paraId="092A643B"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Depth(Å)</w:t>
            </w:r>
          </w:p>
        </w:tc>
        <w:tc>
          <w:tcPr>
            <w:tcW w:w="1535" w:type="dxa"/>
            <w:tcBorders>
              <w:top w:val="single" w:sz="4" w:space="0" w:color="auto"/>
              <w:left w:val="single" w:sz="6" w:space="0" w:color="auto"/>
              <w:bottom w:val="single" w:sz="6" w:space="0" w:color="auto"/>
              <w:right w:val="single" w:sz="6" w:space="0" w:color="auto"/>
            </w:tcBorders>
            <w:vAlign w:val="center"/>
            <w:hideMark/>
          </w:tcPr>
          <w:p w14:paraId="668D239D" w14:textId="77777777" w:rsidR="008D49B3" w:rsidRPr="00210D07" w:rsidRDefault="008D49B3" w:rsidP="008D49B3">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Hydrophobicity</w:t>
            </w:r>
          </w:p>
          <w:p w14:paraId="40F1476B" w14:textId="01B70D7D" w:rsidR="008D49B3" w:rsidRPr="00210D07" w:rsidRDefault="008D49B3" w:rsidP="008D49B3">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ratio</w:t>
            </w:r>
          </w:p>
        </w:tc>
        <w:tc>
          <w:tcPr>
            <w:tcW w:w="1242" w:type="dxa"/>
            <w:tcBorders>
              <w:top w:val="single" w:sz="4" w:space="0" w:color="auto"/>
              <w:left w:val="single" w:sz="6" w:space="0" w:color="auto"/>
              <w:bottom w:val="single" w:sz="6" w:space="0" w:color="auto"/>
              <w:right w:val="single" w:sz="6" w:space="0" w:color="auto"/>
            </w:tcBorders>
            <w:vAlign w:val="center"/>
            <w:hideMark/>
          </w:tcPr>
          <w:p w14:paraId="034DA014"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Druggability</w:t>
            </w:r>
          </w:p>
          <w:p w14:paraId="5402C853" w14:textId="77777777" w:rsidR="008D49B3" w:rsidRPr="00210D07" w:rsidRDefault="008D49B3" w:rsidP="00F538D9">
            <w:pPr>
              <w:spacing w:line="276" w:lineRule="auto"/>
              <w:jc w:val="center"/>
              <w:rPr>
                <w:rFonts w:ascii="Times New Roman" w:hAnsi="Times New Roman" w:cs="Times New Roman"/>
                <w:sz w:val="22"/>
                <w:szCs w:val="22"/>
              </w:rPr>
            </w:pPr>
            <w:r w:rsidRPr="00210D07">
              <w:rPr>
                <w:rFonts w:ascii="Times New Roman" w:hAnsi="Times New Roman" w:cs="Times New Roman"/>
                <w:sz w:val="22"/>
                <w:szCs w:val="22"/>
              </w:rPr>
              <w:t>Score</w:t>
            </w:r>
          </w:p>
        </w:tc>
      </w:tr>
      <w:tr w:rsidR="00210D07" w:rsidRPr="00210D07" w14:paraId="517EA16D" w14:textId="77777777" w:rsidTr="008D49B3">
        <w:trPr>
          <w:trHeight w:val="120"/>
        </w:trPr>
        <w:tc>
          <w:tcPr>
            <w:tcW w:w="1170" w:type="dxa"/>
            <w:tcBorders>
              <w:top w:val="single" w:sz="6" w:space="0" w:color="auto"/>
              <w:left w:val="single" w:sz="6" w:space="0" w:color="auto"/>
              <w:bottom w:val="single" w:sz="6" w:space="0" w:color="auto"/>
              <w:right w:val="single" w:sz="6" w:space="0" w:color="auto"/>
            </w:tcBorders>
            <w:vAlign w:val="center"/>
            <w:hideMark/>
          </w:tcPr>
          <w:p w14:paraId="7328E240"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S100A9</w:t>
            </w:r>
          </w:p>
        </w:tc>
        <w:tc>
          <w:tcPr>
            <w:tcW w:w="658" w:type="dxa"/>
            <w:tcBorders>
              <w:top w:val="single" w:sz="6" w:space="0" w:color="auto"/>
              <w:left w:val="single" w:sz="6" w:space="0" w:color="auto"/>
              <w:bottom w:val="single" w:sz="6" w:space="0" w:color="auto"/>
              <w:right w:val="single" w:sz="6" w:space="0" w:color="auto"/>
            </w:tcBorders>
            <w:vAlign w:val="center"/>
            <w:hideMark/>
          </w:tcPr>
          <w:p w14:paraId="027CB56D"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lang w:val="en-GB"/>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0548D9F6"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1772.03</w:t>
            </w:r>
          </w:p>
        </w:tc>
        <w:tc>
          <w:tcPr>
            <w:tcW w:w="1347" w:type="dxa"/>
            <w:tcBorders>
              <w:top w:val="single" w:sz="6" w:space="0" w:color="auto"/>
              <w:left w:val="single" w:sz="6" w:space="0" w:color="auto"/>
              <w:bottom w:val="single" w:sz="6" w:space="0" w:color="auto"/>
              <w:right w:val="single" w:sz="6" w:space="0" w:color="auto"/>
            </w:tcBorders>
            <w:vAlign w:val="center"/>
            <w:hideMark/>
          </w:tcPr>
          <w:p w14:paraId="56DE7129"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2556.53</w:t>
            </w:r>
          </w:p>
        </w:tc>
        <w:tc>
          <w:tcPr>
            <w:tcW w:w="1044" w:type="dxa"/>
            <w:tcBorders>
              <w:top w:val="single" w:sz="6" w:space="0" w:color="auto"/>
              <w:left w:val="single" w:sz="6" w:space="0" w:color="auto"/>
              <w:bottom w:val="single" w:sz="6" w:space="0" w:color="auto"/>
              <w:right w:val="single" w:sz="6" w:space="0" w:color="auto"/>
            </w:tcBorders>
            <w:vAlign w:val="center"/>
            <w:hideMark/>
          </w:tcPr>
          <w:p w14:paraId="2EA8049B"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24.44</w:t>
            </w:r>
          </w:p>
        </w:tc>
        <w:tc>
          <w:tcPr>
            <w:tcW w:w="1535" w:type="dxa"/>
            <w:tcBorders>
              <w:top w:val="single" w:sz="6" w:space="0" w:color="auto"/>
              <w:left w:val="single" w:sz="6" w:space="0" w:color="auto"/>
              <w:bottom w:val="single" w:sz="6" w:space="0" w:color="auto"/>
              <w:right w:val="single" w:sz="6" w:space="0" w:color="auto"/>
            </w:tcBorders>
            <w:vAlign w:val="center"/>
            <w:hideMark/>
          </w:tcPr>
          <w:p w14:paraId="7EC58D3D"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0.46</w:t>
            </w:r>
          </w:p>
        </w:tc>
        <w:tc>
          <w:tcPr>
            <w:tcW w:w="1242" w:type="dxa"/>
            <w:tcBorders>
              <w:top w:val="single" w:sz="6" w:space="0" w:color="auto"/>
              <w:left w:val="single" w:sz="6" w:space="0" w:color="auto"/>
              <w:bottom w:val="single" w:sz="6" w:space="0" w:color="auto"/>
              <w:right w:val="single" w:sz="6" w:space="0" w:color="auto"/>
            </w:tcBorders>
            <w:vAlign w:val="center"/>
            <w:hideMark/>
          </w:tcPr>
          <w:p w14:paraId="7BC862AE"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0.81</w:t>
            </w:r>
          </w:p>
        </w:tc>
      </w:tr>
      <w:tr w:rsidR="00210D07" w:rsidRPr="00210D07" w14:paraId="34C397A4" w14:textId="77777777" w:rsidTr="008D49B3">
        <w:trPr>
          <w:trHeight w:val="270"/>
        </w:trPr>
        <w:tc>
          <w:tcPr>
            <w:tcW w:w="1170" w:type="dxa"/>
            <w:tcBorders>
              <w:top w:val="single" w:sz="6" w:space="0" w:color="auto"/>
              <w:left w:val="single" w:sz="6" w:space="0" w:color="auto"/>
              <w:bottom w:val="single" w:sz="6" w:space="0" w:color="auto"/>
              <w:right w:val="single" w:sz="6" w:space="0" w:color="auto"/>
            </w:tcBorders>
            <w:vAlign w:val="center"/>
            <w:hideMark/>
          </w:tcPr>
          <w:p w14:paraId="0203A1F3"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CIRBP</w:t>
            </w:r>
          </w:p>
        </w:tc>
        <w:tc>
          <w:tcPr>
            <w:tcW w:w="658" w:type="dxa"/>
            <w:tcBorders>
              <w:top w:val="single" w:sz="6" w:space="0" w:color="auto"/>
              <w:left w:val="single" w:sz="6" w:space="0" w:color="auto"/>
              <w:bottom w:val="single" w:sz="6" w:space="0" w:color="auto"/>
              <w:right w:val="single" w:sz="6" w:space="0" w:color="auto"/>
            </w:tcBorders>
            <w:vAlign w:val="center"/>
            <w:hideMark/>
          </w:tcPr>
          <w:p w14:paraId="6068A877"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lang w:val="en-GB"/>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2A13B81F"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591.42</w:t>
            </w:r>
          </w:p>
        </w:tc>
        <w:tc>
          <w:tcPr>
            <w:tcW w:w="1347" w:type="dxa"/>
            <w:tcBorders>
              <w:top w:val="single" w:sz="6" w:space="0" w:color="auto"/>
              <w:left w:val="single" w:sz="6" w:space="0" w:color="auto"/>
              <w:bottom w:val="single" w:sz="6" w:space="0" w:color="auto"/>
              <w:right w:val="single" w:sz="6" w:space="0" w:color="auto"/>
            </w:tcBorders>
            <w:vAlign w:val="center"/>
            <w:hideMark/>
          </w:tcPr>
          <w:p w14:paraId="518B5467"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1148.6</w:t>
            </w:r>
          </w:p>
        </w:tc>
        <w:tc>
          <w:tcPr>
            <w:tcW w:w="1044" w:type="dxa"/>
            <w:tcBorders>
              <w:top w:val="single" w:sz="6" w:space="0" w:color="auto"/>
              <w:left w:val="single" w:sz="6" w:space="0" w:color="auto"/>
              <w:bottom w:val="single" w:sz="6" w:space="0" w:color="auto"/>
              <w:right w:val="single" w:sz="6" w:space="0" w:color="auto"/>
            </w:tcBorders>
            <w:vAlign w:val="center"/>
            <w:hideMark/>
          </w:tcPr>
          <w:p w14:paraId="6931D6C5"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15.25</w:t>
            </w:r>
          </w:p>
        </w:tc>
        <w:tc>
          <w:tcPr>
            <w:tcW w:w="1535" w:type="dxa"/>
            <w:tcBorders>
              <w:top w:val="single" w:sz="6" w:space="0" w:color="auto"/>
              <w:left w:val="single" w:sz="6" w:space="0" w:color="auto"/>
              <w:bottom w:val="single" w:sz="6" w:space="0" w:color="auto"/>
              <w:right w:val="single" w:sz="6" w:space="0" w:color="auto"/>
            </w:tcBorders>
            <w:vAlign w:val="center"/>
            <w:hideMark/>
          </w:tcPr>
          <w:p w14:paraId="38093E3A"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0.41</w:t>
            </w:r>
          </w:p>
        </w:tc>
        <w:tc>
          <w:tcPr>
            <w:tcW w:w="1242" w:type="dxa"/>
            <w:tcBorders>
              <w:top w:val="single" w:sz="6" w:space="0" w:color="auto"/>
              <w:left w:val="single" w:sz="6" w:space="0" w:color="auto"/>
              <w:bottom w:val="single" w:sz="6" w:space="0" w:color="auto"/>
              <w:right w:val="single" w:sz="6" w:space="0" w:color="auto"/>
            </w:tcBorders>
            <w:vAlign w:val="center"/>
            <w:hideMark/>
          </w:tcPr>
          <w:p w14:paraId="55A4F7CF"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0.74</w:t>
            </w:r>
          </w:p>
        </w:tc>
      </w:tr>
      <w:tr w:rsidR="00210D07" w:rsidRPr="00210D07" w14:paraId="5368896E" w14:textId="77777777" w:rsidTr="008D49B3">
        <w:trPr>
          <w:trHeight w:val="270"/>
        </w:trPr>
        <w:tc>
          <w:tcPr>
            <w:tcW w:w="1170" w:type="dxa"/>
            <w:tcBorders>
              <w:top w:val="single" w:sz="6" w:space="0" w:color="auto"/>
              <w:left w:val="single" w:sz="6" w:space="0" w:color="auto"/>
              <w:bottom w:val="single" w:sz="6" w:space="0" w:color="auto"/>
              <w:right w:val="single" w:sz="6" w:space="0" w:color="auto"/>
            </w:tcBorders>
            <w:vAlign w:val="center"/>
            <w:hideMark/>
          </w:tcPr>
          <w:p w14:paraId="4E9D4771"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USP10</w:t>
            </w:r>
          </w:p>
        </w:tc>
        <w:tc>
          <w:tcPr>
            <w:tcW w:w="658" w:type="dxa"/>
            <w:tcBorders>
              <w:top w:val="single" w:sz="6" w:space="0" w:color="auto"/>
              <w:left w:val="single" w:sz="6" w:space="0" w:color="auto"/>
              <w:bottom w:val="single" w:sz="6" w:space="0" w:color="auto"/>
              <w:right w:val="single" w:sz="6" w:space="0" w:color="auto"/>
            </w:tcBorders>
            <w:vAlign w:val="center"/>
            <w:hideMark/>
          </w:tcPr>
          <w:p w14:paraId="02CAA43A"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lang w:val="en-GB"/>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330B074F"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564.32</w:t>
            </w:r>
          </w:p>
        </w:tc>
        <w:tc>
          <w:tcPr>
            <w:tcW w:w="1347" w:type="dxa"/>
            <w:tcBorders>
              <w:top w:val="single" w:sz="6" w:space="0" w:color="auto"/>
              <w:left w:val="single" w:sz="6" w:space="0" w:color="auto"/>
              <w:bottom w:val="single" w:sz="6" w:space="0" w:color="auto"/>
              <w:right w:val="single" w:sz="6" w:space="0" w:color="auto"/>
            </w:tcBorders>
            <w:vAlign w:val="center"/>
            <w:hideMark/>
          </w:tcPr>
          <w:p w14:paraId="49242B0E"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670.40</w:t>
            </w:r>
          </w:p>
        </w:tc>
        <w:tc>
          <w:tcPr>
            <w:tcW w:w="1044" w:type="dxa"/>
            <w:tcBorders>
              <w:top w:val="single" w:sz="6" w:space="0" w:color="auto"/>
              <w:left w:val="single" w:sz="6" w:space="0" w:color="auto"/>
              <w:bottom w:val="single" w:sz="6" w:space="0" w:color="auto"/>
              <w:right w:val="single" w:sz="6" w:space="0" w:color="auto"/>
            </w:tcBorders>
            <w:vAlign w:val="center"/>
            <w:hideMark/>
          </w:tcPr>
          <w:p w14:paraId="0B94A243"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12.81</w:t>
            </w:r>
          </w:p>
        </w:tc>
        <w:tc>
          <w:tcPr>
            <w:tcW w:w="1535" w:type="dxa"/>
            <w:tcBorders>
              <w:top w:val="single" w:sz="6" w:space="0" w:color="auto"/>
              <w:left w:val="single" w:sz="6" w:space="0" w:color="auto"/>
              <w:bottom w:val="single" w:sz="6" w:space="0" w:color="auto"/>
              <w:right w:val="single" w:sz="6" w:space="0" w:color="auto"/>
            </w:tcBorders>
            <w:vAlign w:val="center"/>
            <w:hideMark/>
          </w:tcPr>
          <w:p w14:paraId="6021A693"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0.30</w:t>
            </w:r>
          </w:p>
        </w:tc>
        <w:tc>
          <w:tcPr>
            <w:tcW w:w="1242" w:type="dxa"/>
            <w:tcBorders>
              <w:top w:val="single" w:sz="6" w:space="0" w:color="auto"/>
              <w:left w:val="single" w:sz="6" w:space="0" w:color="auto"/>
              <w:bottom w:val="single" w:sz="6" w:space="0" w:color="auto"/>
              <w:right w:val="single" w:sz="6" w:space="0" w:color="auto"/>
            </w:tcBorders>
            <w:vAlign w:val="center"/>
            <w:hideMark/>
          </w:tcPr>
          <w:p w14:paraId="06004520"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0.65</w:t>
            </w:r>
          </w:p>
        </w:tc>
      </w:tr>
      <w:tr w:rsidR="00210D07" w:rsidRPr="00210D07" w14:paraId="58007B10" w14:textId="77777777" w:rsidTr="008D49B3">
        <w:trPr>
          <w:trHeight w:val="270"/>
        </w:trPr>
        <w:tc>
          <w:tcPr>
            <w:tcW w:w="1170" w:type="dxa"/>
            <w:tcBorders>
              <w:top w:val="single" w:sz="6" w:space="0" w:color="auto"/>
              <w:left w:val="single" w:sz="6" w:space="0" w:color="auto"/>
              <w:bottom w:val="single" w:sz="6" w:space="0" w:color="auto"/>
              <w:right w:val="single" w:sz="6" w:space="0" w:color="auto"/>
            </w:tcBorders>
            <w:vAlign w:val="center"/>
            <w:hideMark/>
          </w:tcPr>
          <w:p w14:paraId="6C6D32A0"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PSMD1</w:t>
            </w:r>
          </w:p>
        </w:tc>
        <w:tc>
          <w:tcPr>
            <w:tcW w:w="658" w:type="dxa"/>
            <w:tcBorders>
              <w:top w:val="single" w:sz="6" w:space="0" w:color="auto"/>
              <w:left w:val="single" w:sz="6" w:space="0" w:color="auto"/>
              <w:bottom w:val="single" w:sz="6" w:space="0" w:color="auto"/>
              <w:right w:val="single" w:sz="6" w:space="0" w:color="auto"/>
            </w:tcBorders>
            <w:vAlign w:val="center"/>
            <w:hideMark/>
          </w:tcPr>
          <w:p w14:paraId="343C1305"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7FB27A0F"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539.46</w:t>
            </w:r>
          </w:p>
        </w:tc>
        <w:tc>
          <w:tcPr>
            <w:tcW w:w="1347" w:type="dxa"/>
            <w:tcBorders>
              <w:top w:val="single" w:sz="6" w:space="0" w:color="auto"/>
              <w:left w:val="single" w:sz="6" w:space="0" w:color="auto"/>
              <w:bottom w:val="single" w:sz="6" w:space="0" w:color="auto"/>
              <w:right w:val="single" w:sz="6" w:space="0" w:color="auto"/>
            </w:tcBorders>
            <w:vAlign w:val="center"/>
            <w:hideMark/>
          </w:tcPr>
          <w:p w14:paraId="7D018A15"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1067.88</w:t>
            </w:r>
          </w:p>
        </w:tc>
        <w:tc>
          <w:tcPr>
            <w:tcW w:w="1044" w:type="dxa"/>
            <w:tcBorders>
              <w:top w:val="single" w:sz="6" w:space="0" w:color="auto"/>
              <w:left w:val="single" w:sz="6" w:space="0" w:color="auto"/>
              <w:bottom w:val="single" w:sz="6" w:space="0" w:color="auto"/>
              <w:right w:val="single" w:sz="6" w:space="0" w:color="auto"/>
            </w:tcBorders>
            <w:vAlign w:val="center"/>
            <w:hideMark/>
          </w:tcPr>
          <w:p w14:paraId="3F1B328D"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17.49</w:t>
            </w:r>
          </w:p>
        </w:tc>
        <w:tc>
          <w:tcPr>
            <w:tcW w:w="1535" w:type="dxa"/>
            <w:tcBorders>
              <w:top w:val="single" w:sz="6" w:space="0" w:color="auto"/>
              <w:left w:val="single" w:sz="6" w:space="0" w:color="auto"/>
              <w:bottom w:val="single" w:sz="6" w:space="0" w:color="auto"/>
              <w:right w:val="single" w:sz="6" w:space="0" w:color="auto"/>
            </w:tcBorders>
            <w:vAlign w:val="center"/>
            <w:hideMark/>
          </w:tcPr>
          <w:p w14:paraId="116F2CDB"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0.33</w:t>
            </w:r>
          </w:p>
        </w:tc>
        <w:tc>
          <w:tcPr>
            <w:tcW w:w="1242" w:type="dxa"/>
            <w:tcBorders>
              <w:top w:val="single" w:sz="6" w:space="0" w:color="auto"/>
              <w:left w:val="single" w:sz="6" w:space="0" w:color="auto"/>
              <w:bottom w:val="single" w:sz="6" w:space="0" w:color="auto"/>
              <w:right w:val="single" w:sz="6" w:space="0" w:color="auto"/>
            </w:tcBorders>
            <w:vAlign w:val="center"/>
            <w:hideMark/>
          </w:tcPr>
          <w:p w14:paraId="71189B08"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0.77</w:t>
            </w:r>
          </w:p>
        </w:tc>
      </w:tr>
      <w:tr w:rsidR="00210D07" w:rsidRPr="00210D07" w14:paraId="33745B55" w14:textId="77777777" w:rsidTr="008D49B3">
        <w:trPr>
          <w:trHeight w:val="270"/>
        </w:trPr>
        <w:tc>
          <w:tcPr>
            <w:tcW w:w="1170" w:type="dxa"/>
            <w:tcBorders>
              <w:top w:val="single" w:sz="6" w:space="0" w:color="auto"/>
              <w:left w:val="single" w:sz="6" w:space="0" w:color="auto"/>
              <w:bottom w:val="single" w:sz="6" w:space="0" w:color="auto"/>
              <w:right w:val="single" w:sz="6" w:space="0" w:color="auto"/>
            </w:tcBorders>
            <w:vAlign w:val="center"/>
            <w:hideMark/>
          </w:tcPr>
          <w:p w14:paraId="257E0A14"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TP53</w:t>
            </w:r>
          </w:p>
        </w:tc>
        <w:tc>
          <w:tcPr>
            <w:tcW w:w="658" w:type="dxa"/>
            <w:tcBorders>
              <w:top w:val="single" w:sz="6" w:space="0" w:color="auto"/>
              <w:left w:val="single" w:sz="6" w:space="0" w:color="auto"/>
              <w:bottom w:val="single" w:sz="6" w:space="0" w:color="auto"/>
              <w:right w:val="single" w:sz="6" w:space="0" w:color="auto"/>
            </w:tcBorders>
            <w:vAlign w:val="center"/>
            <w:hideMark/>
          </w:tcPr>
          <w:p w14:paraId="6F555F01"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392A9CFA"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939.26</w:t>
            </w:r>
          </w:p>
        </w:tc>
        <w:tc>
          <w:tcPr>
            <w:tcW w:w="1347" w:type="dxa"/>
            <w:tcBorders>
              <w:top w:val="single" w:sz="6" w:space="0" w:color="auto"/>
              <w:left w:val="single" w:sz="6" w:space="0" w:color="auto"/>
              <w:bottom w:val="single" w:sz="6" w:space="0" w:color="auto"/>
              <w:right w:val="single" w:sz="6" w:space="0" w:color="auto"/>
            </w:tcBorders>
            <w:vAlign w:val="center"/>
            <w:hideMark/>
          </w:tcPr>
          <w:p w14:paraId="32D50727"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1131.39</w:t>
            </w:r>
          </w:p>
        </w:tc>
        <w:tc>
          <w:tcPr>
            <w:tcW w:w="1044" w:type="dxa"/>
            <w:tcBorders>
              <w:top w:val="single" w:sz="6" w:space="0" w:color="auto"/>
              <w:left w:val="single" w:sz="6" w:space="0" w:color="auto"/>
              <w:bottom w:val="single" w:sz="6" w:space="0" w:color="auto"/>
              <w:right w:val="single" w:sz="6" w:space="0" w:color="auto"/>
            </w:tcBorders>
            <w:vAlign w:val="center"/>
            <w:hideMark/>
          </w:tcPr>
          <w:p w14:paraId="31801EF6"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19.57</w:t>
            </w:r>
          </w:p>
        </w:tc>
        <w:tc>
          <w:tcPr>
            <w:tcW w:w="1535" w:type="dxa"/>
            <w:tcBorders>
              <w:top w:val="single" w:sz="6" w:space="0" w:color="auto"/>
              <w:left w:val="single" w:sz="6" w:space="0" w:color="auto"/>
              <w:bottom w:val="single" w:sz="6" w:space="0" w:color="auto"/>
              <w:right w:val="single" w:sz="6" w:space="0" w:color="auto"/>
            </w:tcBorders>
            <w:vAlign w:val="center"/>
            <w:hideMark/>
          </w:tcPr>
          <w:p w14:paraId="1B309B43"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0.41</w:t>
            </w:r>
          </w:p>
        </w:tc>
        <w:tc>
          <w:tcPr>
            <w:tcW w:w="1242" w:type="dxa"/>
            <w:tcBorders>
              <w:top w:val="single" w:sz="6" w:space="0" w:color="auto"/>
              <w:left w:val="single" w:sz="6" w:space="0" w:color="auto"/>
              <w:bottom w:val="single" w:sz="6" w:space="0" w:color="auto"/>
              <w:right w:val="single" w:sz="6" w:space="0" w:color="auto"/>
            </w:tcBorders>
            <w:vAlign w:val="center"/>
            <w:hideMark/>
          </w:tcPr>
          <w:p w14:paraId="32C10F4A"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0.81</w:t>
            </w:r>
          </w:p>
        </w:tc>
      </w:tr>
      <w:tr w:rsidR="00210D07" w:rsidRPr="00210D07" w14:paraId="680E0A6A" w14:textId="77777777" w:rsidTr="008D49B3">
        <w:trPr>
          <w:trHeight w:val="270"/>
        </w:trPr>
        <w:tc>
          <w:tcPr>
            <w:tcW w:w="1170" w:type="dxa"/>
            <w:tcBorders>
              <w:top w:val="single" w:sz="6" w:space="0" w:color="auto"/>
              <w:left w:val="single" w:sz="6" w:space="0" w:color="auto"/>
              <w:bottom w:val="single" w:sz="6" w:space="0" w:color="auto"/>
              <w:right w:val="single" w:sz="6" w:space="0" w:color="auto"/>
            </w:tcBorders>
            <w:vAlign w:val="center"/>
            <w:hideMark/>
          </w:tcPr>
          <w:p w14:paraId="11E0905E"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EGR1</w:t>
            </w:r>
          </w:p>
        </w:tc>
        <w:tc>
          <w:tcPr>
            <w:tcW w:w="658" w:type="dxa"/>
            <w:tcBorders>
              <w:top w:val="single" w:sz="6" w:space="0" w:color="auto"/>
              <w:left w:val="single" w:sz="6" w:space="0" w:color="auto"/>
              <w:bottom w:val="single" w:sz="6" w:space="0" w:color="auto"/>
              <w:right w:val="single" w:sz="6" w:space="0" w:color="auto"/>
            </w:tcBorders>
            <w:vAlign w:val="center"/>
            <w:hideMark/>
          </w:tcPr>
          <w:p w14:paraId="6F0F1A5F"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31739F81"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606.14</w:t>
            </w:r>
          </w:p>
        </w:tc>
        <w:tc>
          <w:tcPr>
            <w:tcW w:w="1347" w:type="dxa"/>
            <w:tcBorders>
              <w:top w:val="single" w:sz="6" w:space="0" w:color="auto"/>
              <w:left w:val="single" w:sz="6" w:space="0" w:color="auto"/>
              <w:bottom w:val="single" w:sz="6" w:space="0" w:color="auto"/>
              <w:right w:val="single" w:sz="6" w:space="0" w:color="auto"/>
            </w:tcBorders>
            <w:vAlign w:val="center"/>
            <w:hideMark/>
          </w:tcPr>
          <w:p w14:paraId="3BBAEE68"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1363.08</w:t>
            </w:r>
          </w:p>
        </w:tc>
        <w:tc>
          <w:tcPr>
            <w:tcW w:w="1044" w:type="dxa"/>
            <w:tcBorders>
              <w:top w:val="single" w:sz="6" w:space="0" w:color="auto"/>
              <w:left w:val="single" w:sz="6" w:space="0" w:color="auto"/>
              <w:bottom w:val="single" w:sz="6" w:space="0" w:color="auto"/>
              <w:right w:val="single" w:sz="6" w:space="0" w:color="auto"/>
            </w:tcBorders>
            <w:vAlign w:val="center"/>
            <w:hideMark/>
          </w:tcPr>
          <w:p w14:paraId="0D58DDC2"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17.77</w:t>
            </w:r>
          </w:p>
        </w:tc>
        <w:tc>
          <w:tcPr>
            <w:tcW w:w="1535" w:type="dxa"/>
            <w:tcBorders>
              <w:top w:val="single" w:sz="6" w:space="0" w:color="auto"/>
              <w:left w:val="single" w:sz="6" w:space="0" w:color="auto"/>
              <w:bottom w:val="single" w:sz="6" w:space="0" w:color="auto"/>
              <w:right w:val="single" w:sz="6" w:space="0" w:color="auto"/>
            </w:tcBorders>
            <w:vAlign w:val="center"/>
            <w:hideMark/>
          </w:tcPr>
          <w:p w14:paraId="25400404"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0.46</w:t>
            </w:r>
          </w:p>
        </w:tc>
        <w:tc>
          <w:tcPr>
            <w:tcW w:w="1242" w:type="dxa"/>
            <w:tcBorders>
              <w:top w:val="single" w:sz="6" w:space="0" w:color="auto"/>
              <w:left w:val="single" w:sz="6" w:space="0" w:color="auto"/>
              <w:bottom w:val="single" w:sz="6" w:space="0" w:color="auto"/>
              <w:right w:val="single" w:sz="6" w:space="0" w:color="auto"/>
            </w:tcBorders>
            <w:vAlign w:val="center"/>
            <w:hideMark/>
          </w:tcPr>
          <w:p w14:paraId="23E6CB32"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0.76</w:t>
            </w:r>
          </w:p>
        </w:tc>
      </w:tr>
      <w:tr w:rsidR="00210D07" w:rsidRPr="00210D07" w14:paraId="2C1888ED" w14:textId="77777777" w:rsidTr="008D49B3">
        <w:trPr>
          <w:trHeight w:val="270"/>
        </w:trPr>
        <w:tc>
          <w:tcPr>
            <w:tcW w:w="1170" w:type="dxa"/>
            <w:tcBorders>
              <w:top w:val="single" w:sz="6" w:space="0" w:color="auto"/>
              <w:left w:val="single" w:sz="6" w:space="0" w:color="auto"/>
              <w:bottom w:val="single" w:sz="6" w:space="0" w:color="auto"/>
              <w:right w:val="single" w:sz="6" w:space="0" w:color="auto"/>
            </w:tcBorders>
            <w:vAlign w:val="center"/>
            <w:hideMark/>
          </w:tcPr>
          <w:p w14:paraId="7DB268C2"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USF1</w:t>
            </w:r>
          </w:p>
        </w:tc>
        <w:tc>
          <w:tcPr>
            <w:tcW w:w="658" w:type="dxa"/>
            <w:tcBorders>
              <w:top w:val="single" w:sz="6" w:space="0" w:color="auto"/>
              <w:left w:val="single" w:sz="6" w:space="0" w:color="auto"/>
              <w:bottom w:val="single" w:sz="6" w:space="0" w:color="auto"/>
              <w:right w:val="single" w:sz="6" w:space="0" w:color="auto"/>
            </w:tcBorders>
            <w:vAlign w:val="center"/>
            <w:hideMark/>
          </w:tcPr>
          <w:p w14:paraId="4069DC07"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A</w:t>
            </w:r>
          </w:p>
        </w:tc>
        <w:tc>
          <w:tcPr>
            <w:tcW w:w="1482" w:type="dxa"/>
            <w:tcBorders>
              <w:top w:val="single" w:sz="6" w:space="0" w:color="auto"/>
              <w:left w:val="single" w:sz="6" w:space="0" w:color="auto"/>
              <w:bottom w:val="single" w:sz="6" w:space="0" w:color="auto"/>
              <w:right w:val="single" w:sz="6" w:space="0" w:color="auto"/>
            </w:tcBorders>
            <w:vAlign w:val="center"/>
            <w:hideMark/>
          </w:tcPr>
          <w:p w14:paraId="382AD4A1"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446.91</w:t>
            </w:r>
          </w:p>
        </w:tc>
        <w:tc>
          <w:tcPr>
            <w:tcW w:w="1347" w:type="dxa"/>
            <w:tcBorders>
              <w:top w:val="single" w:sz="6" w:space="0" w:color="auto"/>
              <w:left w:val="single" w:sz="6" w:space="0" w:color="auto"/>
              <w:bottom w:val="single" w:sz="6" w:space="0" w:color="auto"/>
              <w:right w:val="single" w:sz="6" w:space="0" w:color="auto"/>
            </w:tcBorders>
            <w:vAlign w:val="center"/>
            <w:hideMark/>
          </w:tcPr>
          <w:p w14:paraId="5E2C0764"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893.8</w:t>
            </w:r>
          </w:p>
        </w:tc>
        <w:tc>
          <w:tcPr>
            <w:tcW w:w="1044" w:type="dxa"/>
            <w:tcBorders>
              <w:top w:val="single" w:sz="6" w:space="0" w:color="auto"/>
              <w:left w:val="single" w:sz="6" w:space="0" w:color="auto"/>
              <w:bottom w:val="single" w:sz="6" w:space="0" w:color="auto"/>
              <w:right w:val="single" w:sz="6" w:space="0" w:color="auto"/>
            </w:tcBorders>
            <w:vAlign w:val="center"/>
            <w:hideMark/>
          </w:tcPr>
          <w:p w14:paraId="5A247E8A"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18.02</w:t>
            </w:r>
          </w:p>
        </w:tc>
        <w:tc>
          <w:tcPr>
            <w:tcW w:w="1535" w:type="dxa"/>
            <w:tcBorders>
              <w:top w:val="single" w:sz="6" w:space="0" w:color="auto"/>
              <w:left w:val="single" w:sz="6" w:space="0" w:color="auto"/>
              <w:bottom w:val="single" w:sz="6" w:space="0" w:color="auto"/>
              <w:right w:val="single" w:sz="6" w:space="0" w:color="auto"/>
            </w:tcBorders>
            <w:vAlign w:val="center"/>
            <w:hideMark/>
          </w:tcPr>
          <w:p w14:paraId="45174D99"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0.40</w:t>
            </w:r>
          </w:p>
        </w:tc>
        <w:tc>
          <w:tcPr>
            <w:tcW w:w="1242" w:type="dxa"/>
            <w:tcBorders>
              <w:top w:val="single" w:sz="6" w:space="0" w:color="auto"/>
              <w:left w:val="single" w:sz="6" w:space="0" w:color="auto"/>
              <w:bottom w:val="single" w:sz="6" w:space="0" w:color="auto"/>
              <w:right w:val="single" w:sz="6" w:space="0" w:color="auto"/>
            </w:tcBorders>
            <w:vAlign w:val="center"/>
            <w:hideMark/>
          </w:tcPr>
          <w:p w14:paraId="2A08BBC7" w14:textId="77777777" w:rsidR="008D49B3" w:rsidRPr="00210D07" w:rsidRDefault="008D49B3" w:rsidP="00F538D9">
            <w:pPr>
              <w:spacing w:line="360" w:lineRule="auto"/>
              <w:jc w:val="center"/>
              <w:rPr>
                <w:rFonts w:ascii="Times New Roman" w:hAnsi="Times New Roman" w:cs="Times New Roman"/>
                <w:sz w:val="22"/>
                <w:szCs w:val="22"/>
              </w:rPr>
            </w:pPr>
            <w:r w:rsidRPr="00210D07">
              <w:rPr>
                <w:rFonts w:ascii="Times New Roman" w:hAnsi="Times New Roman" w:cs="Times New Roman"/>
                <w:sz w:val="22"/>
                <w:szCs w:val="22"/>
              </w:rPr>
              <w:t>0.75</w:t>
            </w:r>
          </w:p>
        </w:tc>
      </w:tr>
    </w:tbl>
    <w:p w14:paraId="54A2C9A3" w14:textId="77777777" w:rsidR="008D49B3" w:rsidRPr="001E7569" w:rsidRDefault="008D49B3" w:rsidP="00433BFC">
      <w:pPr>
        <w:rPr>
          <w:rFonts w:ascii="Times New Roman" w:hAnsi="Times New Roman" w:cs="Times New Roman"/>
        </w:rPr>
      </w:pPr>
    </w:p>
    <w:p w14:paraId="3492CDB6" w14:textId="77777777" w:rsidR="00D31988" w:rsidRPr="001E7569" w:rsidRDefault="00D31988" w:rsidP="00433BFC">
      <w:pPr>
        <w:rPr>
          <w:rFonts w:ascii="Times New Roman" w:hAnsi="Times New Roman" w:cs="Times New Roman"/>
        </w:rPr>
      </w:pPr>
    </w:p>
    <w:tbl>
      <w:tblPr>
        <w:tblW w:w="8843" w:type="dxa"/>
        <w:tblLook w:val="04A0" w:firstRow="1" w:lastRow="0" w:firstColumn="1" w:lastColumn="0" w:noHBand="0" w:noVBand="1"/>
      </w:tblPr>
      <w:tblGrid>
        <w:gridCol w:w="2123"/>
        <w:gridCol w:w="963"/>
        <w:gridCol w:w="960"/>
        <w:gridCol w:w="960"/>
        <w:gridCol w:w="1003"/>
        <w:gridCol w:w="960"/>
        <w:gridCol w:w="960"/>
        <w:gridCol w:w="1016"/>
      </w:tblGrid>
      <w:tr w:rsidR="00232808" w:rsidRPr="001E7569" w14:paraId="52536E2C" w14:textId="77777777" w:rsidTr="00232808">
        <w:trPr>
          <w:trHeight w:val="300"/>
        </w:trPr>
        <w:tc>
          <w:tcPr>
            <w:tcW w:w="8843" w:type="dxa"/>
            <w:gridSpan w:val="8"/>
            <w:tcBorders>
              <w:top w:val="nil"/>
              <w:left w:val="nil"/>
              <w:bottom w:val="single" w:sz="4" w:space="0" w:color="auto"/>
              <w:right w:val="nil"/>
            </w:tcBorders>
            <w:noWrap/>
            <w:vAlign w:val="bottom"/>
          </w:tcPr>
          <w:p w14:paraId="0B298156" w14:textId="4DDAF566" w:rsidR="00232808" w:rsidRPr="001E7569" w:rsidRDefault="00232808" w:rsidP="00232808">
            <w:pPr>
              <w:rPr>
                <w:rFonts w:ascii="Times New Roman" w:hAnsi="Times New Roman" w:cs="Times New Roman"/>
                <w:b/>
                <w:bCs/>
              </w:rPr>
            </w:pPr>
            <w:r w:rsidRPr="001E7569">
              <w:rPr>
                <w:rFonts w:ascii="Times New Roman" w:hAnsi="Times New Roman" w:cs="Times New Roman"/>
                <w:b/>
                <w:bCs/>
              </w:rPr>
              <w:t>Table S</w:t>
            </w:r>
            <w:r w:rsidR="00CB6086">
              <w:rPr>
                <w:rFonts w:ascii="Times New Roman" w:hAnsi="Times New Roman" w:cs="Times New Roman"/>
                <w:b/>
                <w:bCs/>
              </w:rPr>
              <w:t>6</w:t>
            </w:r>
            <w:r w:rsidRPr="001E7569">
              <w:rPr>
                <w:rFonts w:ascii="Times New Roman" w:hAnsi="Times New Roman" w:cs="Times New Roman"/>
                <w:b/>
                <w:bCs/>
              </w:rPr>
              <w:t xml:space="preserve">. Binding affinity scores of 50 drugs molecule from 146 molecule with </w:t>
            </w:r>
            <w:proofErr w:type="spellStart"/>
            <w:r w:rsidRPr="001E7569">
              <w:rPr>
                <w:rFonts w:ascii="Times New Roman" w:hAnsi="Times New Roman" w:cs="Times New Roman"/>
                <w:b/>
                <w:bCs/>
              </w:rPr>
              <w:t>sKGs</w:t>
            </w:r>
            <w:proofErr w:type="spellEnd"/>
            <w:r w:rsidRPr="001E7569">
              <w:rPr>
                <w:rFonts w:ascii="Times New Roman" w:hAnsi="Times New Roman" w:cs="Times New Roman"/>
                <w:b/>
                <w:bCs/>
              </w:rPr>
              <w:t xml:space="preserve"> and TFs</w:t>
            </w:r>
          </w:p>
        </w:tc>
      </w:tr>
      <w:tr w:rsidR="00232808" w:rsidRPr="00232808" w14:paraId="3321FA7C"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0DC5BBE5" w14:textId="6154E99D" w:rsidR="00232808" w:rsidRPr="00232808" w:rsidRDefault="00232808" w:rsidP="00232808">
            <w:pPr>
              <w:spacing w:after="0" w:line="240" w:lineRule="auto"/>
              <w:jc w:val="center"/>
              <w:rPr>
                <w:rFonts w:ascii="Times New Roman" w:eastAsia="Times New Roman" w:hAnsi="Times New Roman" w:cs="Times New Roman"/>
                <w:b/>
                <w:bCs/>
                <w:kern w:val="0"/>
                <w14:ligatures w14:val="none"/>
              </w:rPr>
            </w:pPr>
            <w:bookmarkStart w:id="13" w:name="_Hlk215661517"/>
            <w:r w:rsidRPr="001E7569">
              <w:rPr>
                <w:rFonts w:ascii="Times New Roman" w:eastAsia="Times New Roman" w:hAnsi="Times New Roman" w:cs="Times New Roman"/>
                <w:b/>
                <w:bCs/>
                <w:kern w:val="0"/>
                <w14:ligatures w14:val="none"/>
              </w:rPr>
              <w:t>Drugs</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5C5E8F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CIRBP</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486AB49"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USP10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D65F6D8"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EGR1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BBBA8D1"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S100A9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48269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TP53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FFCCEA2"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USF1</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0901929" w14:textId="77777777" w:rsidR="00232808" w:rsidRPr="00232808" w:rsidRDefault="00232808" w:rsidP="00232808">
            <w:pPr>
              <w:spacing w:after="0" w:line="240" w:lineRule="auto"/>
              <w:rPr>
                <w:rFonts w:ascii="Times New Roman" w:eastAsia="Times New Roman" w:hAnsi="Times New Roman" w:cs="Times New Roman"/>
                <w:b/>
                <w:bCs/>
                <w:color w:val="000000"/>
                <w:kern w:val="0"/>
                <w14:ligatures w14:val="none"/>
              </w:rPr>
            </w:pPr>
            <w:r w:rsidRPr="00232808">
              <w:rPr>
                <w:rFonts w:ascii="Times New Roman" w:eastAsia="Times New Roman" w:hAnsi="Times New Roman" w:cs="Times New Roman"/>
                <w:b/>
                <w:bCs/>
                <w:color w:val="000000"/>
                <w:kern w:val="0"/>
                <w14:ligatures w14:val="none"/>
              </w:rPr>
              <w:t>PSMD1</w:t>
            </w:r>
          </w:p>
        </w:tc>
      </w:tr>
      <w:tr w:rsidR="00232808" w:rsidRPr="00232808" w14:paraId="33913AE1"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993308E"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Tucatinib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EBA7DD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-10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37A260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0129A1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4AF18C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55BC9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30DF3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DEF620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r>
      <w:tr w:rsidR="00232808" w:rsidRPr="00232808" w14:paraId="6BA43FD2"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58C9F61"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Ursodiol</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ECB3DA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60A163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C02822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74749D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4E9724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AD1390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78670D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r>
      <w:tr w:rsidR="00232808" w:rsidRPr="00232808" w14:paraId="0DAEF061"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17315952"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Pimozide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B3C665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72F29B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76032F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8FED4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8E4B1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9E418E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E9B7A4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5DD23570"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0B48730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Zanubrutinib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570EF4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898C26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765A44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15C3BF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A755C7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368B34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2B3265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39569651"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458EA1E"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Tepotinib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21A785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C87434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C2BB71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41B696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AA6BCC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9A3FE2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35AB17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r>
      <w:tr w:rsidR="00232808" w:rsidRPr="00232808" w14:paraId="3E02684B"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49D17FD6"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Bexarotene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522097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5D2C49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1CCE04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BC59EB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766F44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3B5325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57F29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r>
      <w:tr w:rsidR="00232808" w:rsidRPr="00232808" w14:paraId="23F5EC85"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7D67CC3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Olaparib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211C14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E2FB6D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78693A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DC1C7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73C685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37C393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FAB916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2283D2E6"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C7F648A"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Olaparib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E40BAC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44A4A6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115DAD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E7845A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714638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43AAEF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574F2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r>
      <w:tr w:rsidR="00232808" w:rsidRPr="00232808" w14:paraId="0B134F9B"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63E8B96"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Astemizole</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87DBEA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B07D93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72611C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A854C4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6CCD84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B90E48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9B90E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r>
      <w:tr w:rsidR="00232808" w:rsidRPr="00232808" w14:paraId="3F83A8A1"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7EE1A4AD"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Selinexor</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17789F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1F4B22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36371D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91204C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34DA2A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64C2A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88C0AB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6A98C7D7"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8E9116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Cinnarizine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04CE83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-10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17488D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EB2DFF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F481A7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2B608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7220D9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06FC30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57029F67"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02377214"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Acalabrutinib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201D1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F09D60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7658C8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DCC44B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7448F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81FFF9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E9C8E0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22876CD2"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1AAA170D"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Alectinib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A42FF0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73E76F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266261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3D003B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E2B68A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259F0E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F7CD1B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r>
      <w:tr w:rsidR="00232808" w:rsidRPr="00232808" w14:paraId="54D9BE80"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40668570"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Ibrutinib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819E8A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4FF867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9D672B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2FC07D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C5746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70FA78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E9BAA1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77705DBA"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406E1588"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Abiraterone Acetate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A3CE4D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D24BFA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5DA8EC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A3C82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242369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1342D9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9C50C2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r>
      <w:tr w:rsidR="00232808" w:rsidRPr="00232808" w14:paraId="35658F56"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CC8AACC"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Paclitaxel</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94D224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F28292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2BE80B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15D19B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BB0598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7672D9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4BDCE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3E17B27C"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1438A9CA"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lastRenderedPageBreak/>
              <w:t>Pazopanib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CD6722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9E68F8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D1DC2F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9CDD7D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8DE704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8873D5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7485CA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r>
      <w:tr w:rsidR="00232808" w:rsidRPr="00232808" w14:paraId="18D84364"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E2718E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Sorafenib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CF28E2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043AE1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F7B100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F22F50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B1EB33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3CEC64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E99AEE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-6.9</w:t>
            </w:r>
          </w:p>
        </w:tc>
      </w:tr>
      <w:tr w:rsidR="00232808" w:rsidRPr="00232808" w14:paraId="13096DCD"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B9E1AE3"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Avutometinib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B7A3BD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B56D55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D4243F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23635C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4B994A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E883BC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B6955B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3EAEB363"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BC606BF"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Ribociclib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6FDACD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DCC43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5F70F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7D22E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FAFA3F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315A1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5958C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-7.1</w:t>
            </w:r>
          </w:p>
        </w:tc>
      </w:tr>
      <w:tr w:rsidR="00232808" w:rsidRPr="00232808" w14:paraId="3EA655C9"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4F24BD8C"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Lenvatinib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F8882D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31164C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D53EFE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826261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8FFF4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141D04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4DF896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3301E63E"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0E35CA21"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Camptothecin</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97F9C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155299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B28925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E8203D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D9535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85E6E4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9BA169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10FC72CC"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AEA9942"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Abemaciclib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50676C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07AF9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5E84B5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B9FECE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15023A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A7466F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E9E7BB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-6.6</w:t>
            </w:r>
          </w:p>
        </w:tc>
      </w:tr>
      <w:tr w:rsidR="00232808" w:rsidRPr="00232808" w14:paraId="73A7698C"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FCCBDBF"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Lapatinib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C9826B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41254F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E530FD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39402E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40103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4B9EB1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B7C892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7E0D6C93"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788916C4"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Fenretinide</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E3B679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8021EF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469CC8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D8541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B1F22F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48E30E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DF7FF6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70A3F063"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40B4E05"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Dabrafenib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BCF12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B7C4F1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AF4059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E876DF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91623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726DA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0E5F2E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-6.8</w:t>
            </w:r>
          </w:p>
        </w:tc>
      </w:tr>
      <w:tr w:rsidR="00232808" w:rsidRPr="00232808" w14:paraId="5C47721A"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5C4A04D1"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Adenosine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EA7B3B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2A5917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4CAB8A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1BD05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61561D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D58529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0648B7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-6.5</w:t>
            </w:r>
          </w:p>
        </w:tc>
      </w:tr>
      <w:tr w:rsidR="00232808" w:rsidRPr="00232808" w14:paraId="5276A8EF"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BF144DC"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Tirbanibulin</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1EB779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15813F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B025CA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4A8FA1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18EF72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4AC993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7EAB1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r>
      <w:tr w:rsidR="00232808" w:rsidRPr="00232808" w14:paraId="6816497F"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D3BC459"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Palbociclib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8E856E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45AF48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6478C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97A1C9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A6E24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944BF4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D6BB54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421FEAB6"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A0E6BC6"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Abemaciclib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6494E3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54A722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0A9B7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5FACE6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1CD9C7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F8408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9D100F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-6.5</w:t>
            </w:r>
          </w:p>
        </w:tc>
      </w:tr>
      <w:tr w:rsidR="00232808" w:rsidRPr="00232808" w14:paraId="2A331803"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5D7C2B2C"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Axitinib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F9115C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BFCF7C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2BAD65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4BD152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E2563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11261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EEDF74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r>
      <w:tr w:rsidR="00232808" w:rsidRPr="00232808" w14:paraId="3D0414E7"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052CE2B1"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Fenofibrate Micronized</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6014B3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B019B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0D7179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6B09F6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DEDD3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DA9CA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DB828D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r>
      <w:tr w:rsidR="00232808" w:rsidRPr="00232808" w14:paraId="6D1FE7FC"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0A2B65C"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Papain</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D3ADC7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6286A1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779E7C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ABE138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8FF6E5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A38F31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5D1CFD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76294BA1"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7C13B02B"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Ceritinib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5A6B1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9CC1D5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68F4CD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2843FC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68EB2E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B72B91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B3472E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r>
      <w:tr w:rsidR="00232808" w:rsidRPr="00232808" w14:paraId="1AD5E074"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9474A6A"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Pirtobrutinib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EFE7FC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478C2C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7D4D25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9708B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F3505A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027B17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DCFE01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-6.5</w:t>
            </w:r>
          </w:p>
        </w:tc>
      </w:tr>
      <w:tr w:rsidR="00232808" w:rsidRPr="00232808" w14:paraId="7E1614ED"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1A1077CB"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Dabrafenib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4D05C5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8728AC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D420D9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0F4C6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7F2749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B6EA92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F5C2C2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-6.7</w:t>
            </w:r>
          </w:p>
        </w:tc>
      </w:tr>
      <w:tr w:rsidR="00232808" w:rsidRPr="00232808" w14:paraId="440F5950"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02DBC9D"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Talbutal</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5A997E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635034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ACAD75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2B4E33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07D024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6CC529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788BEE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-6.5</w:t>
            </w:r>
          </w:p>
        </w:tc>
      </w:tr>
      <w:tr w:rsidR="00232808" w:rsidRPr="00232808" w14:paraId="601EA71F"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1BE225E9"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Testolactone</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DD518E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32A78F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F707EE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9C0C9C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096C5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88E6DB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B1502F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r>
      <w:tr w:rsidR="00232808" w:rsidRPr="00232808" w14:paraId="141CC53F"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12FE4CB8"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Talazoparib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D1FD5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2F1E6C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52F1BC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B49D06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CCC5D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FCF0C2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511BA1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-6.5</w:t>
            </w:r>
          </w:p>
        </w:tc>
      </w:tr>
      <w:tr w:rsidR="00232808" w:rsidRPr="00232808" w14:paraId="60233784"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EC7C0E7"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Etoposide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402E8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464F0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953ADA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A39599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52F276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D08B9E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2D0679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134463BE"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4215A21D"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Lorlatinib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2F9003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58AE58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C9321F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38AB8A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BD9BF4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B8C930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AF1A49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-6.7</w:t>
            </w:r>
          </w:p>
        </w:tc>
      </w:tr>
      <w:tr w:rsidR="00232808" w:rsidRPr="00232808" w14:paraId="5446C032"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41B3218D"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Formestane</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01AFA8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60A2B3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F28C7D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A86EAC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4E8C6C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11DAF6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ADE113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-6.7</w:t>
            </w:r>
          </w:p>
        </w:tc>
      </w:tr>
      <w:tr w:rsidR="00232808" w:rsidRPr="00232808" w14:paraId="16870550"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94822DE"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Loperamide</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F6E7D4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C91CC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A62E904"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F924B1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A57AF4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0ED508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B36206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-6.4</w:t>
            </w:r>
          </w:p>
        </w:tc>
      </w:tr>
      <w:tr w:rsidR="00232808" w:rsidRPr="00232808" w14:paraId="0DF933C8"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54E39086"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Palbociclib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92C42F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210DE5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C2F3BD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B17D82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CCC7F0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C32ED9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8D27C5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r>
      <w:tr w:rsidR="00232808" w:rsidRPr="00232808" w14:paraId="4F4560EA"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2C444424"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Vemurafenib</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1F6F3A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9EEB1C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525E94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A73B43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3D5973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41809A1"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93632BE"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-6.5</w:t>
            </w:r>
          </w:p>
        </w:tc>
      </w:tr>
      <w:tr w:rsidR="00232808" w:rsidRPr="00232808" w14:paraId="1E2D9743"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33A3CC32"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Ambroxol</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DDD762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0B7849"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7125D7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6995D8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4A4D03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1D4AA3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692F0D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-6.9</w:t>
            </w:r>
          </w:p>
        </w:tc>
      </w:tr>
      <w:tr w:rsidR="00232808" w:rsidRPr="00232808" w14:paraId="78E4B4DA"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56109930"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Alpelisib</w:t>
            </w:r>
            <w:proofErr w:type="spellEnd"/>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5D1BAF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9FDE76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CA410B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D215D2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4003907"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-7.5</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798856D"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143962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-6.9</w:t>
            </w:r>
          </w:p>
        </w:tc>
      </w:tr>
      <w:tr w:rsidR="00232808" w:rsidRPr="00232808" w14:paraId="624E385E"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78FB091A"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Danazol</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19918A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9541316"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-8.1</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96D3153"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D09FA3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2D1119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99D4A4B"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237D0B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-6.7</w:t>
            </w:r>
          </w:p>
        </w:tc>
      </w:tr>
      <w:tr w:rsidR="00232808" w:rsidRPr="00232808" w14:paraId="7B8256CE"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6DD56A27"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proofErr w:type="spellStart"/>
            <w:r w:rsidRPr="00232808">
              <w:rPr>
                <w:rFonts w:ascii="Times New Roman" w:eastAsia="Times New Roman" w:hAnsi="Times New Roman" w:cs="Times New Roman"/>
                <w:b/>
                <w:bCs/>
                <w:color w:val="000000"/>
                <w:kern w:val="0"/>
                <w:sz w:val="22"/>
                <w:szCs w:val="22"/>
                <w14:ligatures w14:val="none"/>
              </w:rPr>
              <w:t>Fluoroestradiol</w:t>
            </w:r>
            <w:proofErr w:type="spellEnd"/>
            <w:r w:rsidRPr="00232808">
              <w:rPr>
                <w:rFonts w:ascii="Times New Roman" w:eastAsia="Times New Roman" w:hAnsi="Times New Roman" w:cs="Times New Roman"/>
                <w:b/>
                <w:bCs/>
                <w:color w:val="000000"/>
                <w:kern w:val="0"/>
                <w:sz w:val="22"/>
                <w:szCs w:val="22"/>
                <w14:ligatures w14:val="none"/>
              </w:rPr>
              <w:t xml:space="preserve"> F-18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F564B9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-8.9</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9F79D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D10E7B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C97534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46333F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CCD951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5DEB2E8"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-6.7</w:t>
            </w:r>
          </w:p>
        </w:tc>
      </w:tr>
      <w:tr w:rsidR="00232808" w:rsidRPr="00232808" w14:paraId="46D813CA" w14:textId="77777777" w:rsidTr="00232808">
        <w:trPr>
          <w:trHeight w:val="300"/>
        </w:trPr>
        <w:tc>
          <w:tcPr>
            <w:tcW w:w="2123" w:type="dxa"/>
            <w:tcBorders>
              <w:top w:val="single" w:sz="4" w:space="0" w:color="auto"/>
              <w:left w:val="single" w:sz="4" w:space="0" w:color="auto"/>
              <w:bottom w:val="single" w:sz="4" w:space="0" w:color="auto"/>
              <w:right w:val="single" w:sz="4" w:space="0" w:color="auto"/>
            </w:tcBorders>
            <w:noWrap/>
            <w:vAlign w:val="center"/>
            <w:hideMark/>
          </w:tcPr>
          <w:p w14:paraId="524905A9" w14:textId="77777777" w:rsidR="00232808" w:rsidRPr="00232808" w:rsidRDefault="00232808" w:rsidP="00232808">
            <w:pPr>
              <w:spacing w:after="0" w:line="240" w:lineRule="auto"/>
              <w:jc w:val="center"/>
              <w:rPr>
                <w:rFonts w:ascii="Times New Roman" w:eastAsia="Times New Roman" w:hAnsi="Times New Roman" w:cs="Times New Roman"/>
                <w:b/>
                <w:bCs/>
                <w:color w:val="000000"/>
                <w:kern w:val="0"/>
                <w:sz w:val="22"/>
                <w:szCs w:val="22"/>
                <w14:ligatures w14:val="none"/>
              </w:rPr>
            </w:pPr>
            <w:r w:rsidRPr="00232808">
              <w:rPr>
                <w:rFonts w:ascii="Times New Roman" w:eastAsia="Times New Roman" w:hAnsi="Times New Roman" w:cs="Times New Roman"/>
                <w:b/>
                <w:bCs/>
                <w:color w:val="000000"/>
                <w:kern w:val="0"/>
                <w:sz w:val="22"/>
                <w:szCs w:val="22"/>
                <w14:ligatures w14:val="none"/>
              </w:rPr>
              <w:t>Fulvestrant</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66B02BA"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2548DB5"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0CD476C"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-8.3</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E39DEF0"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-7.6</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D2A7BD2"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1DD10E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-7.7</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8DFA55F" w14:textId="77777777" w:rsidR="00232808" w:rsidRPr="00232808" w:rsidRDefault="00232808" w:rsidP="00232808">
            <w:pPr>
              <w:spacing w:after="0" w:line="240" w:lineRule="auto"/>
              <w:jc w:val="center"/>
              <w:rPr>
                <w:rFonts w:ascii="Times New Roman" w:eastAsia="Times New Roman" w:hAnsi="Times New Roman" w:cs="Times New Roman"/>
                <w:color w:val="000000"/>
                <w:kern w:val="0"/>
                <w:sz w:val="22"/>
                <w:szCs w:val="22"/>
                <w14:ligatures w14:val="none"/>
              </w:rPr>
            </w:pPr>
            <w:r w:rsidRPr="00232808">
              <w:rPr>
                <w:rFonts w:ascii="Times New Roman" w:eastAsia="Times New Roman" w:hAnsi="Times New Roman" w:cs="Times New Roman"/>
                <w:color w:val="000000"/>
                <w:kern w:val="0"/>
                <w:sz w:val="22"/>
                <w:szCs w:val="22"/>
                <w14:ligatures w14:val="none"/>
              </w:rPr>
              <w:t>-7.1</w:t>
            </w:r>
          </w:p>
        </w:tc>
      </w:tr>
    </w:tbl>
    <w:p w14:paraId="6325F759" w14:textId="77777777" w:rsidR="00736C95" w:rsidRPr="001E7569" w:rsidRDefault="00736C95" w:rsidP="00433BFC">
      <w:pPr>
        <w:rPr>
          <w:rFonts w:ascii="Times New Roman" w:hAnsi="Times New Roman" w:cs="Times New Roman"/>
          <w:b/>
          <w:bCs/>
        </w:rPr>
      </w:pPr>
    </w:p>
    <w:bookmarkEnd w:id="13"/>
    <w:p w14:paraId="3A58C10B" w14:textId="77777777" w:rsidR="00D31988" w:rsidRDefault="00D31988" w:rsidP="00433BFC">
      <w:pPr>
        <w:rPr>
          <w:rFonts w:ascii="Times New Roman" w:hAnsi="Times New Roman" w:cs="Times New Roman"/>
        </w:rPr>
      </w:pPr>
    </w:p>
    <w:p w14:paraId="60CFB5D4" w14:textId="77777777" w:rsidR="00FB1113" w:rsidRDefault="00FB1113" w:rsidP="00433BFC">
      <w:pPr>
        <w:rPr>
          <w:rFonts w:ascii="Times New Roman" w:hAnsi="Times New Roman" w:cs="Times New Roman"/>
        </w:rPr>
      </w:pPr>
    </w:p>
    <w:p w14:paraId="01679C68" w14:textId="77777777" w:rsidR="00FB1113" w:rsidRDefault="00FB1113" w:rsidP="00433BFC">
      <w:pPr>
        <w:rPr>
          <w:rFonts w:ascii="Times New Roman" w:hAnsi="Times New Roman" w:cs="Times New Roman"/>
        </w:rPr>
      </w:pPr>
    </w:p>
    <w:p w14:paraId="22B6024B" w14:textId="4F18F68C" w:rsidR="00FB1113" w:rsidRPr="00FB1113" w:rsidRDefault="00FB1113" w:rsidP="00433BFC">
      <w:pPr>
        <w:rPr>
          <w:rFonts w:ascii="Times New Roman" w:hAnsi="Times New Roman" w:cs="Times New Roman"/>
          <w:b/>
          <w:bCs/>
          <w:sz w:val="28"/>
          <w:szCs w:val="28"/>
        </w:rPr>
      </w:pPr>
      <w:r w:rsidRPr="00FB1113">
        <w:rPr>
          <w:rFonts w:ascii="Times New Roman" w:hAnsi="Times New Roman" w:cs="Times New Roman"/>
          <w:b/>
          <w:bCs/>
          <w:sz w:val="28"/>
          <w:szCs w:val="28"/>
        </w:rPr>
        <w:lastRenderedPageBreak/>
        <w:t>References</w:t>
      </w:r>
    </w:p>
    <w:p w14:paraId="02ED8A6F" w14:textId="6BE2A2D8" w:rsidR="00356D32" w:rsidRPr="00356D32" w:rsidRDefault="00334E0F" w:rsidP="00356D32">
      <w:pPr>
        <w:widowControl w:val="0"/>
        <w:autoSpaceDE w:val="0"/>
        <w:autoSpaceDN w:val="0"/>
        <w:adjustRightInd w:val="0"/>
        <w:spacing w:line="240" w:lineRule="auto"/>
        <w:ind w:left="640" w:hanging="640"/>
        <w:rPr>
          <w:rFonts w:ascii="Times New Roman" w:hAnsi="Times New Roman" w:cs="Times New Roman"/>
          <w:noProof/>
          <w:kern w:val="0"/>
        </w:rPr>
      </w:pPr>
      <w:r w:rsidRPr="001E7569">
        <w:rPr>
          <w:rFonts w:ascii="Times New Roman" w:hAnsi="Times New Roman" w:cs="Times New Roman"/>
        </w:rPr>
        <w:fldChar w:fldCharType="begin" w:fldLock="1"/>
      </w:r>
      <w:r w:rsidRPr="001E7569">
        <w:rPr>
          <w:rFonts w:ascii="Times New Roman" w:hAnsi="Times New Roman" w:cs="Times New Roman"/>
        </w:rPr>
        <w:instrText xml:space="preserve">ADDIN Mendeley Bibliography CSL_BIBLIOGRAPHY </w:instrText>
      </w:r>
      <w:r w:rsidRPr="001E7569">
        <w:rPr>
          <w:rFonts w:ascii="Times New Roman" w:hAnsi="Times New Roman" w:cs="Times New Roman"/>
        </w:rPr>
        <w:fldChar w:fldCharType="separate"/>
      </w:r>
      <w:r w:rsidR="00356D32" w:rsidRPr="00356D32">
        <w:rPr>
          <w:rFonts w:ascii="Times New Roman" w:hAnsi="Times New Roman" w:cs="Times New Roman"/>
          <w:noProof/>
          <w:kern w:val="0"/>
        </w:rPr>
        <w:t>[1]</w:t>
      </w:r>
      <w:r w:rsidR="00356D32" w:rsidRPr="00356D32">
        <w:rPr>
          <w:rFonts w:ascii="Times New Roman" w:hAnsi="Times New Roman" w:cs="Times New Roman"/>
          <w:noProof/>
          <w:kern w:val="0"/>
        </w:rPr>
        <w:tab/>
        <w:t xml:space="preserve">T. Chen and C. Guestrin, “XGBoost: A scalable tree boosting system,” </w:t>
      </w:r>
      <w:r w:rsidR="00356D32" w:rsidRPr="00356D32">
        <w:rPr>
          <w:rFonts w:ascii="Times New Roman" w:hAnsi="Times New Roman" w:cs="Times New Roman"/>
          <w:i/>
          <w:iCs/>
          <w:noProof/>
          <w:kern w:val="0"/>
        </w:rPr>
        <w:t>Proc. ACM SIGKDD Int. Conf. Knowl. Discov. Data Min.</w:t>
      </w:r>
      <w:r w:rsidR="00356D32" w:rsidRPr="00356D32">
        <w:rPr>
          <w:rFonts w:ascii="Times New Roman" w:hAnsi="Times New Roman" w:cs="Times New Roman"/>
          <w:noProof/>
          <w:kern w:val="0"/>
        </w:rPr>
        <w:t>, vol. 13-17-August-2016, pp. 785–794, 2016, doi: 10.1145/2939672.2939785.</w:t>
      </w:r>
    </w:p>
    <w:p w14:paraId="6DE465F7"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w:t>
      </w:r>
      <w:r w:rsidRPr="00356D32">
        <w:rPr>
          <w:rFonts w:ascii="Times New Roman" w:hAnsi="Times New Roman" w:cs="Times New Roman"/>
          <w:noProof/>
          <w:kern w:val="0"/>
        </w:rPr>
        <w:tab/>
        <w:t xml:space="preserve">Q. Li, H. Yang, P. Wang, X. Liu, K. Lv, and M. Ye, “XGBoost-based and tumor-immune characterized gene signature for the prediction of metastatic status in breast cancer,” </w:t>
      </w:r>
      <w:r w:rsidRPr="00356D32">
        <w:rPr>
          <w:rFonts w:ascii="Times New Roman" w:hAnsi="Times New Roman" w:cs="Times New Roman"/>
          <w:i/>
          <w:iCs/>
          <w:noProof/>
          <w:kern w:val="0"/>
        </w:rPr>
        <w:t>J. Transl. Med.</w:t>
      </w:r>
      <w:r w:rsidRPr="00356D32">
        <w:rPr>
          <w:rFonts w:ascii="Times New Roman" w:hAnsi="Times New Roman" w:cs="Times New Roman"/>
          <w:noProof/>
          <w:kern w:val="0"/>
        </w:rPr>
        <w:t>, vol. 20, no. 1, 2022, doi: 10.1186/s12967-022-03369-9.</w:t>
      </w:r>
    </w:p>
    <w:p w14:paraId="6E28A3ED"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[3]</w:t>
      </w:r>
      <w:r w:rsidRPr="00356D32">
        <w:rPr>
          <w:rFonts w:ascii="Times New Roman" w:hAnsi="Times New Roman" w:cs="Times New Roman"/>
          <w:noProof/>
          <w:kern w:val="0"/>
        </w:rPr>
        <w:tab/>
        <w:t xml:space="preserve">H. Wang, Q. Liang, J. T. Hancock, and T. M. Khoshgoftaar, “Feature selection strategies: a comparative analysis of SHAP-value and importance-based methods,” </w:t>
      </w:r>
      <w:r w:rsidRPr="00356D32">
        <w:rPr>
          <w:rFonts w:ascii="Times New Roman" w:hAnsi="Times New Roman" w:cs="Times New Roman"/>
          <w:i/>
          <w:iCs/>
          <w:noProof/>
          <w:kern w:val="0"/>
        </w:rPr>
        <w:t>J. Big Data</w:t>
      </w:r>
      <w:r w:rsidRPr="00356D32">
        <w:rPr>
          <w:rFonts w:ascii="Times New Roman" w:hAnsi="Times New Roman" w:cs="Times New Roman"/>
          <w:noProof/>
          <w:kern w:val="0"/>
        </w:rPr>
        <w:t>, vol. 11, no. 1, 2024, doi: 10.1186/s40537-024-00905-w.</w:t>
      </w:r>
    </w:p>
    <w:p w14:paraId="28259AEF"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[4]</w:t>
      </w:r>
      <w:r w:rsidRPr="00356D32">
        <w:rPr>
          <w:rFonts w:ascii="Times New Roman" w:hAnsi="Times New Roman" w:cs="Times New Roman"/>
          <w:noProof/>
          <w:kern w:val="0"/>
        </w:rPr>
        <w:tab/>
        <w:t xml:space="preserve">C. J. Bailey, A. A. Tahrani, and A. H. Barnett, “Future glucose-lowering drugs for type 2 diabetes,” </w:t>
      </w:r>
      <w:r w:rsidRPr="00356D32">
        <w:rPr>
          <w:rFonts w:ascii="Times New Roman" w:hAnsi="Times New Roman" w:cs="Times New Roman"/>
          <w:i/>
          <w:iCs/>
          <w:noProof/>
          <w:kern w:val="0"/>
        </w:rPr>
        <w:t>Lancet Diabetes Endocrinol.</w:t>
      </w:r>
      <w:r w:rsidRPr="00356D32">
        <w:rPr>
          <w:rFonts w:ascii="Times New Roman" w:hAnsi="Times New Roman" w:cs="Times New Roman"/>
          <w:noProof/>
          <w:kern w:val="0"/>
        </w:rPr>
        <w:t>, vol. 4, no. 4, pp. 350–359, 2016, doi: 10.1016/S2213-8587(15)00462-3.</w:t>
      </w:r>
    </w:p>
    <w:p w14:paraId="45B58297"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[5]</w:t>
      </w:r>
      <w:r w:rsidRPr="00356D32">
        <w:rPr>
          <w:rFonts w:ascii="Times New Roman" w:hAnsi="Times New Roman" w:cs="Times New Roman"/>
          <w:noProof/>
          <w:kern w:val="0"/>
        </w:rPr>
        <w:tab/>
        <w:t xml:space="preserve">A. J. Krentz, M. B. Patel, and C. J. Bailey, “New Drugs for Type 2 Diabetes Mellitus,” </w:t>
      </w:r>
      <w:r w:rsidRPr="00356D32">
        <w:rPr>
          <w:rFonts w:ascii="Times New Roman" w:hAnsi="Times New Roman" w:cs="Times New Roman"/>
          <w:i/>
          <w:iCs/>
          <w:noProof/>
          <w:kern w:val="0"/>
        </w:rPr>
        <w:t>Drugs</w:t>
      </w:r>
      <w:r w:rsidRPr="00356D32">
        <w:rPr>
          <w:rFonts w:ascii="Times New Roman" w:hAnsi="Times New Roman" w:cs="Times New Roman"/>
          <w:noProof/>
          <w:kern w:val="0"/>
        </w:rPr>
        <w:t>, vol. 68, no. 15, pp. 2131–2162, 2008, doi: 10.2165/00003495-200868150-00005.</w:t>
      </w:r>
    </w:p>
    <w:p w14:paraId="5F5FA46F"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[6]</w:t>
      </w:r>
      <w:r w:rsidRPr="00356D32">
        <w:rPr>
          <w:rFonts w:ascii="Times New Roman" w:hAnsi="Times New Roman" w:cs="Times New Roman"/>
          <w:noProof/>
          <w:kern w:val="0"/>
        </w:rPr>
        <w:tab/>
        <w:t xml:space="preserve">K. Esposito, P. Chiodini, G. Bellastella, M. I. Maiorino, and D. Giugliano, “Proportion of patients at HbA1c target &lt;7% with eight classes of antidiabetic drugs in type 2 diabetes: Systematic review of 218 randomized controlled trials with 78 945 patients,” </w:t>
      </w:r>
      <w:r w:rsidRPr="00356D32">
        <w:rPr>
          <w:rFonts w:ascii="Times New Roman" w:hAnsi="Times New Roman" w:cs="Times New Roman"/>
          <w:i/>
          <w:iCs/>
          <w:noProof/>
          <w:kern w:val="0"/>
        </w:rPr>
        <w:t>Diabetes, Obes. Metab.</w:t>
      </w:r>
      <w:r w:rsidRPr="00356D32">
        <w:rPr>
          <w:rFonts w:ascii="Times New Roman" w:hAnsi="Times New Roman" w:cs="Times New Roman"/>
          <w:noProof/>
          <w:kern w:val="0"/>
        </w:rPr>
        <w:t>, vol. 14, no. 3, pp. 228–233, 2012, doi: 10.1111/j.1463-1326.2011.01512.x.</w:t>
      </w:r>
    </w:p>
    <w:p w14:paraId="73341E66"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[7]</w:t>
      </w:r>
      <w:r w:rsidRPr="00356D32">
        <w:rPr>
          <w:rFonts w:ascii="Times New Roman" w:hAnsi="Times New Roman" w:cs="Times New Roman"/>
          <w:noProof/>
          <w:kern w:val="0"/>
        </w:rPr>
        <w:tab/>
        <w:t xml:space="preserve">C. J.M. and M. A.D., “A rational approach to drug therapy of type 2 diabetes mellitus,” </w:t>
      </w:r>
      <w:r w:rsidRPr="00356D32">
        <w:rPr>
          <w:rFonts w:ascii="Times New Roman" w:hAnsi="Times New Roman" w:cs="Times New Roman"/>
          <w:i/>
          <w:iCs/>
          <w:noProof/>
          <w:kern w:val="0"/>
        </w:rPr>
        <w:t>Drugs</w:t>
      </w:r>
      <w:r w:rsidRPr="00356D32">
        <w:rPr>
          <w:rFonts w:ascii="Times New Roman" w:hAnsi="Times New Roman" w:cs="Times New Roman"/>
          <w:noProof/>
          <w:kern w:val="0"/>
        </w:rPr>
        <w:t>, vol. 60, no. 1, pp. 95–113, 2000.</w:t>
      </w:r>
    </w:p>
    <w:p w14:paraId="317F145C"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[8]</w:t>
      </w:r>
      <w:r w:rsidRPr="00356D32">
        <w:rPr>
          <w:rFonts w:ascii="Times New Roman" w:hAnsi="Times New Roman" w:cs="Times New Roman"/>
          <w:noProof/>
          <w:kern w:val="0"/>
        </w:rPr>
        <w:tab/>
        <w:t xml:space="preserve">K. A. Deans and N. Sattar, “‘Anti-inflammatory’ drugs and their effects on type 2 Diabetes,” </w:t>
      </w:r>
      <w:r w:rsidRPr="00356D32">
        <w:rPr>
          <w:rFonts w:ascii="Times New Roman" w:hAnsi="Times New Roman" w:cs="Times New Roman"/>
          <w:i/>
          <w:iCs/>
          <w:noProof/>
          <w:kern w:val="0"/>
        </w:rPr>
        <w:t>Diabetes Technol. Ther.</w:t>
      </w:r>
      <w:r w:rsidRPr="00356D32">
        <w:rPr>
          <w:rFonts w:ascii="Times New Roman" w:hAnsi="Times New Roman" w:cs="Times New Roman"/>
          <w:noProof/>
          <w:kern w:val="0"/>
        </w:rPr>
        <w:t>, vol. 8, no. 1, pp. 18–27, 2006, doi: 10.1089/dia.2006.8.18.</w:t>
      </w:r>
    </w:p>
    <w:p w14:paraId="733CD713"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[9]</w:t>
      </w:r>
      <w:r w:rsidRPr="00356D32">
        <w:rPr>
          <w:rFonts w:ascii="Times New Roman" w:hAnsi="Times New Roman" w:cs="Times New Roman"/>
          <w:noProof/>
          <w:kern w:val="0"/>
        </w:rPr>
        <w:tab/>
        <w:t xml:space="preserve">M. Avery, C. Mizuno, A. Chittiboyina, T. Kurtz, and H. Pershadsingh, “Type 2 Diabetes and Oral Antihyperglycemic Drugs,” </w:t>
      </w:r>
      <w:r w:rsidRPr="00356D32">
        <w:rPr>
          <w:rFonts w:ascii="Times New Roman" w:hAnsi="Times New Roman" w:cs="Times New Roman"/>
          <w:i/>
          <w:iCs/>
          <w:noProof/>
          <w:kern w:val="0"/>
        </w:rPr>
        <w:t>Curr. Med. Chem.</w:t>
      </w:r>
      <w:r w:rsidRPr="00356D32">
        <w:rPr>
          <w:rFonts w:ascii="Times New Roman" w:hAnsi="Times New Roman" w:cs="Times New Roman"/>
          <w:noProof/>
          <w:kern w:val="0"/>
        </w:rPr>
        <w:t>, vol. 15, no. 1, pp. 61–74, 2008, doi: 10.2174/092986708783330656.</w:t>
      </w:r>
    </w:p>
    <w:p w14:paraId="0013E2F3"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[10]</w:t>
      </w:r>
      <w:r w:rsidRPr="00356D32">
        <w:rPr>
          <w:rFonts w:ascii="Times New Roman" w:hAnsi="Times New Roman" w:cs="Times New Roman"/>
          <w:noProof/>
          <w:kern w:val="0"/>
        </w:rPr>
        <w:tab/>
        <w:t xml:space="preserve">F. Paneni and T. F. Lüscher, “Cardiovascular Protection in the Treatment of Type 2 Diabetes: A Review of Clinical Trial Results Across Drug Classes,” </w:t>
      </w:r>
      <w:r w:rsidRPr="00356D32">
        <w:rPr>
          <w:rFonts w:ascii="Times New Roman" w:hAnsi="Times New Roman" w:cs="Times New Roman"/>
          <w:i/>
          <w:iCs/>
          <w:noProof/>
          <w:kern w:val="0"/>
        </w:rPr>
        <w:t>Am. J. Cardiol.</w:t>
      </w:r>
      <w:r w:rsidRPr="00356D32">
        <w:rPr>
          <w:rFonts w:ascii="Times New Roman" w:hAnsi="Times New Roman" w:cs="Times New Roman"/>
          <w:noProof/>
          <w:kern w:val="0"/>
        </w:rPr>
        <w:t>, vol. 120, no. 1, pp. S17–S27, 2017, doi: 10.1016/j.amjcard.2017.05.015.</w:t>
      </w:r>
    </w:p>
    <w:p w14:paraId="15F63F40"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[11]</w:t>
      </w:r>
      <w:r w:rsidRPr="00356D32">
        <w:rPr>
          <w:rFonts w:ascii="Times New Roman" w:hAnsi="Times New Roman" w:cs="Times New Roman"/>
          <w:noProof/>
          <w:kern w:val="0"/>
        </w:rPr>
        <w:tab/>
        <w:t xml:space="preserve">E. A. Adeghate, H. Kalász, S. Al Jaberi, J. Adeghate, and K. Tekes, “Tackling type 2 diabetes-associated cardiovascular and renal comorbidities: a key challenge for drug development,” </w:t>
      </w:r>
      <w:r w:rsidRPr="00356D32">
        <w:rPr>
          <w:rFonts w:ascii="Times New Roman" w:hAnsi="Times New Roman" w:cs="Times New Roman"/>
          <w:i/>
          <w:iCs/>
          <w:noProof/>
          <w:kern w:val="0"/>
        </w:rPr>
        <w:t>Expert Opin. Investig. Drugs</w:t>
      </w:r>
      <w:r w:rsidRPr="00356D32">
        <w:rPr>
          <w:rFonts w:ascii="Times New Roman" w:hAnsi="Times New Roman" w:cs="Times New Roman"/>
          <w:noProof/>
          <w:kern w:val="0"/>
        </w:rPr>
        <w:t>, vol. 30, no. 2, pp. 85–93, 2021, doi: 10.1080/13543784.2021.1865914.</w:t>
      </w:r>
    </w:p>
    <w:p w14:paraId="22E52BDB"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[12]</w:t>
      </w:r>
      <w:r w:rsidRPr="00356D32">
        <w:rPr>
          <w:rFonts w:ascii="Times New Roman" w:hAnsi="Times New Roman" w:cs="Times New Roman"/>
          <w:noProof/>
          <w:kern w:val="0"/>
        </w:rPr>
        <w:tab/>
        <w:t xml:space="preserve">R. Gupta, S. Walunj, R. Tokala, K. Parsa, S. Singh, and M. Pal, “Emerging Drug Candidates of Dipeptidyl Peptidase IV (DPP IV) Inhibitor Class for the Treatment of Type 2 Diabetes,” </w:t>
      </w:r>
      <w:r w:rsidRPr="00356D32">
        <w:rPr>
          <w:rFonts w:ascii="Times New Roman" w:hAnsi="Times New Roman" w:cs="Times New Roman"/>
          <w:i/>
          <w:iCs/>
          <w:noProof/>
          <w:kern w:val="0"/>
        </w:rPr>
        <w:t>Curr. Drug Targets</w:t>
      </w:r>
      <w:r w:rsidRPr="00356D32">
        <w:rPr>
          <w:rFonts w:ascii="Times New Roman" w:hAnsi="Times New Roman" w:cs="Times New Roman"/>
          <w:noProof/>
          <w:kern w:val="0"/>
        </w:rPr>
        <w:t>, vol. 10, no. 1, pp. 71–87, 2009, doi: 10.2174/138945009787122860.</w:t>
      </w:r>
    </w:p>
    <w:p w14:paraId="4CD03B21"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[13]</w:t>
      </w:r>
      <w:r w:rsidRPr="00356D32">
        <w:rPr>
          <w:rFonts w:ascii="Times New Roman" w:hAnsi="Times New Roman" w:cs="Times New Roman"/>
          <w:noProof/>
          <w:kern w:val="0"/>
        </w:rPr>
        <w:tab/>
        <w:t xml:space="preserve">W. V. Tamborlane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“Expanding Treatment Options for Youth With Type 2 Diabetes: </w:t>
      </w:r>
      <w:r w:rsidRPr="00356D32">
        <w:rPr>
          <w:rFonts w:ascii="Times New Roman" w:hAnsi="Times New Roman" w:cs="Times New Roman"/>
          <w:noProof/>
          <w:kern w:val="0"/>
        </w:rPr>
        <w:lastRenderedPageBreak/>
        <w:t xml:space="preserve">Current Problems and Proposed Solutions,” </w:t>
      </w:r>
      <w:r w:rsidRPr="00356D32">
        <w:rPr>
          <w:rFonts w:ascii="Times New Roman" w:hAnsi="Times New Roman" w:cs="Times New Roman"/>
          <w:i/>
          <w:iCs/>
          <w:noProof/>
          <w:kern w:val="0"/>
        </w:rPr>
        <w:t>Diabetes Care</w:t>
      </w:r>
      <w:r w:rsidRPr="00356D32">
        <w:rPr>
          <w:rFonts w:ascii="Times New Roman" w:hAnsi="Times New Roman" w:cs="Times New Roman"/>
          <w:noProof/>
          <w:kern w:val="0"/>
        </w:rPr>
        <w:t>, vol. 39, no. 3, pp. 323–329, 2016, doi: 10.2337/dc15-1649.</w:t>
      </w:r>
    </w:p>
    <w:p w14:paraId="6B794F0E"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[14]</w:t>
      </w:r>
      <w:r w:rsidRPr="00356D32">
        <w:rPr>
          <w:rFonts w:ascii="Times New Roman" w:hAnsi="Times New Roman" w:cs="Times New Roman"/>
          <w:noProof/>
          <w:kern w:val="0"/>
        </w:rPr>
        <w:tab/>
        <w:t xml:space="preserve">D.-Y. Lu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“Type 2 Diabetes Treatment and Drug Development Study,” </w:t>
      </w:r>
      <w:r w:rsidRPr="00356D32">
        <w:rPr>
          <w:rFonts w:ascii="Times New Roman" w:hAnsi="Times New Roman" w:cs="Times New Roman"/>
          <w:i/>
          <w:iCs/>
          <w:noProof/>
          <w:kern w:val="0"/>
        </w:rPr>
        <w:t>Open Diabetes J.</w:t>
      </w:r>
      <w:r w:rsidRPr="00356D32">
        <w:rPr>
          <w:rFonts w:ascii="Times New Roman" w:hAnsi="Times New Roman" w:cs="Times New Roman"/>
          <w:noProof/>
          <w:kern w:val="0"/>
        </w:rPr>
        <w:t>, vol. 8, no. 1, pp. 22–33, 2018, doi: 10.2174/1876524601808010022.</w:t>
      </w:r>
    </w:p>
    <w:p w14:paraId="27DAC5C5"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[15]</w:t>
      </w:r>
      <w:r w:rsidRPr="00356D32">
        <w:rPr>
          <w:rFonts w:ascii="Times New Roman" w:hAnsi="Times New Roman" w:cs="Times New Roman"/>
          <w:noProof/>
          <w:kern w:val="0"/>
        </w:rPr>
        <w:tab/>
        <w:t xml:space="preserve">J. Thrasher, “Pharmacologic Management of Type 2 Diabetes Mellitus: Available Therapies,” </w:t>
      </w:r>
      <w:r w:rsidRPr="00356D32">
        <w:rPr>
          <w:rFonts w:ascii="Times New Roman" w:hAnsi="Times New Roman" w:cs="Times New Roman"/>
          <w:i/>
          <w:iCs/>
          <w:noProof/>
          <w:kern w:val="0"/>
        </w:rPr>
        <w:t>Am. J. Cardiol.</w:t>
      </w:r>
      <w:r w:rsidRPr="00356D32">
        <w:rPr>
          <w:rFonts w:ascii="Times New Roman" w:hAnsi="Times New Roman" w:cs="Times New Roman"/>
          <w:noProof/>
          <w:kern w:val="0"/>
        </w:rPr>
        <w:t>, vol. 120, no. 1, pp. S4–S16, 2017, doi: 10.1016/j.amjcard.2017.05.009.</w:t>
      </w:r>
    </w:p>
    <w:p w14:paraId="0EE1EFCF"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[16]</w:t>
      </w:r>
      <w:r w:rsidRPr="00356D32">
        <w:rPr>
          <w:rFonts w:ascii="Times New Roman" w:hAnsi="Times New Roman" w:cs="Times New Roman"/>
          <w:noProof/>
          <w:kern w:val="0"/>
        </w:rPr>
        <w:tab/>
        <w:t xml:space="preserve">Kalsi A, Singh S, Taneja N, Kukal S, and Mani S, “Current treatments for type 2 diabetes, their side effects and possible complementary treatments,” </w:t>
      </w:r>
      <w:r w:rsidRPr="00356D32">
        <w:rPr>
          <w:rFonts w:ascii="Times New Roman" w:hAnsi="Times New Roman" w:cs="Times New Roman"/>
          <w:i/>
          <w:iCs/>
          <w:noProof/>
          <w:kern w:val="0"/>
        </w:rPr>
        <w:t>Int. J. Pharm. Pharm. Sci.</w:t>
      </w:r>
      <w:r w:rsidRPr="00356D32">
        <w:rPr>
          <w:rFonts w:ascii="Times New Roman" w:hAnsi="Times New Roman" w:cs="Times New Roman"/>
          <w:noProof/>
          <w:kern w:val="0"/>
        </w:rPr>
        <w:t>, vol. 7, no. 3, pp. 13–18, 2015.</w:t>
      </w:r>
    </w:p>
    <w:p w14:paraId="0CB9987E"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[17]</w:t>
      </w:r>
      <w:r w:rsidRPr="00356D32">
        <w:rPr>
          <w:rFonts w:ascii="Times New Roman" w:hAnsi="Times New Roman" w:cs="Times New Roman"/>
          <w:noProof/>
          <w:kern w:val="0"/>
        </w:rPr>
        <w:tab/>
        <w:t xml:space="preserve">A. B. Olokoba, O. A. Obateru, and L. B. Olokoba, “Type 2 diabetes mellitus: A review of current trends,” </w:t>
      </w:r>
      <w:r w:rsidRPr="00356D32">
        <w:rPr>
          <w:rFonts w:ascii="Times New Roman" w:hAnsi="Times New Roman" w:cs="Times New Roman"/>
          <w:i/>
          <w:iCs/>
          <w:noProof/>
          <w:kern w:val="0"/>
        </w:rPr>
        <w:t>Oman Med. J.</w:t>
      </w:r>
      <w:r w:rsidRPr="00356D32">
        <w:rPr>
          <w:rFonts w:ascii="Times New Roman" w:hAnsi="Times New Roman" w:cs="Times New Roman"/>
          <w:noProof/>
          <w:kern w:val="0"/>
        </w:rPr>
        <w:t>, vol. 27, no. 4, pp. 269–273, 2012, doi: 10.5001/omj.2012.68.</w:t>
      </w:r>
    </w:p>
    <w:p w14:paraId="471BC768"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[18]</w:t>
      </w:r>
      <w:r w:rsidRPr="00356D32">
        <w:rPr>
          <w:rFonts w:ascii="Times New Roman" w:hAnsi="Times New Roman" w:cs="Times New Roman"/>
          <w:noProof/>
          <w:kern w:val="0"/>
        </w:rPr>
        <w:tab/>
        <w:t xml:space="preserve">M. Kong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“Anti-inflammatory phytochemicals for the treatment of diabetes and its complications: Lessons learned and future promise,” </w:t>
      </w:r>
      <w:r w:rsidRPr="00356D32">
        <w:rPr>
          <w:rFonts w:ascii="Times New Roman" w:hAnsi="Times New Roman" w:cs="Times New Roman"/>
          <w:i/>
          <w:iCs/>
          <w:noProof/>
          <w:kern w:val="0"/>
        </w:rPr>
        <w:t>Biomed. Pharmacother.</w:t>
      </w:r>
      <w:r w:rsidRPr="00356D32">
        <w:rPr>
          <w:rFonts w:ascii="Times New Roman" w:hAnsi="Times New Roman" w:cs="Times New Roman"/>
          <w:noProof/>
          <w:kern w:val="0"/>
        </w:rPr>
        <w:t>, vol. 133, 2021, doi: 10.1016/j.biopha.2020.110975.</w:t>
      </w:r>
    </w:p>
    <w:p w14:paraId="0FBDAC03"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[19]</w:t>
      </w:r>
      <w:r w:rsidRPr="00356D32">
        <w:rPr>
          <w:rFonts w:ascii="Times New Roman" w:hAnsi="Times New Roman" w:cs="Times New Roman"/>
          <w:noProof/>
          <w:kern w:val="0"/>
        </w:rPr>
        <w:tab/>
        <w:t xml:space="preserve">A. K. Tripathi and S. Kohli, “Anti-Diabetic Activity and Phytochemical Screening of Crude Extracts of PuerariaTuberosa DC. (FABACEAE) Grown in India on STZ -Induced Diabetic Rats,” </w:t>
      </w:r>
      <w:r w:rsidRPr="00356D32">
        <w:rPr>
          <w:rFonts w:ascii="Times New Roman" w:hAnsi="Times New Roman" w:cs="Times New Roman"/>
          <w:i/>
          <w:iCs/>
          <w:noProof/>
          <w:kern w:val="0"/>
        </w:rPr>
        <w:t>Asian J. Med. Pharm. Res</w:t>
      </w:r>
      <w:r w:rsidRPr="00356D32">
        <w:rPr>
          <w:rFonts w:ascii="Times New Roman" w:hAnsi="Times New Roman" w:cs="Times New Roman"/>
          <w:noProof/>
          <w:kern w:val="0"/>
        </w:rPr>
        <w:t>, vol. 3, no. 3, pp. 66–73, 2013.</w:t>
      </w:r>
    </w:p>
    <w:p w14:paraId="7A7CB0A6"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[20]</w:t>
      </w:r>
      <w:r w:rsidRPr="00356D32">
        <w:rPr>
          <w:rFonts w:ascii="Times New Roman" w:hAnsi="Times New Roman" w:cs="Times New Roman"/>
          <w:noProof/>
          <w:kern w:val="0"/>
        </w:rPr>
        <w:tab/>
        <w:t xml:space="preserve">M. M. Hassan, S. Uddin, A. Bhowmik, A. Ashraf, M. M. Islam, and B. Rokeya, “Phytochemical screening and antidiabetic effects of fruit rind of Momordica dioica roxb. on streptozocin induced type 2 diabetic rats,” </w:t>
      </w:r>
      <w:r w:rsidRPr="00356D32">
        <w:rPr>
          <w:rFonts w:ascii="Times New Roman" w:hAnsi="Times New Roman" w:cs="Times New Roman"/>
          <w:i/>
          <w:iCs/>
          <w:noProof/>
          <w:kern w:val="0"/>
        </w:rPr>
        <w:t>Heliyon</w:t>
      </w:r>
      <w:r w:rsidRPr="00356D32">
        <w:rPr>
          <w:rFonts w:ascii="Times New Roman" w:hAnsi="Times New Roman" w:cs="Times New Roman"/>
          <w:noProof/>
          <w:kern w:val="0"/>
        </w:rPr>
        <w:t>, vol. 8, no. 1, 2022, doi: 10.1016/j.heliyon.2022.e08771.</w:t>
      </w:r>
    </w:p>
    <w:p w14:paraId="1C91CE09"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[21]</w:t>
      </w:r>
      <w:r w:rsidRPr="00356D32">
        <w:rPr>
          <w:rFonts w:ascii="Times New Roman" w:hAnsi="Times New Roman" w:cs="Times New Roman"/>
          <w:noProof/>
          <w:kern w:val="0"/>
        </w:rPr>
        <w:tab/>
        <w:t xml:space="preserve">A. Yasmin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“Screening of novel phytochemicals as secreted frizzled-related protein 4 inhibitors: An early stage biomarker of Type 2 diabetes,” </w:t>
      </w:r>
      <w:r w:rsidRPr="00356D32">
        <w:rPr>
          <w:rFonts w:ascii="Times New Roman" w:hAnsi="Times New Roman" w:cs="Times New Roman"/>
          <w:i/>
          <w:iCs/>
          <w:noProof/>
          <w:kern w:val="0"/>
        </w:rPr>
        <w:t>Artic. Pakistan J. Pharm. Sci.</w:t>
      </w:r>
      <w:r w:rsidRPr="00356D32">
        <w:rPr>
          <w:rFonts w:ascii="Times New Roman" w:hAnsi="Times New Roman" w:cs="Times New Roman"/>
          <w:noProof/>
          <w:kern w:val="0"/>
        </w:rPr>
        <w:t>, vol. 33, no. 3, pp. 1245–1250, 2020.</w:t>
      </w:r>
    </w:p>
    <w:p w14:paraId="209A0151"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[22]</w:t>
      </w:r>
      <w:r w:rsidRPr="00356D32">
        <w:rPr>
          <w:rFonts w:ascii="Times New Roman" w:hAnsi="Times New Roman" w:cs="Times New Roman"/>
          <w:noProof/>
          <w:kern w:val="0"/>
        </w:rPr>
        <w:tab/>
        <w:t xml:space="preserve">R. Singh, I. Kazmi, M. Afzal, F. Imam, and K. S. Alharbi, “Dietary Phytochemicals and Their Potential Effects on Diabetes Mellitus 2,” </w:t>
      </w:r>
      <w:r w:rsidRPr="00356D32">
        <w:rPr>
          <w:rFonts w:ascii="Times New Roman" w:hAnsi="Times New Roman" w:cs="Times New Roman"/>
          <w:i/>
          <w:iCs/>
          <w:noProof/>
          <w:kern w:val="0"/>
        </w:rPr>
        <w:t>Plant Hum. Heal. Vol. 3 Pharmacol. Ther. Uses</w:t>
      </w:r>
      <w:r w:rsidRPr="00356D32">
        <w:rPr>
          <w:rFonts w:ascii="Times New Roman" w:hAnsi="Times New Roman" w:cs="Times New Roman"/>
          <w:noProof/>
          <w:kern w:val="0"/>
        </w:rPr>
        <w:t>, vol. 3, pp. 65–86, 2019, doi: 10.1007/978-3-030-04408-4_4.</w:t>
      </w:r>
    </w:p>
    <w:p w14:paraId="4F31564B"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[23]</w:t>
      </w:r>
      <w:r w:rsidRPr="00356D32">
        <w:rPr>
          <w:rFonts w:ascii="Times New Roman" w:hAnsi="Times New Roman" w:cs="Times New Roman"/>
          <w:noProof/>
          <w:kern w:val="0"/>
        </w:rPr>
        <w:tab/>
        <w:t xml:space="preserve">M. González-Castejón and A. Rodriguez-Casado, “Dietary phytochemicals and their potential effects on obesity: A review,” </w:t>
      </w:r>
      <w:r w:rsidRPr="00356D32">
        <w:rPr>
          <w:rFonts w:ascii="Times New Roman" w:hAnsi="Times New Roman" w:cs="Times New Roman"/>
          <w:i/>
          <w:iCs/>
          <w:noProof/>
          <w:kern w:val="0"/>
        </w:rPr>
        <w:t>Pharmacol. Res.</w:t>
      </w:r>
      <w:r w:rsidRPr="00356D32">
        <w:rPr>
          <w:rFonts w:ascii="Times New Roman" w:hAnsi="Times New Roman" w:cs="Times New Roman"/>
          <w:noProof/>
          <w:kern w:val="0"/>
        </w:rPr>
        <w:t>, vol. 64, no. 5, pp. 438–455, 2011, doi: 10.1016/j.phrs.2011.07.004.</w:t>
      </w:r>
    </w:p>
    <w:p w14:paraId="32C85B3B"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[24]</w:t>
      </w:r>
      <w:r w:rsidRPr="00356D32">
        <w:rPr>
          <w:rFonts w:ascii="Times New Roman" w:hAnsi="Times New Roman" w:cs="Times New Roman"/>
          <w:noProof/>
          <w:kern w:val="0"/>
        </w:rPr>
        <w:tab/>
        <w:t xml:space="preserve">A. S. Hariftyani, L. A. Kurniawati, S. Khaerunnisa, A. S. Veterini, Y. Setiawati, and R. Awaluddin, “In silico analysis of potential antidiabetic phytochemicals from Matricaria chamomilla l. Against ptp1b and aldose reductase for type 2 diabetes mellitus and its complications,” </w:t>
      </w:r>
      <w:r w:rsidRPr="00356D32">
        <w:rPr>
          <w:rFonts w:ascii="Times New Roman" w:hAnsi="Times New Roman" w:cs="Times New Roman"/>
          <w:i/>
          <w:iCs/>
          <w:noProof/>
          <w:kern w:val="0"/>
        </w:rPr>
        <w:t>Nat. Prod. Sci.</w:t>
      </w:r>
      <w:r w:rsidRPr="00356D32">
        <w:rPr>
          <w:rFonts w:ascii="Times New Roman" w:hAnsi="Times New Roman" w:cs="Times New Roman"/>
          <w:noProof/>
          <w:kern w:val="0"/>
        </w:rPr>
        <w:t>, vol. 27, no. 2, pp. 99–114, 2021, doi: 10.20307/nps.2021.27.2.99.</w:t>
      </w:r>
    </w:p>
    <w:p w14:paraId="4B60B40F"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[25]</w:t>
      </w:r>
      <w:r w:rsidRPr="00356D32">
        <w:rPr>
          <w:rFonts w:ascii="Times New Roman" w:hAnsi="Times New Roman" w:cs="Times New Roman"/>
          <w:noProof/>
          <w:kern w:val="0"/>
        </w:rPr>
        <w:tab/>
        <w:t xml:space="preserve">A. Adefegha, “Phytochemistry and mode of action of some tropical spices in the management of type-2 diabetes and hypertension,” </w:t>
      </w:r>
      <w:r w:rsidRPr="00356D32">
        <w:rPr>
          <w:rFonts w:ascii="Times New Roman" w:hAnsi="Times New Roman" w:cs="Times New Roman"/>
          <w:i/>
          <w:iCs/>
          <w:noProof/>
          <w:kern w:val="0"/>
        </w:rPr>
        <w:t>African J. Pharm. Pharmacol.</w:t>
      </w:r>
      <w:r w:rsidRPr="00356D32">
        <w:rPr>
          <w:rFonts w:ascii="Times New Roman" w:hAnsi="Times New Roman" w:cs="Times New Roman"/>
          <w:noProof/>
          <w:kern w:val="0"/>
        </w:rPr>
        <w:t>, vol. 7, no. 7, pp. 332–346, 2013, doi: 10.5897/ajppx12.014.</w:t>
      </w:r>
    </w:p>
    <w:p w14:paraId="57E8842E"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lastRenderedPageBreak/>
        <w:t>[26]</w:t>
      </w:r>
      <w:r w:rsidRPr="00356D32">
        <w:rPr>
          <w:rFonts w:ascii="Times New Roman" w:hAnsi="Times New Roman" w:cs="Times New Roman"/>
          <w:noProof/>
          <w:kern w:val="0"/>
        </w:rPr>
        <w:tab/>
        <w:t xml:space="preserve">T. G. Atere, O. A. Akinloye, R. N. Ugbaja, D. Ajiboye Ojo, D. Samuel Metibemu, and I. olaposi Omotuyi, “Molecular Interactions and Docking Studies of the Phytochemical Constituents of Costus Afer against Therapeutic Targets of Type 2 Diabetes.,” </w:t>
      </w:r>
      <w:r w:rsidRPr="00356D32">
        <w:rPr>
          <w:rFonts w:ascii="Times New Roman" w:hAnsi="Times New Roman" w:cs="Times New Roman"/>
          <w:i/>
          <w:iCs/>
          <w:noProof/>
          <w:kern w:val="0"/>
        </w:rPr>
        <w:t>J. Appl. Bioinforma. Comput. Biol.</w:t>
      </w:r>
      <w:r w:rsidRPr="00356D32">
        <w:rPr>
          <w:rFonts w:ascii="Times New Roman" w:hAnsi="Times New Roman" w:cs="Times New Roman"/>
          <w:noProof/>
          <w:kern w:val="0"/>
        </w:rPr>
        <w:t>, vol. 06, no. 03, 2017, doi: 10.4172/2329-9533.1000139.</w:t>
      </w:r>
    </w:p>
    <w:p w14:paraId="0E23C5A9"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[27]</w:t>
      </w:r>
      <w:r w:rsidRPr="00356D32">
        <w:rPr>
          <w:rFonts w:ascii="Times New Roman" w:hAnsi="Times New Roman" w:cs="Times New Roman"/>
          <w:noProof/>
          <w:kern w:val="0"/>
        </w:rPr>
        <w:tab/>
        <w:t xml:space="preserve">S. Rampogu, S. Parameswaran, M. R. Lemuel, and K. W. Lee, “Exploring the Therapeutic Ability of Fenugreek against Type 2 Diabetes and Breast Cancer Employing Molecular Docking and Molecular Dynamics Simulations,” </w:t>
      </w:r>
      <w:r w:rsidRPr="00356D32">
        <w:rPr>
          <w:rFonts w:ascii="Times New Roman" w:hAnsi="Times New Roman" w:cs="Times New Roman"/>
          <w:i/>
          <w:iCs/>
          <w:noProof/>
          <w:kern w:val="0"/>
        </w:rPr>
        <w:t>Evidence-based Complement. Altern. Med.</w:t>
      </w:r>
      <w:r w:rsidRPr="00356D32">
        <w:rPr>
          <w:rFonts w:ascii="Times New Roman" w:hAnsi="Times New Roman" w:cs="Times New Roman"/>
          <w:noProof/>
          <w:kern w:val="0"/>
        </w:rPr>
        <w:t>, vol. 2018, 2018, doi: 10.1155/2018/1943203.</w:t>
      </w:r>
    </w:p>
    <w:p w14:paraId="0D629BEB"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[28]</w:t>
      </w:r>
      <w:r w:rsidRPr="00356D32">
        <w:rPr>
          <w:rFonts w:ascii="Times New Roman" w:hAnsi="Times New Roman" w:cs="Times New Roman"/>
          <w:noProof/>
          <w:kern w:val="0"/>
        </w:rPr>
        <w:tab/>
        <w:t xml:space="preserve">M. A. Kausar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“Identifying the alpha-glucosidase inhibitory potential of dietary phytochemicals against diabetes mellitus type 2 via molecular interactions and dynamics simulation,” </w:t>
      </w:r>
      <w:r w:rsidRPr="00356D32">
        <w:rPr>
          <w:rFonts w:ascii="Times New Roman" w:hAnsi="Times New Roman" w:cs="Times New Roman"/>
          <w:i/>
          <w:iCs/>
          <w:noProof/>
          <w:kern w:val="0"/>
        </w:rPr>
        <w:t>Cell. Mol. Biol.</w:t>
      </w:r>
      <w:r w:rsidRPr="00356D32">
        <w:rPr>
          <w:rFonts w:ascii="Times New Roman" w:hAnsi="Times New Roman" w:cs="Times New Roman"/>
          <w:noProof/>
          <w:kern w:val="0"/>
        </w:rPr>
        <w:t>, vol. 67, no. 5, pp. 16–26, 2021, doi: 10.14715/CMB/2021.67.5.3.</w:t>
      </w:r>
    </w:p>
    <w:p w14:paraId="1B0450B4"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[29]</w:t>
      </w:r>
      <w:r w:rsidRPr="00356D32">
        <w:rPr>
          <w:rFonts w:ascii="Times New Roman" w:hAnsi="Times New Roman" w:cs="Times New Roman"/>
          <w:noProof/>
          <w:kern w:val="0"/>
        </w:rPr>
        <w:tab/>
        <w:t>Y. Sari, D. Indarto, and B. Wasita, “Identification of Epicatechin Gallate and Other Phytochemicals in Methanol Extract of Fresh and Dried Star-Fruits (Averrhoa carambola Linn.) for Treatment of Type 2 Diabetes Mellitus,” 2021, doi: 10.4108/eai.17-7-2021.2312400.</w:t>
      </w:r>
    </w:p>
    <w:p w14:paraId="0F98C410"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[30]</w:t>
      </w:r>
      <w:r w:rsidRPr="00356D32">
        <w:rPr>
          <w:rFonts w:ascii="Times New Roman" w:hAnsi="Times New Roman" w:cs="Times New Roman"/>
          <w:noProof/>
          <w:kern w:val="0"/>
        </w:rPr>
        <w:tab/>
        <w:t xml:space="preserve">A. Y. Onaolapo and O. J. Onaolapo, “Nutraceuticals and Diet-based Phytochemicals in Type 2 Diabetes Mellitus: From Whole Food to Components with Defined Roles and Mechanisms,” </w:t>
      </w:r>
      <w:r w:rsidRPr="00356D32">
        <w:rPr>
          <w:rFonts w:ascii="Times New Roman" w:hAnsi="Times New Roman" w:cs="Times New Roman"/>
          <w:i/>
          <w:iCs/>
          <w:noProof/>
          <w:kern w:val="0"/>
        </w:rPr>
        <w:t>Curr. Diabetes Rev.</w:t>
      </w:r>
      <w:r w:rsidRPr="00356D32">
        <w:rPr>
          <w:rFonts w:ascii="Times New Roman" w:hAnsi="Times New Roman" w:cs="Times New Roman"/>
          <w:noProof/>
          <w:kern w:val="0"/>
        </w:rPr>
        <w:t>, vol. 16, no. 1, pp. 12–25, 2018, doi: 10.2174/1573399814666181031103930.</w:t>
      </w:r>
    </w:p>
    <w:p w14:paraId="72A655E7"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[31]</w:t>
      </w:r>
      <w:r w:rsidRPr="00356D32">
        <w:rPr>
          <w:rFonts w:ascii="Times New Roman" w:hAnsi="Times New Roman" w:cs="Times New Roman"/>
          <w:noProof/>
          <w:kern w:val="0"/>
        </w:rPr>
        <w:tab/>
        <w:t xml:space="preserve">D. P. Belobrajdic and A. R. Bird, “The potential role of phytochemicals in wholegrain cereals for the prevention of type-2 diabetes,” </w:t>
      </w:r>
      <w:r w:rsidRPr="00356D32">
        <w:rPr>
          <w:rFonts w:ascii="Times New Roman" w:hAnsi="Times New Roman" w:cs="Times New Roman"/>
          <w:i/>
          <w:iCs/>
          <w:noProof/>
          <w:kern w:val="0"/>
        </w:rPr>
        <w:t>Nutr. J.</w:t>
      </w:r>
      <w:r w:rsidRPr="00356D32">
        <w:rPr>
          <w:rFonts w:ascii="Times New Roman" w:hAnsi="Times New Roman" w:cs="Times New Roman"/>
          <w:noProof/>
          <w:kern w:val="0"/>
        </w:rPr>
        <w:t>, vol. 12, no. 1, 2013, doi: 10.1186/1475-2891-12-62.</w:t>
      </w:r>
    </w:p>
    <w:p w14:paraId="723A72AE"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[32]</w:t>
      </w:r>
      <w:r w:rsidRPr="00356D32">
        <w:rPr>
          <w:rFonts w:ascii="Times New Roman" w:hAnsi="Times New Roman" w:cs="Times New Roman"/>
          <w:noProof/>
          <w:kern w:val="0"/>
        </w:rPr>
        <w:tab/>
        <w:t xml:space="preserve">G. Oboh, A. A. Olabiyi, A. J. Akinyemi, and A. O. Ademiluyi, “Inhibition of key enzymes linked to type 2 diabetes and sodium nitroprusside-induced lipid peroxidation in rat pancreas by water-extractable phytochemicals from unripe pawpaw fruit (carica papaya),” </w:t>
      </w:r>
      <w:r w:rsidRPr="00356D32">
        <w:rPr>
          <w:rFonts w:ascii="Times New Roman" w:hAnsi="Times New Roman" w:cs="Times New Roman"/>
          <w:i/>
          <w:iCs/>
          <w:noProof/>
          <w:kern w:val="0"/>
        </w:rPr>
        <w:t>J. Basic Clin. Physiol. Pharmacol.</w:t>
      </w:r>
      <w:r w:rsidRPr="00356D32">
        <w:rPr>
          <w:rFonts w:ascii="Times New Roman" w:hAnsi="Times New Roman" w:cs="Times New Roman"/>
          <w:noProof/>
          <w:kern w:val="0"/>
        </w:rPr>
        <w:t>, vol. 25, no. 1, pp. 21–34, 2014, doi: 10.1515/jbcpp-2013-0002.</w:t>
      </w:r>
    </w:p>
    <w:p w14:paraId="474E6F7A"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kern w:val="0"/>
        </w:rPr>
      </w:pPr>
      <w:r w:rsidRPr="00356D32">
        <w:rPr>
          <w:rFonts w:ascii="Times New Roman" w:hAnsi="Times New Roman" w:cs="Times New Roman"/>
          <w:noProof/>
          <w:kern w:val="0"/>
        </w:rPr>
        <w:t>[33]</w:t>
      </w:r>
      <w:r w:rsidRPr="00356D32">
        <w:rPr>
          <w:rFonts w:ascii="Times New Roman" w:hAnsi="Times New Roman" w:cs="Times New Roman"/>
          <w:noProof/>
          <w:kern w:val="0"/>
        </w:rPr>
        <w:tab/>
        <w:t xml:space="preserve">C. Knox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“DrugBank 6.0: the DrugBank Knowledgebase for 2024,” </w:t>
      </w:r>
      <w:r w:rsidRPr="00356D32">
        <w:rPr>
          <w:rFonts w:ascii="Times New Roman" w:hAnsi="Times New Roman" w:cs="Times New Roman"/>
          <w:i/>
          <w:iCs/>
          <w:noProof/>
          <w:kern w:val="0"/>
        </w:rPr>
        <w:t>Nucleic Acids Res.</w:t>
      </w:r>
      <w:r w:rsidRPr="00356D32">
        <w:rPr>
          <w:rFonts w:ascii="Times New Roman" w:hAnsi="Times New Roman" w:cs="Times New Roman"/>
          <w:noProof/>
          <w:kern w:val="0"/>
        </w:rPr>
        <w:t>, vol. 52, no. D1, pp. D1265–D1275, 2024, doi: 10.1093/nar/gkad976.</w:t>
      </w:r>
    </w:p>
    <w:p w14:paraId="27177550" w14:textId="77777777" w:rsidR="00356D32" w:rsidRPr="00356D32" w:rsidRDefault="00356D32" w:rsidP="00356D32">
      <w:pPr>
        <w:widowControl w:val="0"/>
        <w:autoSpaceDE w:val="0"/>
        <w:autoSpaceDN w:val="0"/>
        <w:adjustRightInd w:val="0"/>
        <w:spacing w:line="240" w:lineRule="auto"/>
        <w:ind w:left="640" w:hanging="640"/>
        <w:rPr>
          <w:rFonts w:ascii="Times New Roman" w:hAnsi="Times New Roman" w:cs="Times New Roman"/>
          <w:noProof/>
        </w:rPr>
      </w:pPr>
      <w:r w:rsidRPr="00356D32">
        <w:rPr>
          <w:rFonts w:ascii="Times New Roman" w:hAnsi="Times New Roman" w:cs="Times New Roman"/>
          <w:noProof/>
          <w:kern w:val="0"/>
        </w:rPr>
        <w:t>[34]</w:t>
      </w:r>
      <w:r w:rsidRPr="00356D32">
        <w:rPr>
          <w:rFonts w:ascii="Times New Roman" w:hAnsi="Times New Roman" w:cs="Times New Roman"/>
          <w:noProof/>
          <w:kern w:val="0"/>
        </w:rPr>
        <w:tab/>
        <w:t xml:space="preserve">S. L. Freshour </w:t>
      </w:r>
      <w:r w:rsidRPr="00356D32">
        <w:rPr>
          <w:rFonts w:ascii="Times New Roman" w:hAnsi="Times New Roman" w:cs="Times New Roman"/>
          <w:i/>
          <w:iCs/>
          <w:noProof/>
          <w:kern w:val="0"/>
        </w:rPr>
        <w:t>et al.</w:t>
      </w:r>
      <w:r w:rsidRPr="00356D32">
        <w:rPr>
          <w:rFonts w:ascii="Times New Roman" w:hAnsi="Times New Roman" w:cs="Times New Roman"/>
          <w:noProof/>
          <w:kern w:val="0"/>
        </w:rPr>
        <w:t xml:space="preserve">, “Integration of the Drug-Gene Interaction Database (DGIdb 4.0) with open crowdsource efforts,” </w:t>
      </w:r>
      <w:r w:rsidRPr="00356D32">
        <w:rPr>
          <w:rFonts w:ascii="Times New Roman" w:hAnsi="Times New Roman" w:cs="Times New Roman"/>
          <w:i/>
          <w:iCs/>
          <w:noProof/>
          <w:kern w:val="0"/>
        </w:rPr>
        <w:t>Nucleic Acids Res.</w:t>
      </w:r>
      <w:r w:rsidRPr="00356D32">
        <w:rPr>
          <w:rFonts w:ascii="Times New Roman" w:hAnsi="Times New Roman" w:cs="Times New Roman"/>
          <w:noProof/>
          <w:kern w:val="0"/>
        </w:rPr>
        <w:t>, vol. 49, no. D1, pp. D1144–D1151, 2021, doi: 10.1093/nar/gkaa1084.</w:t>
      </w:r>
    </w:p>
    <w:p w14:paraId="360286E9" w14:textId="6EFD5D6F" w:rsidR="00D31988" w:rsidRPr="001E7569" w:rsidRDefault="00334E0F" w:rsidP="00FF7FD8">
      <w:pPr>
        <w:rPr>
          <w:rFonts w:ascii="Times New Roman" w:hAnsi="Times New Roman" w:cs="Times New Roman"/>
        </w:rPr>
      </w:pPr>
      <w:r w:rsidRPr="001E7569">
        <w:rPr>
          <w:rFonts w:ascii="Times New Roman" w:hAnsi="Times New Roman" w:cs="Times New Roman"/>
        </w:rPr>
        <w:fldChar w:fldCharType="end"/>
      </w:r>
    </w:p>
    <w:sectPr w:rsidR="00D31988" w:rsidRPr="001E756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8C3AD" w14:textId="77777777" w:rsidR="002F6AF3" w:rsidRDefault="002F6AF3" w:rsidP="000D5361">
      <w:pPr>
        <w:spacing w:after="0" w:line="240" w:lineRule="auto"/>
      </w:pPr>
      <w:r>
        <w:separator/>
      </w:r>
    </w:p>
  </w:endnote>
  <w:endnote w:type="continuationSeparator" w:id="0">
    <w:p w14:paraId="2B3690A7" w14:textId="77777777" w:rsidR="002F6AF3" w:rsidRDefault="002F6AF3" w:rsidP="000D5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WarnockPro-It8">
    <w:panose1 w:val="00000000000000000000"/>
    <w:charset w:val="00"/>
    <w:family w:val="roman"/>
    <w:notTrueType/>
    <w:pitch w:val="default"/>
  </w:font>
  <w:font w:name="MTMI5">
    <w:panose1 w:val="00000000000000000000"/>
    <w:charset w:val="00"/>
    <w:family w:val="roman"/>
    <w:notTrueType/>
    <w:pitch w:val="default"/>
  </w:font>
  <w:font w:name="MTSYN4">
    <w:panose1 w:val="00000000000000000000"/>
    <w:charset w:val="00"/>
    <w:family w:val="roman"/>
    <w:notTrueType/>
    <w:pitch w:val="default"/>
  </w:font>
  <w:font w:name="WarnockPro-It9">
    <w:altName w:val="Cambria"/>
    <w:panose1 w:val="00000000000000000000"/>
    <w:charset w:val="00"/>
    <w:family w:val="roman"/>
    <w:notTrueType/>
    <w:pitch w:val="default"/>
  </w:font>
  <w:font w:name="MTMI2">
    <w:altName w:val="Cambria"/>
    <w:panose1 w:val="00000000000000000000"/>
    <w:charset w:val="00"/>
    <w:family w:val="roman"/>
    <w:notTrueType/>
    <w:pitch w:val="default"/>
  </w:font>
  <w:font w:name="MTSYN2">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oto Sans CJK SC">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133743"/>
      <w:docPartObj>
        <w:docPartGallery w:val="Page Numbers (Bottom of Page)"/>
        <w:docPartUnique/>
      </w:docPartObj>
    </w:sdtPr>
    <w:sdtEndPr>
      <w:rPr>
        <w:noProof/>
      </w:rPr>
    </w:sdtEndPr>
    <w:sdtContent>
      <w:p w14:paraId="4BC8CBE0" w14:textId="14F533A7" w:rsidR="000D5361" w:rsidRDefault="000D5361">
        <w:pPr>
          <w:pStyle w:val="Footer"/>
          <w:jc w:val="center"/>
        </w:pPr>
        <w:r>
          <w:fldChar w:fldCharType="begin"/>
        </w:r>
        <w:r>
          <w:instrText xml:space="preserve"> PAGE   \* MERGEFORMAT </w:instrText>
        </w:r>
        <w:r>
          <w:fldChar w:fldCharType="separate"/>
        </w:r>
        <w:r w:rsidR="00B230D2">
          <w:rPr>
            <w:noProof/>
          </w:rPr>
          <w:t>13</w:t>
        </w:r>
        <w:r>
          <w:rPr>
            <w:noProof/>
          </w:rPr>
          <w:fldChar w:fldCharType="end"/>
        </w:r>
      </w:p>
    </w:sdtContent>
  </w:sdt>
  <w:p w14:paraId="45E21EB9" w14:textId="77777777" w:rsidR="000D5361" w:rsidRDefault="000D53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7B97A" w14:textId="77777777" w:rsidR="002F6AF3" w:rsidRDefault="002F6AF3" w:rsidP="000D5361">
      <w:pPr>
        <w:spacing w:after="0" w:line="240" w:lineRule="auto"/>
      </w:pPr>
      <w:r>
        <w:separator/>
      </w:r>
    </w:p>
  </w:footnote>
  <w:footnote w:type="continuationSeparator" w:id="0">
    <w:p w14:paraId="10A8E57C" w14:textId="77777777" w:rsidR="002F6AF3" w:rsidRDefault="002F6AF3" w:rsidP="000D53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A33"/>
    <w:multiLevelType w:val="hybridMultilevel"/>
    <w:tmpl w:val="7E20EF94"/>
    <w:lvl w:ilvl="0" w:tplc="19A669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3E1B10"/>
    <w:multiLevelType w:val="hybridMultilevel"/>
    <w:tmpl w:val="C65C6CF0"/>
    <w:lvl w:ilvl="0" w:tplc="19A669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E86ECC"/>
    <w:multiLevelType w:val="hybridMultilevel"/>
    <w:tmpl w:val="9F2AA184"/>
    <w:lvl w:ilvl="0" w:tplc="19A669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3B68C8"/>
    <w:multiLevelType w:val="hybridMultilevel"/>
    <w:tmpl w:val="09DEDA4C"/>
    <w:lvl w:ilvl="0" w:tplc="19A669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A73BF5"/>
    <w:multiLevelType w:val="hybridMultilevel"/>
    <w:tmpl w:val="B51A5BB2"/>
    <w:lvl w:ilvl="0" w:tplc="19A669A4">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9135501">
    <w:abstractNumId w:val="1"/>
  </w:num>
  <w:num w:numId="2" w16cid:durableId="738401026">
    <w:abstractNumId w:val="3"/>
  </w:num>
  <w:num w:numId="3" w16cid:durableId="899244225">
    <w:abstractNumId w:val="0"/>
  </w:num>
  <w:num w:numId="4" w16cid:durableId="1431007081">
    <w:abstractNumId w:val="4"/>
  </w:num>
  <w:num w:numId="5" w16cid:durableId="983311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BFC"/>
    <w:rsid w:val="000233BE"/>
    <w:rsid w:val="0003018C"/>
    <w:rsid w:val="00086908"/>
    <w:rsid w:val="000B5929"/>
    <w:rsid w:val="000D5361"/>
    <w:rsid w:val="001123A0"/>
    <w:rsid w:val="00141341"/>
    <w:rsid w:val="0014576C"/>
    <w:rsid w:val="00182967"/>
    <w:rsid w:val="00192FBF"/>
    <w:rsid w:val="001E266F"/>
    <w:rsid w:val="001E7569"/>
    <w:rsid w:val="001F79A4"/>
    <w:rsid w:val="002060C9"/>
    <w:rsid w:val="00210D07"/>
    <w:rsid w:val="00217ABE"/>
    <w:rsid w:val="00230AD8"/>
    <w:rsid w:val="00232808"/>
    <w:rsid w:val="0026665F"/>
    <w:rsid w:val="002712F7"/>
    <w:rsid w:val="00273D76"/>
    <w:rsid w:val="00273F0F"/>
    <w:rsid w:val="002835E1"/>
    <w:rsid w:val="002B0218"/>
    <w:rsid w:val="002B2B90"/>
    <w:rsid w:val="002B7E05"/>
    <w:rsid w:val="002F6AF3"/>
    <w:rsid w:val="00316029"/>
    <w:rsid w:val="00317BAC"/>
    <w:rsid w:val="00334E0F"/>
    <w:rsid w:val="00356D32"/>
    <w:rsid w:val="00362A12"/>
    <w:rsid w:val="003B6203"/>
    <w:rsid w:val="00401B43"/>
    <w:rsid w:val="00413D33"/>
    <w:rsid w:val="00423EE4"/>
    <w:rsid w:val="00433BFC"/>
    <w:rsid w:val="004A124E"/>
    <w:rsid w:val="004A2DB9"/>
    <w:rsid w:val="004A4633"/>
    <w:rsid w:val="004B3C6A"/>
    <w:rsid w:val="004C4F38"/>
    <w:rsid w:val="00535155"/>
    <w:rsid w:val="005B7229"/>
    <w:rsid w:val="005D4CBF"/>
    <w:rsid w:val="006071A4"/>
    <w:rsid w:val="00615132"/>
    <w:rsid w:val="006774D1"/>
    <w:rsid w:val="00682553"/>
    <w:rsid w:val="006B0F5B"/>
    <w:rsid w:val="006E582A"/>
    <w:rsid w:val="00705958"/>
    <w:rsid w:val="007314C7"/>
    <w:rsid w:val="00736C95"/>
    <w:rsid w:val="00751173"/>
    <w:rsid w:val="0076066E"/>
    <w:rsid w:val="00760F9C"/>
    <w:rsid w:val="00801559"/>
    <w:rsid w:val="0081419B"/>
    <w:rsid w:val="0084327E"/>
    <w:rsid w:val="00852EE0"/>
    <w:rsid w:val="008D49B3"/>
    <w:rsid w:val="009010EB"/>
    <w:rsid w:val="00962186"/>
    <w:rsid w:val="00962E36"/>
    <w:rsid w:val="0096312C"/>
    <w:rsid w:val="009B672A"/>
    <w:rsid w:val="009C08F2"/>
    <w:rsid w:val="00A016A1"/>
    <w:rsid w:val="00A31BC7"/>
    <w:rsid w:val="00A33641"/>
    <w:rsid w:val="00A675D8"/>
    <w:rsid w:val="00A76548"/>
    <w:rsid w:val="00A9717C"/>
    <w:rsid w:val="00AD2D14"/>
    <w:rsid w:val="00AE30A3"/>
    <w:rsid w:val="00AE4B4B"/>
    <w:rsid w:val="00B1702E"/>
    <w:rsid w:val="00B230D2"/>
    <w:rsid w:val="00B231D5"/>
    <w:rsid w:val="00B41FF8"/>
    <w:rsid w:val="00B45ADC"/>
    <w:rsid w:val="00B63818"/>
    <w:rsid w:val="00B90116"/>
    <w:rsid w:val="00CA4901"/>
    <w:rsid w:val="00CB6086"/>
    <w:rsid w:val="00CC73A0"/>
    <w:rsid w:val="00CE46FE"/>
    <w:rsid w:val="00CE5D4F"/>
    <w:rsid w:val="00CE7A84"/>
    <w:rsid w:val="00D013E4"/>
    <w:rsid w:val="00D041EC"/>
    <w:rsid w:val="00D1608B"/>
    <w:rsid w:val="00D22D7A"/>
    <w:rsid w:val="00D31988"/>
    <w:rsid w:val="00D60E74"/>
    <w:rsid w:val="00D90CEC"/>
    <w:rsid w:val="00DB17FF"/>
    <w:rsid w:val="00E315AF"/>
    <w:rsid w:val="00E47B7B"/>
    <w:rsid w:val="00E74863"/>
    <w:rsid w:val="00E905F3"/>
    <w:rsid w:val="00EC3B39"/>
    <w:rsid w:val="00F37A20"/>
    <w:rsid w:val="00F7453F"/>
    <w:rsid w:val="00F752C8"/>
    <w:rsid w:val="00FA0FE4"/>
    <w:rsid w:val="00FB0664"/>
    <w:rsid w:val="00FB096E"/>
    <w:rsid w:val="00FB1113"/>
    <w:rsid w:val="00FB6428"/>
    <w:rsid w:val="00FC2105"/>
    <w:rsid w:val="00FC3FB5"/>
    <w:rsid w:val="00FD4A2A"/>
    <w:rsid w:val="00FF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A418E"/>
  <w15:chartTrackingRefBased/>
  <w15:docId w15:val="{19ABEA26-FA1E-4A69-B8EA-50303E16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F5B"/>
  </w:style>
  <w:style w:type="paragraph" w:styleId="Heading1">
    <w:name w:val="heading 1"/>
    <w:basedOn w:val="Normal"/>
    <w:next w:val="Normal"/>
    <w:link w:val="Heading1Char"/>
    <w:uiPriority w:val="9"/>
    <w:qFormat/>
    <w:rsid w:val="00433B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3B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3B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3B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3B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3B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3B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3B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3B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B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3B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3B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3B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3B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3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3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3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3BFC"/>
    <w:rPr>
      <w:rFonts w:eastAsiaTheme="majorEastAsia" w:cstheme="majorBidi"/>
      <w:color w:val="272727" w:themeColor="text1" w:themeTint="D8"/>
    </w:rPr>
  </w:style>
  <w:style w:type="paragraph" w:styleId="Title">
    <w:name w:val="Title"/>
    <w:basedOn w:val="Normal"/>
    <w:next w:val="Normal"/>
    <w:link w:val="TitleChar"/>
    <w:uiPriority w:val="10"/>
    <w:qFormat/>
    <w:rsid w:val="00433B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3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3BFC"/>
    <w:pPr>
      <w:spacing w:before="160"/>
      <w:jc w:val="center"/>
    </w:pPr>
    <w:rPr>
      <w:i/>
      <w:iCs/>
      <w:color w:val="404040" w:themeColor="text1" w:themeTint="BF"/>
    </w:rPr>
  </w:style>
  <w:style w:type="character" w:customStyle="1" w:styleId="QuoteChar">
    <w:name w:val="Quote Char"/>
    <w:basedOn w:val="DefaultParagraphFont"/>
    <w:link w:val="Quote"/>
    <w:uiPriority w:val="29"/>
    <w:rsid w:val="00433BFC"/>
    <w:rPr>
      <w:i/>
      <w:iCs/>
      <w:color w:val="404040" w:themeColor="text1" w:themeTint="BF"/>
    </w:rPr>
  </w:style>
  <w:style w:type="paragraph" w:styleId="ListParagraph">
    <w:name w:val="List Paragraph"/>
    <w:basedOn w:val="Normal"/>
    <w:uiPriority w:val="34"/>
    <w:qFormat/>
    <w:rsid w:val="00433BFC"/>
    <w:pPr>
      <w:ind w:left="720"/>
      <w:contextualSpacing/>
    </w:pPr>
  </w:style>
  <w:style w:type="character" w:styleId="IntenseEmphasis">
    <w:name w:val="Intense Emphasis"/>
    <w:basedOn w:val="DefaultParagraphFont"/>
    <w:uiPriority w:val="21"/>
    <w:qFormat/>
    <w:rsid w:val="00433BFC"/>
    <w:rPr>
      <w:i/>
      <w:iCs/>
      <w:color w:val="2F5496" w:themeColor="accent1" w:themeShade="BF"/>
    </w:rPr>
  </w:style>
  <w:style w:type="paragraph" w:styleId="IntenseQuote">
    <w:name w:val="Intense Quote"/>
    <w:basedOn w:val="Normal"/>
    <w:next w:val="Normal"/>
    <w:link w:val="IntenseQuoteChar"/>
    <w:uiPriority w:val="30"/>
    <w:qFormat/>
    <w:rsid w:val="00433B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3BFC"/>
    <w:rPr>
      <w:i/>
      <w:iCs/>
      <w:color w:val="2F5496" w:themeColor="accent1" w:themeShade="BF"/>
    </w:rPr>
  </w:style>
  <w:style w:type="character" w:styleId="IntenseReference">
    <w:name w:val="Intense Reference"/>
    <w:basedOn w:val="DefaultParagraphFont"/>
    <w:uiPriority w:val="32"/>
    <w:qFormat/>
    <w:rsid w:val="00433BFC"/>
    <w:rPr>
      <w:b/>
      <w:bCs/>
      <w:smallCaps/>
      <w:color w:val="2F5496" w:themeColor="accent1" w:themeShade="BF"/>
      <w:spacing w:val="5"/>
    </w:rPr>
  </w:style>
  <w:style w:type="table" w:customStyle="1" w:styleId="TableGrid2">
    <w:name w:val="Table Grid2"/>
    <w:basedOn w:val="TableNormal"/>
    <w:next w:val="TableGrid"/>
    <w:uiPriority w:val="39"/>
    <w:rsid w:val="00273F0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73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61">
    <w:name w:val="Grid Table 1 Light - Accent 61"/>
    <w:basedOn w:val="TableNormal"/>
    <w:uiPriority w:val="46"/>
    <w:rsid w:val="00273F0F"/>
    <w:pPr>
      <w:spacing w:after="0" w:line="240" w:lineRule="auto"/>
    </w:pPr>
    <w:rPr>
      <w:kern w:val="0"/>
      <w:sz w:val="22"/>
      <w:szCs w:val="22"/>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HTMLPreformatted">
    <w:name w:val="HTML Preformatted"/>
    <w:basedOn w:val="Normal"/>
    <w:link w:val="HTMLPreformattedChar"/>
    <w:uiPriority w:val="99"/>
    <w:semiHidden/>
    <w:unhideWhenUsed/>
    <w:rsid w:val="00273D7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3D76"/>
    <w:rPr>
      <w:rFonts w:ascii="Consolas" w:hAnsi="Consolas"/>
      <w:sz w:val="20"/>
      <w:szCs w:val="20"/>
    </w:rPr>
  </w:style>
  <w:style w:type="character" w:styleId="PlaceholderText">
    <w:name w:val="Placeholder Text"/>
    <w:basedOn w:val="DefaultParagraphFont"/>
    <w:uiPriority w:val="99"/>
    <w:semiHidden/>
    <w:rsid w:val="00D31988"/>
    <w:rPr>
      <w:color w:val="666666"/>
    </w:rPr>
  </w:style>
  <w:style w:type="table" w:customStyle="1" w:styleId="TableGrid1">
    <w:name w:val="Table Grid1"/>
    <w:basedOn w:val="TableNormal"/>
    <w:next w:val="TableGrid"/>
    <w:uiPriority w:val="39"/>
    <w:rsid w:val="000D5361"/>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5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361"/>
  </w:style>
  <w:style w:type="paragraph" w:styleId="Footer">
    <w:name w:val="footer"/>
    <w:basedOn w:val="Normal"/>
    <w:link w:val="FooterChar"/>
    <w:uiPriority w:val="99"/>
    <w:unhideWhenUsed/>
    <w:rsid w:val="000D5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361"/>
  </w:style>
  <w:style w:type="character" w:customStyle="1" w:styleId="fontstyle01">
    <w:name w:val="fontstyle01"/>
    <w:basedOn w:val="DefaultParagraphFont"/>
    <w:rsid w:val="00356D32"/>
    <w:rPr>
      <w:rFonts w:ascii="WarnockPro-It8" w:hAnsi="WarnockPro-It8" w:hint="default"/>
      <w:b w:val="0"/>
      <w:bCs w:val="0"/>
      <w:i w:val="0"/>
      <w:iCs w:val="0"/>
      <w:color w:val="000000"/>
      <w:sz w:val="20"/>
      <w:szCs w:val="20"/>
    </w:rPr>
  </w:style>
  <w:style w:type="character" w:customStyle="1" w:styleId="fontstyle11">
    <w:name w:val="fontstyle11"/>
    <w:basedOn w:val="DefaultParagraphFont"/>
    <w:rsid w:val="00356D32"/>
    <w:rPr>
      <w:rFonts w:ascii="MTMI5" w:hAnsi="MTMI5" w:hint="default"/>
      <w:b w:val="0"/>
      <w:bCs w:val="0"/>
      <w:i w:val="0"/>
      <w:iCs w:val="0"/>
      <w:color w:val="000000"/>
      <w:sz w:val="20"/>
      <w:szCs w:val="20"/>
    </w:rPr>
  </w:style>
  <w:style w:type="character" w:customStyle="1" w:styleId="fontstyle31">
    <w:name w:val="fontstyle31"/>
    <w:basedOn w:val="DefaultParagraphFont"/>
    <w:rsid w:val="00356D32"/>
    <w:rPr>
      <w:rFonts w:ascii="MTSYN4" w:hAnsi="MTSYN4" w:hint="default"/>
      <w:b w:val="0"/>
      <w:bCs w:val="0"/>
      <w:i w:val="0"/>
      <w:iCs w:val="0"/>
      <w:color w:val="000000"/>
      <w:sz w:val="20"/>
      <w:szCs w:val="20"/>
    </w:rPr>
  </w:style>
  <w:style w:type="character" w:customStyle="1" w:styleId="fontstyle21">
    <w:name w:val="fontstyle21"/>
    <w:basedOn w:val="DefaultParagraphFont"/>
    <w:rsid w:val="00356D32"/>
    <w:rPr>
      <w:rFonts w:ascii="WarnockPro-It9" w:hAnsi="WarnockPro-It9" w:hint="default"/>
      <w:b w:val="0"/>
      <w:bCs w:val="0"/>
      <w:i w:val="0"/>
      <w:iCs w:val="0"/>
      <w:color w:val="000000"/>
      <w:sz w:val="20"/>
      <w:szCs w:val="20"/>
    </w:rPr>
  </w:style>
  <w:style w:type="character" w:customStyle="1" w:styleId="fontstyle41">
    <w:name w:val="fontstyle41"/>
    <w:basedOn w:val="DefaultParagraphFont"/>
    <w:rsid w:val="00356D32"/>
    <w:rPr>
      <w:rFonts w:ascii="MTMI2" w:hAnsi="MTMI2" w:hint="default"/>
      <w:b w:val="0"/>
      <w:bCs w:val="0"/>
      <w:i w:val="0"/>
      <w:iCs w:val="0"/>
      <w:color w:val="000000"/>
      <w:sz w:val="20"/>
      <w:szCs w:val="20"/>
    </w:rPr>
  </w:style>
  <w:style w:type="character" w:customStyle="1" w:styleId="fontstyle51">
    <w:name w:val="fontstyle51"/>
    <w:basedOn w:val="DefaultParagraphFont"/>
    <w:rsid w:val="00356D32"/>
    <w:rPr>
      <w:rFonts w:ascii="MTSYN2" w:hAnsi="MTSYN2"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4087">
      <w:marLeft w:val="640"/>
      <w:marRight w:val="0"/>
      <w:marTop w:val="0"/>
      <w:marBottom w:val="0"/>
      <w:divBdr>
        <w:top w:val="none" w:sz="0" w:space="0" w:color="auto"/>
        <w:left w:val="none" w:sz="0" w:space="0" w:color="auto"/>
        <w:bottom w:val="none" w:sz="0" w:space="0" w:color="auto"/>
        <w:right w:val="none" w:sz="0" w:space="0" w:color="auto"/>
      </w:divBdr>
    </w:div>
    <w:div w:id="44571041">
      <w:marLeft w:val="640"/>
      <w:marRight w:val="0"/>
      <w:marTop w:val="0"/>
      <w:marBottom w:val="0"/>
      <w:divBdr>
        <w:top w:val="none" w:sz="0" w:space="0" w:color="auto"/>
        <w:left w:val="none" w:sz="0" w:space="0" w:color="auto"/>
        <w:bottom w:val="none" w:sz="0" w:space="0" w:color="auto"/>
        <w:right w:val="none" w:sz="0" w:space="0" w:color="auto"/>
      </w:divBdr>
    </w:div>
    <w:div w:id="74280472">
      <w:marLeft w:val="640"/>
      <w:marRight w:val="0"/>
      <w:marTop w:val="0"/>
      <w:marBottom w:val="0"/>
      <w:divBdr>
        <w:top w:val="none" w:sz="0" w:space="0" w:color="auto"/>
        <w:left w:val="none" w:sz="0" w:space="0" w:color="auto"/>
        <w:bottom w:val="none" w:sz="0" w:space="0" w:color="auto"/>
        <w:right w:val="none" w:sz="0" w:space="0" w:color="auto"/>
      </w:divBdr>
    </w:div>
    <w:div w:id="82923989">
      <w:marLeft w:val="640"/>
      <w:marRight w:val="0"/>
      <w:marTop w:val="0"/>
      <w:marBottom w:val="0"/>
      <w:divBdr>
        <w:top w:val="none" w:sz="0" w:space="0" w:color="auto"/>
        <w:left w:val="none" w:sz="0" w:space="0" w:color="auto"/>
        <w:bottom w:val="none" w:sz="0" w:space="0" w:color="auto"/>
        <w:right w:val="none" w:sz="0" w:space="0" w:color="auto"/>
      </w:divBdr>
    </w:div>
    <w:div w:id="95486409">
      <w:marLeft w:val="640"/>
      <w:marRight w:val="0"/>
      <w:marTop w:val="0"/>
      <w:marBottom w:val="0"/>
      <w:divBdr>
        <w:top w:val="none" w:sz="0" w:space="0" w:color="auto"/>
        <w:left w:val="none" w:sz="0" w:space="0" w:color="auto"/>
        <w:bottom w:val="none" w:sz="0" w:space="0" w:color="auto"/>
        <w:right w:val="none" w:sz="0" w:space="0" w:color="auto"/>
      </w:divBdr>
    </w:div>
    <w:div w:id="122575219">
      <w:marLeft w:val="640"/>
      <w:marRight w:val="0"/>
      <w:marTop w:val="0"/>
      <w:marBottom w:val="0"/>
      <w:divBdr>
        <w:top w:val="none" w:sz="0" w:space="0" w:color="auto"/>
        <w:left w:val="none" w:sz="0" w:space="0" w:color="auto"/>
        <w:bottom w:val="none" w:sz="0" w:space="0" w:color="auto"/>
        <w:right w:val="none" w:sz="0" w:space="0" w:color="auto"/>
      </w:divBdr>
    </w:div>
    <w:div w:id="158349255">
      <w:marLeft w:val="640"/>
      <w:marRight w:val="0"/>
      <w:marTop w:val="0"/>
      <w:marBottom w:val="0"/>
      <w:divBdr>
        <w:top w:val="none" w:sz="0" w:space="0" w:color="auto"/>
        <w:left w:val="none" w:sz="0" w:space="0" w:color="auto"/>
        <w:bottom w:val="none" w:sz="0" w:space="0" w:color="auto"/>
        <w:right w:val="none" w:sz="0" w:space="0" w:color="auto"/>
      </w:divBdr>
    </w:div>
    <w:div w:id="193159843">
      <w:marLeft w:val="640"/>
      <w:marRight w:val="0"/>
      <w:marTop w:val="0"/>
      <w:marBottom w:val="0"/>
      <w:divBdr>
        <w:top w:val="none" w:sz="0" w:space="0" w:color="auto"/>
        <w:left w:val="none" w:sz="0" w:space="0" w:color="auto"/>
        <w:bottom w:val="none" w:sz="0" w:space="0" w:color="auto"/>
        <w:right w:val="none" w:sz="0" w:space="0" w:color="auto"/>
      </w:divBdr>
    </w:div>
    <w:div w:id="257371077">
      <w:marLeft w:val="640"/>
      <w:marRight w:val="0"/>
      <w:marTop w:val="0"/>
      <w:marBottom w:val="0"/>
      <w:divBdr>
        <w:top w:val="none" w:sz="0" w:space="0" w:color="auto"/>
        <w:left w:val="none" w:sz="0" w:space="0" w:color="auto"/>
        <w:bottom w:val="none" w:sz="0" w:space="0" w:color="auto"/>
        <w:right w:val="none" w:sz="0" w:space="0" w:color="auto"/>
      </w:divBdr>
    </w:div>
    <w:div w:id="334917847">
      <w:marLeft w:val="640"/>
      <w:marRight w:val="0"/>
      <w:marTop w:val="0"/>
      <w:marBottom w:val="0"/>
      <w:divBdr>
        <w:top w:val="none" w:sz="0" w:space="0" w:color="auto"/>
        <w:left w:val="none" w:sz="0" w:space="0" w:color="auto"/>
        <w:bottom w:val="none" w:sz="0" w:space="0" w:color="auto"/>
        <w:right w:val="none" w:sz="0" w:space="0" w:color="auto"/>
      </w:divBdr>
    </w:div>
    <w:div w:id="365954645">
      <w:marLeft w:val="640"/>
      <w:marRight w:val="0"/>
      <w:marTop w:val="0"/>
      <w:marBottom w:val="0"/>
      <w:divBdr>
        <w:top w:val="none" w:sz="0" w:space="0" w:color="auto"/>
        <w:left w:val="none" w:sz="0" w:space="0" w:color="auto"/>
        <w:bottom w:val="none" w:sz="0" w:space="0" w:color="auto"/>
        <w:right w:val="none" w:sz="0" w:space="0" w:color="auto"/>
      </w:divBdr>
    </w:div>
    <w:div w:id="385495561">
      <w:marLeft w:val="640"/>
      <w:marRight w:val="0"/>
      <w:marTop w:val="0"/>
      <w:marBottom w:val="0"/>
      <w:divBdr>
        <w:top w:val="none" w:sz="0" w:space="0" w:color="auto"/>
        <w:left w:val="none" w:sz="0" w:space="0" w:color="auto"/>
        <w:bottom w:val="none" w:sz="0" w:space="0" w:color="auto"/>
        <w:right w:val="none" w:sz="0" w:space="0" w:color="auto"/>
      </w:divBdr>
    </w:div>
    <w:div w:id="423191405">
      <w:marLeft w:val="640"/>
      <w:marRight w:val="0"/>
      <w:marTop w:val="0"/>
      <w:marBottom w:val="0"/>
      <w:divBdr>
        <w:top w:val="none" w:sz="0" w:space="0" w:color="auto"/>
        <w:left w:val="none" w:sz="0" w:space="0" w:color="auto"/>
        <w:bottom w:val="none" w:sz="0" w:space="0" w:color="auto"/>
        <w:right w:val="none" w:sz="0" w:space="0" w:color="auto"/>
      </w:divBdr>
    </w:div>
    <w:div w:id="443498226">
      <w:marLeft w:val="640"/>
      <w:marRight w:val="0"/>
      <w:marTop w:val="0"/>
      <w:marBottom w:val="0"/>
      <w:divBdr>
        <w:top w:val="none" w:sz="0" w:space="0" w:color="auto"/>
        <w:left w:val="none" w:sz="0" w:space="0" w:color="auto"/>
        <w:bottom w:val="none" w:sz="0" w:space="0" w:color="auto"/>
        <w:right w:val="none" w:sz="0" w:space="0" w:color="auto"/>
      </w:divBdr>
    </w:div>
    <w:div w:id="476806233">
      <w:marLeft w:val="640"/>
      <w:marRight w:val="0"/>
      <w:marTop w:val="0"/>
      <w:marBottom w:val="0"/>
      <w:divBdr>
        <w:top w:val="none" w:sz="0" w:space="0" w:color="auto"/>
        <w:left w:val="none" w:sz="0" w:space="0" w:color="auto"/>
        <w:bottom w:val="none" w:sz="0" w:space="0" w:color="auto"/>
        <w:right w:val="none" w:sz="0" w:space="0" w:color="auto"/>
      </w:divBdr>
    </w:div>
    <w:div w:id="682972099">
      <w:marLeft w:val="640"/>
      <w:marRight w:val="0"/>
      <w:marTop w:val="0"/>
      <w:marBottom w:val="0"/>
      <w:divBdr>
        <w:top w:val="none" w:sz="0" w:space="0" w:color="auto"/>
        <w:left w:val="none" w:sz="0" w:space="0" w:color="auto"/>
        <w:bottom w:val="none" w:sz="0" w:space="0" w:color="auto"/>
        <w:right w:val="none" w:sz="0" w:space="0" w:color="auto"/>
      </w:divBdr>
    </w:div>
    <w:div w:id="693111669">
      <w:marLeft w:val="640"/>
      <w:marRight w:val="0"/>
      <w:marTop w:val="0"/>
      <w:marBottom w:val="0"/>
      <w:divBdr>
        <w:top w:val="none" w:sz="0" w:space="0" w:color="auto"/>
        <w:left w:val="none" w:sz="0" w:space="0" w:color="auto"/>
        <w:bottom w:val="none" w:sz="0" w:space="0" w:color="auto"/>
        <w:right w:val="none" w:sz="0" w:space="0" w:color="auto"/>
      </w:divBdr>
    </w:div>
    <w:div w:id="884950667">
      <w:marLeft w:val="640"/>
      <w:marRight w:val="0"/>
      <w:marTop w:val="0"/>
      <w:marBottom w:val="0"/>
      <w:divBdr>
        <w:top w:val="none" w:sz="0" w:space="0" w:color="auto"/>
        <w:left w:val="none" w:sz="0" w:space="0" w:color="auto"/>
        <w:bottom w:val="none" w:sz="0" w:space="0" w:color="auto"/>
        <w:right w:val="none" w:sz="0" w:space="0" w:color="auto"/>
      </w:divBdr>
    </w:div>
    <w:div w:id="1011562272">
      <w:marLeft w:val="640"/>
      <w:marRight w:val="0"/>
      <w:marTop w:val="0"/>
      <w:marBottom w:val="0"/>
      <w:divBdr>
        <w:top w:val="none" w:sz="0" w:space="0" w:color="auto"/>
        <w:left w:val="none" w:sz="0" w:space="0" w:color="auto"/>
        <w:bottom w:val="none" w:sz="0" w:space="0" w:color="auto"/>
        <w:right w:val="none" w:sz="0" w:space="0" w:color="auto"/>
      </w:divBdr>
    </w:div>
    <w:div w:id="1072502835">
      <w:marLeft w:val="640"/>
      <w:marRight w:val="0"/>
      <w:marTop w:val="0"/>
      <w:marBottom w:val="0"/>
      <w:divBdr>
        <w:top w:val="none" w:sz="0" w:space="0" w:color="auto"/>
        <w:left w:val="none" w:sz="0" w:space="0" w:color="auto"/>
        <w:bottom w:val="none" w:sz="0" w:space="0" w:color="auto"/>
        <w:right w:val="none" w:sz="0" w:space="0" w:color="auto"/>
      </w:divBdr>
    </w:div>
    <w:div w:id="1112701699">
      <w:marLeft w:val="640"/>
      <w:marRight w:val="0"/>
      <w:marTop w:val="0"/>
      <w:marBottom w:val="0"/>
      <w:divBdr>
        <w:top w:val="none" w:sz="0" w:space="0" w:color="auto"/>
        <w:left w:val="none" w:sz="0" w:space="0" w:color="auto"/>
        <w:bottom w:val="none" w:sz="0" w:space="0" w:color="auto"/>
        <w:right w:val="none" w:sz="0" w:space="0" w:color="auto"/>
      </w:divBdr>
    </w:div>
    <w:div w:id="1132405733">
      <w:marLeft w:val="640"/>
      <w:marRight w:val="0"/>
      <w:marTop w:val="0"/>
      <w:marBottom w:val="0"/>
      <w:divBdr>
        <w:top w:val="none" w:sz="0" w:space="0" w:color="auto"/>
        <w:left w:val="none" w:sz="0" w:space="0" w:color="auto"/>
        <w:bottom w:val="none" w:sz="0" w:space="0" w:color="auto"/>
        <w:right w:val="none" w:sz="0" w:space="0" w:color="auto"/>
      </w:divBdr>
    </w:div>
    <w:div w:id="1173837794">
      <w:marLeft w:val="640"/>
      <w:marRight w:val="0"/>
      <w:marTop w:val="0"/>
      <w:marBottom w:val="0"/>
      <w:divBdr>
        <w:top w:val="none" w:sz="0" w:space="0" w:color="auto"/>
        <w:left w:val="none" w:sz="0" w:space="0" w:color="auto"/>
        <w:bottom w:val="none" w:sz="0" w:space="0" w:color="auto"/>
        <w:right w:val="none" w:sz="0" w:space="0" w:color="auto"/>
      </w:divBdr>
    </w:div>
    <w:div w:id="1209687032">
      <w:marLeft w:val="640"/>
      <w:marRight w:val="0"/>
      <w:marTop w:val="0"/>
      <w:marBottom w:val="0"/>
      <w:divBdr>
        <w:top w:val="none" w:sz="0" w:space="0" w:color="auto"/>
        <w:left w:val="none" w:sz="0" w:space="0" w:color="auto"/>
        <w:bottom w:val="none" w:sz="0" w:space="0" w:color="auto"/>
        <w:right w:val="none" w:sz="0" w:space="0" w:color="auto"/>
      </w:divBdr>
    </w:div>
    <w:div w:id="1255896754">
      <w:marLeft w:val="640"/>
      <w:marRight w:val="0"/>
      <w:marTop w:val="0"/>
      <w:marBottom w:val="0"/>
      <w:divBdr>
        <w:top w:val="none" w:sz="0" w:space="0" w:color="auto"/>
        <w:left w:val="none" w:sz="0" w:space="0" w:color="auto"/>
        <w:bottom w:val="none" w:sz="0" w:space="0" w:color="auto"/>
        <w:right w:val="none" w:sz="0" w:space="0" w:color="auto"/>
      </w:divBdr>
    </w:div>
    <w:div w:id="1366637904">
      <w:marLeft w:val="640"/>
      <w:marRight w:val="0"/>
      <w:marTop w:val="0"/>
      <w:marBottom w:val="0"/>
      <w:divBdr>
        <w:top w:val="none" w:sz="0" w:space="0" w:color="auto"/>
        <w:left w:val="none" w:sz="0" w:space="0" w:color="auto"/>
        <w:bottom w:val="none" w:sz="0" w:space="0" w:color="auto"/>
        <w:right w:val="none" w:sz="0" w:space="0" w:color="auto"/>
      </w:divBdr>
    </w:div>
    <w:div w:id="1448231108">
      <w:marLeft w:val="640"/>
      <w:marRight w:val="0"/>
      <w:marTop w:val="0"/>
      <w:marBottom w:val="0"/>
      <w:divBdr>
        <w:top w:val="none" w:sz="0" w:space="0" w:color="auto"/>
        <w:left w:val="none" w:sz="0" w:space="0" w:color="auto"/>
        <w:bottom w:val="none" w:sz="0" w:space="0" w:color="auto"/>
        <w:right w:val="none" w:sz="0" w:space="0" w:color="auto"/>
      </w:divBdr>
    </w:div>
    <w:div w:id="1450199740">
      <w:marLeft w:val="640"/>
      <w:marRight w:val="0"/>
      <w:marTop w:val="0"/>
      <w:marBottom w:val="0"/>
      <w:divBdr>
        <w:top w:val="none" w:sz="0" w:space="0" w:color="auto"/>
        <w:left w:val="none" w:sz="0" w:space="0" w:color="auto"/>
        <w:bottom w:val="none" w:sz="0" w:space="0" w:color="auto"/>
        <w:right w:val="none" w:sz="0" w:space="0" w:color="auto"/>
      </w:divBdr>
    </w:div>
    <w:div w:id="1611818103">
      <w:marLeft w:val="640"/>
      <w:marRight w:val="0"/>
      <w:marTop w:val="0"/>
      <w:marBottom w:val="0"/>
      <w:divBdr>
        <w:top w:val="none" w:sz="0" w:space="0" w:color="auto"/>
        <w:left w:val="none" w:sz="0" w:space="0" w:color="auto"/>
        <w:bottom w:val="none" w:sz="0" w:space="0" w:color="auto"/>
        <w:right w:val="none" w:sz="0" w:space="0" w:color="auto"/>
      </w:divBdr>
    </w:div>
    <w:div w:id="1625840876">
      <w:marLeft w:val="640"/>
      <w:marRight w:val="0"/>
      <w:marTop w:val="0"/>
      <w:marBottom w:val="0"/>
      <w:divBdr>
        <w:top w:val="none" w:sz="0" w:space="0" w:color="auto"/>
        <w:left w:val="none" w:sz="0" w:space="0" w:color="auto"/>
        <w:bottom w:val="none" w:sz="0" w:space="0" w:color="auto"/>
        <w:right w:val="none" w:sz="0" w:space="0" w:color="auto"/>
      </w:divBdr>
    </w:div>
    <w:div w:id="1666472698">
      <w:marLeft w:val="640"/>
      <w:marRight w:val="0"/>
      <w:marTop w:val="0"/>
      <w:marBottom w:val="0"/>
      <w:divBdr>
        <w:top w:val="none" w:sz="0" w:space="0" w:color="auto"/>
        <w:left w:val="none" w:sz="0" w:space="0" w:color="auto"/>
        <w:bottom w:val="none" w:sz="0" w:space="0" w:color="auto"/>
        <w:right w:val="none" w:sz="0" w:space="0" w:color="auto"/>
      </w:divBdr>
    </w:div>
    <w:div w:id="1694191397">
      <w:marLeft w:val="640"/>
      <w:marRight w:val="0"/>
      <w:marTop w:val="0"/>
      <w:marBottom w:val="0"/>
      <w:divBdr>
        <w:top w:val="none" w:sz="0" w:space="0" w:color="auto"/>
        <w:left w:val="none" w:sz="0" w:space="0" w:color="auto"/>
        <w:bottom w:val="none" w:sz="0" w:space="0" w:color="auto"/>
        <w:right w:val="none" w:sz="0" w:space="0" w:color="auto"/>
      </w:divBdr>
    </w:div>
    <w:div w:id="1814448298">
      <w:marLeft w:val="640"/>
      <w:marRight w:val="0"/>
      <w:marTop w:val="0"/>
      <w:marBottom w:val="0"/>
      <w:divBdr>
        <w:top w:val="none" w:sz="0" w:space="0" w:color="auto"/>
        <w:left w:val="none" w:sz="0" w:space="0" w:color="auto"/>
        <w:bottom w:val="none" w:sz="0" w:space="0" w:color="auto"/>
        <w:right w:val="none" w:sz="0" w:space="0" w:color="auto"/>
      </w:divBdr>
    </w:div>
    <w:div w:id="1983536999">
      <w:marLeft w:val="640"/>
      <w:marRight w:val="0"/>
      <w:marTop w:val="0"/>
      <w:marBottom w:val="0"/>
      <w:divBdr>
        <w:top w:val="none" w:sz="0" w:space="0" w:color="auto"/>
        <w:left w:val="none" w:sz="0" w:space="0" w:color="auto"/>
        <w:bottom w:val="none" w:sz="0" w:space="0" w:color="auto"/>
        <w:right w:val="none" w:sz="0" w:space="0" w:color="auto"/>
      </w:divBdr>
    </w:div>
    <w:div w:id="2092194667">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llah.stat.bio@ru.ac.b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AF4A475C904A2DA822B442672DC3E7"/>
        <w:category>
          <w:name w:val="General"/>
          <w:gallery w:val="placeholder"/>
        </w:category>
        <w:types>
          <w:type w:val="bbPlcHdr"/>
        </w:types>
        <w:behaviors>
          <w:behavior w:val="content"/>
        </w:behaviors>
        <w:guid w:val="{7E2B8346-72B9-47B6-B683-96B18AAC2951}"/>
      </w:docPartPr>
      <w:docPartBody>
        <w:p w:rsidR="00597A19" w:rsidRDefault="00355844" w:rsidP="00355844">
          <w:r w:rsidRPr="00892F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WarnockPro-It8">
    <w:panose1 w:val="00000000000000000000"/>
    <w:charset w:val="00"/>
    <w:family w:val="roman"/>
    <w:notTrueType/>
    <w:pitch w:val="default"/>
  </w:font>
  <w:font w:name="MTMI5">
    <w:panose1 w:val="00000000000000000000"/>
    <w:charset w:val="00"/>
    <w:family w:val="roman"/>
    <w:notTrueType/>
    <w:pitch w:val="default"/>
  </w:font>
  <w:font w:name="MTSYN4">
    <w:panose1 w:val="00000000000000000000"/>
    <w:charset w:val="00"/>
    <w:family w:val="roman"/>
    <w:notTrueType/>
    <w:pitch w:val="default"/>
  </w:font>
  <w:font w:name="WarnockPro-It9">
    <w:altName w:val="Cambria"/>
    <w:panose1 w:val="00000000000000000000"/>
    <w:charset w:val="00"/>
    <w:family w:val="roman"/>
    <w:notTrueType/>
    <w:pitch w:val="default"/>
  </w:font>
  <w:font w:name="MTMI2">
    <w:altName w:val="Cambria"/>
    <w:panose1 w:val="00000000000000000000"/>
    <w:charset w:val="00"/>
    <w:family w:val="roman"/>
    <w:notTrueType/>
    <w:pitch w:val="default"/>
  </w:font>
  <w:font w:name="MTSYN2">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oto Sans CJK SC">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844"/>
    <w:rsid w:val="00046F54"/>
    <w:rsid w:val="000B01C0"/>
    <w:rsid w:val="000B5929"/>
    <w:rsid w:val="000E672F"/>
    <w:rsid w:val="000F4293"/>
    <w:rsid w:val="001A455E"/>
    <w:rsid w:val="001F79A4"/>
    <w:rsid w:val="0024063E"/>
    <w:rsid w:val="002B2B90"/>
    <w:rsid w:val="002B60EF"/>
    <w:rsid w:val="002E47C7"/>
    <w:rsid w:val="00355844"/>
    <w:rsid w:val="003A5D1A"/>
    <w:rsid w:val="00413D33"/>
    <w:rsid w:val="004235AD"/>
    <w:rsid w:val="00532FB2"/>
    <w:rsid w:val="00597A19"/>
    <w:rsid w:val="00674B67"/>
    <w:rsid w:val="006E3457"/>
    <w:rsid w:val="00705958"/>
    <w:rsid w:val="007314C7"/>
    <w:rsid w:val="007B7744"/>
    <w:rsid w:val="00856EB4"/>
    <w:rsid w:val="008B20A4"/>
    <w:rsid w:val="009448C9"/>
    <w:rsid w:val="00962186"/>
    <w:rsid w:val="0096312C"/>
    <w:rsid w:val="00975914"/>
    <w:rsid w:val="00A10C98"/>
    <w:rsid w:val="00A33641"/>
    <w:rsid w:val="00A76548"/>
    <w:rsid w:val="00AA6A3D"/>
    <w:rsid w:val="00AE30A3"/>
    <w:rsid w:val="00B230AA"/>
    <w:rsid w:val="00B67416"/>
    <w:rsid w:val="00B73AFD"/>
    <w:rsid w:val="00B91A0E"/>
    <w:rsid w:val="00BB6F5F"/>
    <w:rsid w:val="00BD2803"/>
    <w:rsid w:val="00C12F38"/>
    <w:rsid w:val="00C80A7C"/>
    <w:rsid w:val="00CE7A84"/>
    <w:rsid w:val="00D11A3E"/>
    <w:rsid w:val="00D1608B"/>
    <w:rsid w:val="00D22D7A"/>
    <w:rsid w:val="00D57FFA"/>
    <w:rsid w:val="00DB17FF"/>
    <w:rsid w:val="00DF0DFE"/>
    <w:rsid w:val="00E74863"/>
    <w:rsid w:val="00F37A20"/>
    <w:rsid w:val="00F7453F"/>
    <w:rsid w:val="00F752C8"/>
    <w:rsid w:val="00F8177D"/>
    <w:rsid w:val="00FA0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6EB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604C4C-4E02-47B3-A77B-2A2C99D1F34E}">
  <we:reference id="wa104382081" version="1.55.1.0" store="en-US" storeType="OMEX"/>
  <we:alternateReferences>
    <we:reference id="wa104382081" version="1.55.1.0" store="wa104382081" storeType="OMEX"/>
  </we:alternateReferences>
  <we:properties>
    <we:property name="MENDELEY_CITATIONS" value="[{&quot;citationID&quot;:&quot;MENDELEY_CITATION_06b41d1c-3d7b-4659-a7df-7a4709935118&quot;,&quot;citationItems&quot;:[{&quot;id&quot;:&quot;9d0a932a-294b-55d1-9744-15f23d9f2e6f&quot;,&quot;itemData&quot;:{&quot;DOI&quot;:&quot;10.1016/S2213-8587(15)00462-3&quot;,&quot;ISSN&quot;:&quot;22138595&quot;,&quot;PMID&quot;:&quot;26809680&quot;,&quot;abstract&quot;:&quot;The multivariable and progressive natural history of type 2 diabetes limits the effectiveness of available glucose-lowering drugs. Constraints imposed by comorbidities (notably cardiovascular disease and renal impairment) and the need to avoid hypoglycaemia, weight gain, and drug interactions further complicate the treatment process. These challenges have prompted the development of new formulations and delivery methods for existing drugs alongside research into novel pharmacological entities. Advances in incretin-based therapies include a miniature implantable osmotic pump to give continuous delivery of a glucagon-like peptide-1 receptor agonist for 6-12 months and once-weekly tablets of dipeptidyl peptidase-4 inhibitors. Hybrid molecules that combine the properties of selected incretins and other peptides are at early stages of development, and proof of concept has been shown for small non-peptide molecules to activate glucagon-like peptide-1 receptors. Additional sodium-glucose co-transporter inhibitors are progressing in development as well as possible new insulin-releasing biological agents and small-molecule inhibitors of glucagon action. Adiponectin receptor agonists, selective peroxisome proliferator-activated receptor modulators, cellular glucocorticoid inhibitors, and analogues of fibroblast growth factor 21 are being considered as potential new approaches to glucose lowering. Compounds that can enhance insulin receptor and post-receptor signalling cascades or directly promote selected pathways of glucose metabolism have suggested opportunities for future treatments. However, pharmacological interventions that are able to restore normal β-cell function and β-cell mass, normalise insulin action, and fully correct glucose homoeostasis are a distant vision.&quot;,&quot;author&quot;:[{&quot;dropping-particle&quot;:&quot;&quot;,&quot;family&quot;:&quot;Bailey&quot;,&quot;given&quot;:&quot;Clifford J.&quot;,&quot;non-dropping-particle&quot;:&quot;&quot;,&quot;parse-names&quot;:false,&quot;suffix&quot;:&quot;&quot;},{&quot;dropping-particle&quot;:&quot;&quot;,&quot;family&quot;:&quot;Tahrani&quot;,&quot;given&quot;:&quot;Abd A.&quot;,&quot;non-dropping-particle&quot;:&quot;&quot;,&quot;parse-names&quot;:false,&quot;suffix&quot;:&quot;&quot;},{&quot;dropping-particle&quot;:&quot;&quot;,&quot;family&quot;:&quot;Barnett&quot;,&quot;given&quot;:&quot;Anthony H.&quot;,&quot;non-dropping-particle&quot;:&quot;&quot;,&quot;parse-names&quot;:false,&quot;suffix&quot;:&quot;&quot;}],&quot;container-title&quot;:&quot;The Lancet Diabetes and Endocrinology&quot;,&quot;id&quot;:&quot;9d0a932a-294b-55d1-9744-15f23d9f2e6f&quot;,&quot;issue&quot;:&quot;4&quot;,&quot;issued&quot;:{&quot;date-parts&quot;:[[&quot;2016&quot;]]},&quot;page&quot;:&quot;350-359&quot;,&quot;title&quot;:&quot;Future glucose-lowering drugs for type 2 diabetes&quot;,&quot;type&quot;:&quot;article-journal&quot;,&quot;volume&quot;:&quot;4&quot;},&quot;uris&quot;:[&quot;http://www.mendeley.com/documents/?uuid=84ed3064-489a-4109-97c2-af0edf31f517&quot;],&quot;isTemporary&quot;:false,&quot;legacyDesktopId&quot;:&quot;84ed3064-489a-4109-97c2-af0edf31f517&quot;}],&quot;properties&quot;:{&quot;noteIndex&quot;:0},&quot;isEdited&quot;:false,&quot;manualOverride&quot;:{&quot;citeprocText&quot;:&quot;[1]&quot;,&quot;isManuallyOverridden&quot;:false,&quot;manualOverrideText&quot;:&quot;&quot;},&quot;citationTag&quot;:&quot;MENDELEY_CITATION_v3_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&quot;},{&quot;citationID&quot;:&quot;MENDELEY_CITATION_6d23bfcd-f791-4fe2-95e8-ac5579c46311&quot;,&quot;citationItems&quot;:[{&quot;id&quot;:&quot;5334502f-8758-5528-a2b3-f89686b66a82&quot;,&quot;itemData&quot;:{&quot;DOI&quot;:&quot;10.2165/00003495-200868150-00005&quot;,&quot;ISSN&quot;:&quot;0012-6667&quot;,&quot;abstract&quot;:&quot;Oral therapy for type 2 diabetes mellitus, when used appropriately, can safely assist patients to achieve glycaemic targets in the short to medium term. However, the progressive nature of type 2 diabetes usually requires a combination of two or more oral agents in the longer term, often as a prelude to insulin therapy. Issues of safety and tolerability, notably weight gain, often limit the optimal application of anti-diabetic drugs such as sulfonylureas and thiazolidinediones. Moreover, the impact of different drugs, even within a single class, on the risk of long-term vascular complications has come under scrutiny. For example, recent publication of evidence suggesting potential detrimental effects of rosiglitazone on myocardial events generated a heated debate and led to a reduction in use of this drug. In contrast, current evidence supports the view that pioglitazone has vasculoprotective properties. Both drugs are contraindicated in patients who are at risk of heart failure. An additional recently identified safety concern is an increased risk of fractures, especially in postmenopausal women.&quot;,&quot;author&quot;:[{&quot;dropping-particle&quot;:&quot;&quot;,&quot;family&quot;:&quot;Krentz&quot;,&quot;given&quot;:&quot;Andrew J&quot;,&quot;non-dropping-particle&quot;:&quot;&quot;,&quot;parse-names&quot;:false,&quot;suffix&quot;:&quot;&quot;},{&quot;dropping-particle&quot;:&quot;&quot;,&quot;family&quot;:&quot;Patel&quot;,&quot;given&quot;:&quot;Mayank B&quot;,&quot;non-dropping-particle&quot;:&quot;&quot;,&quot;parse-names&quot;:false,&quot;suffix&quot;:&quot;&quot;},{&quot;dropping-particle&quot;:&quot;&quot;,&quot;family&quot;:&quot;Bailey&quot;,&quot;given&quot;:&quot;Clifford J&quot;,&quot;non-dropping-particle&quot;:&quot;&quot;,&quot;parse-names&quot;:false,&quot;suffix&quot;:&quot;&quot;}],&quot;container-title&quot;:&quot;Drugs&quot;,&quot;id&quot;:&quot;5334502f-8758-5528-a2b3-f89686b66a82&quot;,&quot;issue&quot;:&quot;15&quot;,&quot;issued&quot;:{&quot;date-parts&quot;:[[&quot;2008&quot;]]},&quot;page&quot;:&quot;2131-2162&quot;,&quot;title&quot;:&quot;New Drugs for Type 2 Diabetes Mellitus&quot;,&quot;type&quot;:&quot;article-journal&quot;,&quot;volume&quot;:&quot;68&quot;},&quot;uris&quot;:[&quot;http://www.mendeley.com/documents/?uuid=d9c0ff6c-aae8-4699-a92a-f05e6823d5da&quot;],&quot;isTemporary&quot;:false,&quot;legacyDesktopId&quot;:&quot;d9c0ff6c-aae8-4699-a92a-f05e6823d5da&quot;}],&quot;properties&quot;:{&quot;noteIndex&quot;:0},&quot;isEdited&quot;:false,&quot;manualOverride&quot;:{&quot;citeprocText&quot;:&quot;[2]&quot;,&quot;isManuallyOverridden&quot;:false,&quot;manualOverrideText&quot;:&quot;&quot;},&quot;citationTag&quot;:&quot;MENDELEY_CITATION_v3_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&quot;},{&quot;citationID&quot;:&quot;MENDELEY_CITATION_e953c58f-73b8-4d85-ac04-28be28f43dea&quot;,&quot;citationItems&quot;:[{&quot;id&quot;:&quot;fb7a59b1-2cab-59da-b249-78e60bf278f8&quot;,&quot;itemData&quot;:{&quot;DOI&quot;:&quot;10.1111/j.1463-1326.2011.01512.x&quot;,&quot;ISSN&quot;:&quot;14631326&quot;,&quot;PMID&quot;:&quot;21958121&quot;,&quot;abstract&quot;:&quot;Aim: We assessed the efficacy of eight classes of diabetes medications used in current clinical practice [metformin, sulphonylureas, α-glucosidase inhibitors, thiazolidinediones, glinides, dipeptidyl peptidase-4 inhibitors, glucagon-like peptide-1 (GLP-1) analogues and insulin analogues] to reach the HbA1c target &lt;7% in type 2 diabetes. Methods: MEDLINE, EMBASE and the Cochrane CENTRAL were searched from inception through April 2011 for randomized controlled trials (RCTs) involving antidiabetic drugs. RCTs had to report the effect of any diabetes medication on the HbA1c levels, to include at least 30 subjects in every arm of the study, and to report the effect of therapy after a minimum of 12 weeks. Data were summarized across studies using random-effects meta-regression. Results: A total of 218 RCTs (339 arms and 77 950 patients) met the inclusion criteria. The proportion of patients who achieved the HbA1c goal ranged from 25.9% (95% CI 18.5-34.9) with α-glucosidase inhibitors to 63.2% (54.1-71.5) with the long-acting GLP-1 analogue. There was a progressive decrease of the proportion of patients at target for each 0.5% increase in baseline HbA1c, ranging from 57.8% for HbA1c ≤7.5% to 20.8% for HbA1c ≥10% (p for trend &lt;0.0001), with some difference between insulin and non-insulin drugs: for insulin, the proportion of patients at goal reached a plateau for basal HbA1c value &gt;9.0% with no further decrease, whereas for non-insulin drugs the relationship was continuous without any evidence of plateau. Conclusions: There is a considerable variability with regard to attainment of HbA1c goal of &lt;7% among the different classes of diabetes medications; baseline HbA1c is an important determinant of observed efficacy. © 2011 Blackwell Publishing Ltd.&quot;,&quot;author&quot;:[{&quot;dropping-particle&quot;:&quot;&quot;,&quot;family&quot;:&quot;Esposito&quot;,&quot;given&quot;:&quot;K.&quot;,&quot;non-dropping-particle&quot;:&quot;&quot;,&quot;parse-names&quot;:false,&quot;suffix&quot;:&quot;&quot;},{&quot;dropping-particle&quot;:&quot;&quot;,&quot;family&quot;:&quot;Chiodini&quot;,&quot;given&quot;:&quot;P.&quot;,&quot;non-dropping-particle&quot;:&quot;&quot;,&quot;parse-names&quot;:false,&quot;suffix&quot;:&quot;&quot;},{&quot;dropping-particle&quot;:&quot;&quot;,&quot;family&quot;:&quot;Bellastella&quot;,&quot;given&quot;:&quot;G.&quot;,&quot;non-dropping-particle&quot;:&quot;&quot;,&quot;parse-names&quot;:false,&quot;suffix&quot;:&quot;&quot;},{&quot;dropping-particle&quot;:&quot;&quot;,&quot;family&quot;:&quot;Maiorino&quot;,&quot;given&quot;:&quot;M. I.&quot;,&quot;non-dropping-particle&quot;:&quot;&quot;,&quot;parse-names&quot;:false,&quot;suffix&quot;:&quot;&quot;},{&quot;dropping-particle&quot;:&quot;&quot;,&quot;family&quot;:&quot;Giugliano&quot;,&quot;given&quot;:&quot;D.&quot;,&quot;non-dropping-particle&quot;:&quot;&quot;,&quot;parse-names&quot;:false,&quot;suffix&quot;:&quot;&quot;}],&quot;container-title&quot;:&quot;Diabetes, Obesity and Metabolism&quot;,&quot;id&quot;:&quot;fb7a59b1-2cab-59da-b249-78e60bf278f8&quot;,&quot;issue&quot;:&quot;3&quot;,&quot;issued&quot;:{&quot;date-parts&quot;:[[&quot;2012&quot;]]},&quot;page&quot;:&quot;228-233&quot;,&quot;title&quot;:&quot;Proportion of patients at HbA1c target &lt;7% with eight classes of antidiabetic drugs in type 2 diabetes: Systematic review of 218 randomized controlled trials with 78 945 patients&quot;,&quot;type&quot;:&quot;article-journal&quot;,&quot;volume&quot;:&quot;14&quot;},&quot;uris&quot;:[&quot;http://www.mendeley.com/documents/?uuid=84bea5b0-1bba-4e2c-969e-dd921bbad375&quot;],&quot;isTemporary&quot;:false,&quot;legacyDesktopId&quot;:&quot;84bea5b0-1bba-4e2c-969e-dd921bbad375&quot;}],&quot;properties&quot;:{&quot;noteIndex&quot;:0},&quot;isEdited&quot;:false,&quot;manualOverride&quot;:{&quot;citeprocText&quot;:&quot;[3]&quot;,&quot;isManuallyOverridden&quot;:false,&quot;manualOverrideText&quot;:&quot;&quot;},&quot;citationTag&quot;:&quot;MENDELEY_CITATION_v3_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&quot;},{&quot;citationID&quot;:&quot;MENDELEY_CITATION_b98e13a1-1c0f-436a-b64f-d5acdb2cafe4&quot;,&quot;citationItems&quot;:[{&quot;id&quot;:&quot;5f376b90-98ad-56bd-b1a1-33ee6b077498&quot;,&quot;itemData&quot;:{&quot;author&quot;:[{&quot;dropping-particle&quot;:&quot;&quot;,&quot;family&quot;:&quot;Moller DE&quot;,&quot;given&quot;:&quot;&quot;,&quot;non-dropping-particle&quot;:&quot;&quot;,&quot;parse-names&quot;:false,&quot;suffix&quot;:&quot;&quot;}],&quot;container-title&quot;:&quot;Nature&quot;,&quot;id&quot;:&quot;5f376b90-98ad-56bd-b1a1-33ee6b077498&quot;,&quot;issued&quot;:{&quot;date-parts&quot;:[[&quot;2001&quot;]]},&quot;page&quot;:&quot;821–827&quot;,&quot;title&quot;:&quot;New drug targets for type 2 diabetes and the metabolic syndrome&quot;,&quot;type&quot;:&quot;article-journal&quot;,&quot;volume&quot;:&quot;414&quot;},&quot;uris&quot;:[&quot;http://www.mendeley.com/documents/?uuid=b04fe62b-7aac-48ca-bba4-80e44df429af&quot;],&quot;isTemporary&quot;:false,&quot;legacyDesktopId&quot;:&quot;b04fe62b-7aac-48ca-bba4-80e44df429af&quot;}],&quot;properties&quot;:{&quot;noteIndex&quot;:0},&quot;isEdited&quot;:false,&quot;manualOverride&quot;:{&quot;citeprocText&quot;:&quot;[4]&quot;,&quot;isManuallyOverridden&quot;:false,&quot;manualOverrideText&quot;:&quot;&quot;},&quot;citationTag&quot;:&quot;MENDELEY_CITATION_v3_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&quot;},{&quot;citationID&quot;:&quot;MENDELEY_CITATION_6a3d93a7-c117-4410-81e9-4ca0cfa65398&quot;,&quot;citationItems&quot;:[{&quot;id&quot;:&quot;b3b3c405-d15e-54dd-ab91-11f952039f10&quot;,&quot;itemData&quot;:{&quot;ISSN&quot;:&quot;0012-6667&quot;,&quot;abstract&quot;:&quot;Several new pharmacological agents have recently been developed to optimise the management of type 2 (non-insulin-dependent) diabetes mellitus. The aim of this article is to briefly review the various therapeutic agents available for management of patients with type 2 diabetes mellitus and to suggest a potential approach to drug selection. There are three general therapeutic modalities relevant to diabetes care. The first modality is lifestyle adjusments aimed at improving endogenous insulin sensitivity or insulin effect. This can be achieved by increased physical activity and bodyweight reduction with diet and behavioural modification, and the use of pharmacological agents or surgery. This first modality is not discussed in depth in this article. The second modality involves increasing insulin availability by the administration of exogenous insulin, insulin analogues, sulphonylureas and the new insulin secretagogue, repaglinide. The most frequently encountered adverse effect of these agents is hypoglycaemia. Bodyweight gain can also be a concern, especially in patients who are obese. The association between hyperinsulinaemia and premature atherosclerosis is still a debatable question. The third modality consists of agents such as biguanides and thiazolidinediones which enhance insulin sensitivity, or agents that decrease insulin requirements like the α-glucosidase inhibitors. Type 2 diabetes mellitus is a heterogenous disease with multiple underlying pathophysiological processes. Therapy should be individualised based on the degree of hyperglycaemia, hyperinsulinaemia or insulin deficiency. In addition, several factors have to be considered when prescribing a specific therapeutic agent. These factors include efficacy, safety, affordability and ease of administration.&quot;,&quot;author&quot;:[{&quot;dropping-particle&quot;:&quot;&quot;,&quot;family&quot;:&quot;Chehade&quot;,&quot;given&quot;:&quot;J.M.&quot;,&quot;non-dropping-particle&quot;:&quot;&quot;,&quot;parse-names&quot;:false,&quot;suffix&quot;:&quot;&quot;},{&quot;dropping-particle&quot;:&quot;&quot;,&quot;family&quot;:&quot;A.D.&quot;,&quot;given&quot;:&quot;Mooradian&quot;,&quot;non-dropping-particle&quot;:&quot;&quot;,&quot;parse-names&quot;:false,&quot;suffix&quot;:&quot;&quot;}],&quot;container-title&quot;:&quot;Drugs&quot;,&quot;id&quot;:&quot;b3b3c405-d15e-54dd-ab91-11f952039f10&quot;,&quot;issue&quot;:&quot;1&quot;,&quot;issued&quot;:{&quot;date-parts&quot;:[[&quot;2000&quot;]]},&quot;page&quot;:&quot;95-113&quot;,&quot;title&quot;:&quot;A rational approach to drug therapy of type 2 diabetes mellitus&quot;,&quot;type&quot;:&quot;article-journal&quot;,&quot;volume&quot;:&quot;60&quot;},&quot;uris&quot;:[&quot;http://www.mendeley.com/documents/?uuid=934e8a1f-26cc-476b-bee4-5edf247a646c&quot;],&quot;isTemporary&quot;:false,&quot;legacyDesktopId&quot;:&quot;934e8a1f-26cc-476b-bee4-5edf247a646c&quot;}],&quot;properties&quot;:{&quot;noteIndex&quot;:0},&quot;isEdited&quot;:false,&quot;manualOverride&quot;:{&quot;citeprocText&quot;:&quot;[5]&quot;,&quot;isManuallyOverridden&quot;:false,&quot;manualOverrideText&quot;:&quot;&quot;},&quot;citationTag&quot;:&quot;MENDELEY_CITATION_v3_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&quot;},{&quot;citationID&quot;:&quot;MENDELEY_CITATION_2685f079-e7aa-400f-bb23-56c6963dbed2&quot;,&quot;citationItems&quot;:[{&quot;id&quot;:&quot;3c2e9b1f-88db-5713-813d-8504b1d83e27&quot;,&quot;itemData&quot;:{&quot;DOI&quot;:&quot;10.1089/dia.2006.8.18&quot;,&quot;ISSN&quot;:&quot;15209156&quot;,&quot;PMID&quot;:&quot;16472047&quot;,&quot;abstract&quot;:&quot;There is a growing body of evidence for the role of inflammation in type 2 diabetes. In addition to the evidence presented elsewhere, evidence is emerging that many drugs that have apparent \&quot;anti-inflammatory\&quot; properties may reduce the incidence and/or delay the onset of type 2 diabetes. Statins have been found to lower inflammatory markers, and a post hoc analysis of the West of Scotland Coronary Prevention Study (WOSCOPS) suggested that pravastatin may reduce the risk of developing diabetes, although the Lipid Lowering Arm of the Anglo-Scandinavian Cardiac Outcomes Trial (ASCOT) found no statistically significant effect of atorvastatin on risk of developing diabetes. Fibrates have been found to lower some markers of inflammation, and a prospective trial found that bezafibrate reduces risk of developing diabetes. Angiotensin converting enzyme (ACE) inhibitors and angiotensin receptor blockers appear to reduce some markers of inflammation, and a meta-analysis concluded that ACE inhibitors and angiotensin receptor blockers reduce risk of developing type 2 diabetes. Metformin is known to reduce the risk of developing diabetes, and more recent evidence suggests it also lowers C-reactive protein, in part because of its modest weight-reducing effect. Thiazolidinediones reduce risk of developing diabetes, and consistently lower inflammatory markers independent of adiposity effects. High-dose aspirin inhibits cyclooxygenase and IκB kinase-β and reduces fasting plasma glucose concentration, although there has not, as yet, been a large-scale trial to examine the effect of aspirin on the risk of developing diabetes. We conclude that although many drugs with potential anti-inflammatory properties reduce the risk of developing diabetes, it is difficult to prove that such anti-inflammatory properties contribute to their diabetes prevention since nearly all drugs have other, often more pronounced, actions. Studies with more specific inhibitors of inflammatory pathways (e.g., interleukin-6 blockers) and mendelian randomization (genetic studies) will help determine whether targeting the inflammation axis is a fertile mechanism to treat or prevent type 2 diabetes. © Mary Ann Liebert, Inc.&quot;,&quot;author&quot;:[{&quot;dropping-particle&quot;:&quot;&quot;,&quot;family&quot;:&quot;Deans&quot;,&quot;given&quot;:&quot;Kevin A.&quot;,&quot;non-dropping-particle&quot;:&quot;&quot;,&quot;parse-names&quot;:false,&quot;suffix&quot;:&quot;&quot;},{&quot;dropping-particle&quot;:&quot;&quot;,&quot;family&quot;:&quot;Sattar&quot;,&quot;given&quot;:&quot;Naveed&quot;,&quot;non-dropping-particle&quot;:&quot;&quot;,&quot;parse-names&quot;:false,&quot;suffix&quot;:&quot;&quot;}],&quot;container-title&quot;:&quot;Diabetes Technology and Therapeutics&quot;,&quot;id&quot;:&quot;3c2e9b1f-88db-5713-813d-8504b1d83e27&quot;,&quot;issue&quot;:&quot;1&quot;,&quot;issued&quot;:{&quot;date-parts&quot;:[[&quot;2006&quot;]]},&quot;page&quot;:&quot;18-27&quot;,&quot;title&quot;:&quot;\&quot;Anti-inflammatory\&quot; drugs and their effects on type 2 Diabetes&quot;,&quot;type&quot;:&quot;article-journal&quot;,&quot;volume&quot;:&quot;8&quot;},&quot;uris&quot;:[&quot;http://www.mendeley.com/documents/?uuid=7f9f4f20-a88b-45a8-a0fa-6625207affb8&quot;],&quot;isTemporary&quot;:false,&quot;legacyDesktopId&quot;:&quot;7f9f4f20-a88b-45a8-a0fa-6625207affb8&quot;}],&quot;properties&quot;:{&quot;noteIndex&quot;:0},&quot;isEdited&quot;:false,&quot;manualOverride&quot;:{&quot;citeprocText&quot;:&quot;[6]&quot;,&quot;isManuallyOverridden&quot;:false,&quot;manualOverrideText&quot;:&quot;&quot;},&quot;citationTag&quot;:&quot;MENDELEY_CITATION_v3_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&quot;},{&quot;citationID&quot;:&quot;MENDELEY_CITATION_20fd0136-1c00-4513-8c45-4187504028e0&quot;,&quot;citationItems&quot;:[{&quot;id&quot;:&quot;343ce946-43a8-5176-a937-8335caf2b3f3&quot;,&quot;itemData&quot;:{&quot;DOI&quot;:&quot;10.2174/092986708783330656&quot;,&quot;ISSN&quot;:&quot;09298673&quot;,&quot;abstract&quot;:&quot;Type II diabetes is a heterogeneous disease where environment and genetics are important factors for the expression of the disease. The high cost for treating complications of diabetes is a burden for public health systems and governments worldwide. Type II diabetes has been causing debilitation worldwide for many decades, and a single drug that safely treats the disease has yet to be discovered. Sulfonylureas, biguanides, α-glucosidase, meglitinides, DPP-4 inhibitors and thiazolidinediones are among the classes of oral hypoglycemic drugs available to treat Type II diabetes, but concerns exist regarding safety and efficacy of these drugs. In this article we present the pros and cons of the six classes and discuss some of the latest advances towards the development of new drugs for the treatment of Type II diabetes. © 2008 Bentham Science Publishers Ltd.&quot;,&quot;author&quot;:[{&quot;dropping-particle&quot;:&quot;&quot;,&quot;family&quot;:&quot;Avery&quot;,&quot;given&quot;:&quot;Mitchell&quot;,&quot;non-dropping-particle&quot;:&quot;&quot;,&quot;parse-names&quot;:false,&quot;suffix&quot;:&quot;&quot;},{&quot;dropping-particle&quot;:&quot;&quot;,&quot;family&quot;:&quot;Mizuno&quot;,&quot;given&quot;:&quot;Cassia&quot;,&quot;non-dropping-particle&quot;:&quot;&quot;,&quot;parse-names&quot;:false,&quot;suffix&quot;:&quot;&quot;},{&quot;dropping-particle&quot;:&quot;&quot;,&quot;family&quot;:&quot;Chittiboyina&quot;,&quot;given&quot;:&quot;Amar&quot;,&quot;non-dropping-particle&quot;:&quot;&quot;,&quot;parse-names&quot;:false,&quot;suffix&quot;:&quot;&quot;},{&quot;dropping-particle&quot;:&quot;&quot;,&quot;family&quot;:&quot;Kurtz&quot;,&quot;given&quot;:&quot;Theodore&quot;,&quot;non-dropping-particle&quot;:&quot;&quot;,&quot;parse-names&quot;:false,&quot;suffix&quot;:&quot;&quot;},{&quot;dropping-particle&quot;:&quot;&quot;,&quot;family&quot;:&quot;Pershadsingh&quot;,&quot;given&quot;:&quot;Harrihar&quot;,&quot;non-dropping-particle&quot;:&quot;&quot;,&quot;parse-names&quot;:false,&quot;suffix&quot;:&quot;&quot;}],&quot;container-title&quot;:&quot;Current Medicinal Chemistry&quot;,&quot;id&quot;:&quot;343ce946-43a8-5176-a937-8335caf2b3f3&quot;,&quot;issue&quot;:&quot;1&quot;,&quot;issued&quot;:{&quot;date-parts&quot;:[[&quot;2008&quot;]]},&quot;page&quot;:&quot;61-74&quot;,&quot;title&quot;:&quot;Type 2 Diabetes and Oral Antihyperglycemic Drugs&quot;,&quot;type&quot;:&quot;article-journal&quot;,&quot;volume&quot;:&quot;15&quot;},&quot;uris&quot;:[&quot;http://www.mendeley.com/documents/?uuid=d39c037b-de4e-40e7-9d24-9d16fc219e17&quot;],&quot;isTemporary&quot;:false,&quot;legacyDesktopId&quot;:&quot;d39c037b-de4e-40e7-9d24-9d16fc219e17&quot;}],&quot;properties&quot;:{&quot;noteIndex&quot;:0},&quot;isEdited&quot;:false,&quot;manualOverride&quot;:{&quot;citeprocText&quot;:&quot;[7]&quot;,&quot;isManuallyOverridden&quot;:false,&quot;manualOverrideText&quot;:&quot;&quot;},&quot;citationTag&quot;:&quot;MENDELEY_CITATION_v3_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&quot;},{&quot;citationID&quot;:&quot;MENDELEY_CITATION_78f24f0f-8deb-4779-9b9a-fabcbb8f9a36&quot;,&quot;citationItems&quot;:[{&quot;id&quot;:&quot;d0a27b07-3935-5d14-ab5b-142ac68aa699&quot;,&quot;itemData&quot;:{&quot;DOI&quot;:&quot;10.1016/j.amjcard.2017.05.015&quot;,&quot;ISSN&quot;:&quot;18791913&quot;,&quot;PMID&quot;:&quot;28606340&quot;,&quot;abstract&quot;:&quot;Patients with type 2 diabetes (T2DM) have a significantly higher risk of developing cardiovascular disease (CVD)—namely myocardial infarction, heart failure, and stroke. Despite clear advances in the prevention and treatment of CVD, the impact of T2DM on CVD outcome remains high and continues to escalate. Available evidence indicates that the risk of macrovascular complications increases with the severity of hyperglycemia, thus suggesting that the relation between metabolic disturbances and vascular damage is approximately linear. Although current antidiabetic drugs are highly effective for the management of hyperglycemia, most T2DM patients remain exposed to a substantial and concrete risk of CVD. Over the last decade many glucose-lowering agents have been tested for their safety and efficacy in T2DM with CVD. Noteworthy, most of these studies failed to show a significant benefit in terms of CV morbidity and mortality, despite intensive glycemic control. The recent trials Empagliflozin Cardiovascular Outcome Event Trial in Type 2 Diabetes Mellitus Patients–Removing Excess Glucose (EMPA-REG OUTCOME); Trial to Evaluate Cardiovascular and Other Long-term Outcomes with Semaglutide in Subjects with Type 2 Diabetes (SUSTAIN-6); Liraglutide Effect and Action in Diabetes: Evaluation of Cardiovascular Outcome Results (LEADER); and Insulin Resistance Intervention After Stroke (IRIS) have shed some light on this important clinical issue, thus showing a convincing effect of empagliflozin, liraglutide, and pioglitazone on CVD outcomes. Here we provide a critical and updated overview of the main glucose-lowering agents and their risk/benefit ratio for the prevention of CVD in patients with T2DM.&quot;,&quot;author&quot;:[{&quot;dropping-particle&quot;:&quot;&quot;,&quot;family&quot;:&quot;Paneni&quot;,&quot;given&quot;:&quot;Francesco&quot;,&quot;non-dropping-particle&quot;:&quot;&quot;,&quot;parse-names&quot;:false,&quot;suffix&quot;:&quot;&quot;},{&quot;dropping-particle&quot;:&quot;&quot;,&quot;family&quot;:&quot;Lüscher&quot;,&quot;given&quot;:&quot;Thomas F.&quot;,&quot;non-dropping-particle&quot;:&quot;&quot;,&quot;parse-names&quot;:false,&quot;suffix&quot;:&quot;&quot;}],&quot;container-title&quot;:&quot;American Journal of Cardiology&quot;,&quot;id&quot;:&quot;d0a27b07-3935-5d14-ab5b-142ac68aa699&quot;,&quot;issue&quot;:&quot;1&quot;,&quot;issued&quot;:{&quot;date-parts&quot;:[[&quot;2017&quot;]]},&quot;page&quot;:&quot;S17-S27&quot;,&quot;title&quot;:&quot;Cardiovascular Protection in the Treatment of Type 2 Diabetes: A Review of Clinical Trial Results Across Drug Classes&quot;,&quot;type&quot;:&quot;article-journal&quot;,&quot;volume&quot;:&quot;120&quot;},&quot;uris&quot;:[&quot;http://www.mendeley.com/documents/?uuid=2db24e2c-97d5-47cc-a2b1-5ea13cf6c411&quot;],&quot;isTemporary&quot;:false,&quot;legacyDesktopId&quot;:&quot;2db24e2c-97d5-47cc-a2b1-5ea13cf6c411&quot;}],&quot;properties&quot;:{&quot;noteIndex&quot;:0},&quot;isEdited&quot;:false,&quot;manualOverride&quot;:{&quot;citeprocText&quot;:&quot;[8]&quot;,&quot;isManuallyOverridden&quot;:false,&quot;manualOverrideText&quot;:&quot;&quot;},&quot;citationTag&quot;:&quot;MENDELEY_CITATION_v3_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&quot;},{&quot;citationID&quot;:&quot;MENDELEY_CITATION_03318de7-60d6-4b63-a4e2-5b7d758b5849&quot;,&quot;citationItems&quot;:[{&quot;id&quot;:&quot;56795776-053a-5b2a-922f-480a94ef6aad&quot;,&quot;itemData&quot;:{&quot;DOI&quot;:&quot;10.1080/13543784.2021.1865914&quot;,&quot;ISSN&quot;:&quot;17447658&quot;,&quot;PMID&quot;:&quot;33327794&quot;,&quot;author&quot;:[{&quot;dropping-particle&quot;:&quot;&quot;,&quot;family&quot;:&quot;Adeghate&quot;,&quot;given&quot;:&quot;Ernest A.&quot;,&quot;non-dropping-particle&quot;:&quot;&quot;,&quot;parse-names&quot;:false,&quot;suffix&quot;:&quot;&quot;},{&quot;dropping-particle&quot;:&quot;&quot;,&quot;family&quot;:&quot;Kalász&quot;,&quot;given&quot;:&quot;Huba&quot;,&quot;non-dropping-particle&quot;:&quot;&quot;,&quot;parse-names&quot;:false,&quot;suffix&quot;:&quot;&quot;},{&quot;dropping-particle&quot;:&quot;&quot;,&quot;family&quot;:&quot;Jaberi&quot;,&quot;given&quot;:&quot;Saeeda&quot;,&quot;non-dropping-particle&quot;:&quot;Al&quot;,&quot;parse-names&quot;:false,&quot;suffix&quot;:&quot;&quot;},{&quot;dropping-particle&quot;:&quot;&quot;,&quot;family&quot;:&quot;Adeghate&quot;,&quot;given&quot;:&quot;Jennifer&quot;,&quot;non-dropping-particle&quot;:&quot;&quot;,&quot;parse-names&quot;:false,&quot;suffix&quot;:&quot;&quot;},{&quot;dropping-particle&quot;:&quot;&quot;,&quot;family&quot;:&quot;Tekes&quot;,&quot;given&quot;:&quot;Kornelia&quot;,&quot;non-dropping-particle&quot;:&quot;&quot;,&quot;parse-names&quot;:false,&quot;suffix&quot;:&quot;&quot;}],&quot;container-title&quot;:&quot;Expert Opinion on Investigational Drugs&quot;,&quot;id&quot;:&quot;56795776-053a-5b2a-922f-480a94ef6aad&quot;,&quot;issue&quot;:&quot;2&quot;,&quot;issued&quot;:{&quot;date-parts&quot;:[[&quot;2021&quot;]]},&quot;page&quot;:&quot;85-93&quot;,&quot;title&quot;:&quot;Tackling type 2 diabetes-associated cardiovascular and renal comorbidities: a key challenge for drug development&quot;,&quot;type&quot;:&quot;article-journal&quot;,&quot;volume&quot;:&quot;30&quot;},&quot;uris&quot;:[&quot;http://www.mendeley.com/documents/?uuid=f4a20c39-c951-4465-bb65-89f7a1bed05e&quot;],&quot;isTemporary&quot;:false,&quot;legacyDesktopId&quot;:&quot;f4a20c39-c951-4465-bb65-89f7a1bed05e&quot;}],&quot;properties&quot;:{&quot;noteIndex&quot;:0},&quot;isEdited&quot;:false,&quot;manualOverride&quot;:{&quot;citeprocText&quot;:&quot;[9]&quot;,&quot;isManuallyOverridden&quot;:false,&quot;manualOverrideText&quot;:&quot;&quot;},&quot;citationTag&quot;:&quot;MENDELEY_CITATION_v3_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&quot;},{&quot;citationID&quot;:&quot;MENDELEY_CITATION_a5eba0da-326b-4aea-a488-6a0b4278a4c2&quot;,&quot;citationItems&quot;:[{&quot;id&quot;:&quot;8fa0b5e4-d31b-59e1-b847-d7eee1eb0240&quot;,&quot;itemData&quot;:{&quot;DOI&quot;:&quot;10.2174/138945009787122860&quot;,&quot;ISSN&quot;:&quot;13894501&quot;,&quot;PMID&quot;:&quot;19149538&quot;,&quot;abstract&quot;:&quot;Dipeptidyl peptidase IV (DPP IV) is a key regulator of insulin-stimulating hormones, glucagon-like peptide (GLP-1) and glucose-dependent insulinotropic polypeptide (GIP), thus it is a promising target for the treatment of Type 2 Diabetes mellitus (T2DM). Inhibition of plasma DPP IV enzyme leads to enhanced endogenous GLP-1 and GIP activity, which ultimately results in the potentiation of insulin secretion by pancreatic β-cells and subsequent lowering of blood glucose levels, HbA[1c], glucagon secretion and liver glucose production. Various classes of structurally different DPP IV inhibitors are currently being explored and few of them such as Sitagliptin and Vildagliptin were successfully launched. These drugs have been approved as a once-daily oral monotherapy or as a combination therapy with current anti-diabetic agents like pioglitazone, glibenclamide, metformin etc. for the treatment of T2DM. Several other novel DPP IV inhibitors are in pipeline. The present review summarizes the latest preclinical and clinical trial data of different DPP IV inhibitors with a special emphasis on their DPP8/9 fold selectivity and therapeutic advantages over GLP-1 based approach. © 2009 Bentham Science Publishers Ltd.&quot;,&quot;author&quot;:[{&quot;dropping-particle&quot;:&quot;&quot;,&quot;family&quot;:&quot;Gupta&quot;,&quot;given&quot;:&quot;Rajesh&quot;,&quot;non-dropping-particle&quot;:&quot;&quot;,&quot;parse-names&quot;:false,&quot;suffix&quot;:&quot;&quot;},{&quot;dropping-particle&quot;:&quot;&quot;,&quot;family&quot;:&quot;Walunj&quot;,&quot;given&quot;:&quot;Sameer&quot;,&quot;non-dropping-particle&quot;:&quot;&quot;,&quot;parse-names&quot;:false,&quot;suffix&quot;:&quot;&quot;},{&quot;dropping-particle&quot;:&quot;&quot;,&quot;family&quot;:&quot;Tokala&quot;,&quot;given&quot;:&quot;Ranjeet&quot;,&quot;non-dropping-particle&quot;:&quot;&quot;,&quot;parse-names&quot;:false,&quot;suffix&quot;:&quot;&quot;},{&quot;dropping-particle&quot;:&quot;&quot;,&quot;family&quot;:&quot;Parsa&quot;,&quot;given&quot;:&quot;Kishore&quot;,&quot;non-dropping-particle&quot;:&quot;&quot;,&quot;parse-names&quot;:false,&quot;suffix&quot;:&quot;&quot;},{&quot;dropping-particle&quot;:&quot;&quot;,&quot;family&quot;:&quot;Singh&quot;,&quot;given&quot;:&quot;Santosh&quot;,&quot;non-dropping-particle&quot;:&quot;&quot;,&quot;parse-names&quot;:false,&quot;suffix&quot;:&quot;&quot;},{&quot;dropping-particle&quot;:&quot;&quot;,&quot;family&quot;:&quot;Pal&quot;,&quot;given&quot;:&quot;Manojit&quot;,&quot;non-dropping-particle&quot;:&quot;&quot;,&quot;parse-names&quot;:false,&quot;suffix&quot;:&quot;&quot;}],&quot;container-title&quot;:&quot;Current Drug Targets&quot;,&quot;id&quot;:&quot;8fa0b5e4-d31b-59e1-b847-d7eee1eb0240&quot;,&quot;issue&quot;:&quot;1&quot;,&quot;issued&quot;:{&quot;date-parts&quot;:[[&quot;2009&quot;]]},&quot;page&quot;:&quot;71-87&quot;,&quot;title&quot;:&quot;Emerging Drug Candidates of Dipeptidyl Peptidase IV (DPP IV) Inhibitor Class for the Treatment of Type 2 Diabetes&quot;,&quot;type&quot;:&quot;article-journal&quot;,&quot;volume&quot;:&quot;10&quot;},&quot;uris&quot;:[&quot;http://www.mendeley.com/documents/?uuid=74c733c5-a70b-4b5d-a136-fd4b0d828fd5&quot;],&quot;isTemporary&quot;:false,&quot;legacyDesktopId&quot;:&quot;74c733c5-a70b-4b5d-a136-fd4b0d828fd5&quot;}],&quot;properties&quot;:{&quot;noteIndex&quot;:0},&quot;isEdited&quot;:false,&quot;manualOverride&quot;:{&quot;citeprocText&quot;:&quot;[10]&quot;,&quot;isManuallyOverridden&quot;:false,&quot;manualOverrideText&quot;:&quot;&quot;},&quot;citationTag&quot;:&quot;MENDELEY_CITATION_v3_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&quot;},{&quot;citationID&quot;:&quot;MENDELEY_CITATION_193d332b-11ac-48a9-a8b4-5d8d4cdc57d5&quot;,&quot;citationItems&quot;:[{&quot;id&quot;:&quot;b99547ab-fa26-5040-9438-1dfa217fe090&quot;,&quot;itemData&quot;:{&quot;ISSN&quot;:&quot;0149-5992&quot;,&quot;author&quot;:[{&quot;dropping-particle&quot;:&quot;V.&quot;,&quot;family&quot;:&quot;Tamborlane&quot;,&quot;given&quot;:&quot;William&quot;,&quot;non-dropping-particle&quot;:&quot;&quot;,&quot;parse-names&quot;:false,&quot;suffix&quot;:&quot;&quot;},{&quot;dropping-particle&quot;:&quot;&quot;,&quot;family&quot;:&quot;Haymond&quot;,&quot;given&quot;:&quot;Morey W.&quot;,&quot;non-dropping-particle&quot;:&quot;&quot;,&quot;parse-names&quot;:false,&quot;suffix&quot;:&quot;&quot;},{&quot;dropping-particle&quot;:&quot;&quot;,&quot;family&quot;:&quot;Dunger&quot;,&quot;given&quot;:&quot;David&quot;,&quot;non-dropping-particle&quot;:&quot;&quot;,&quot;parse-names&quot;:false,&quot;suffix&quot;:&quot;&quot;},{&quot;dropping-particle&quot;:&quot;&quot;,&quot;family&quot;:&quot;Shankar&quot;,&quot;given&quot;:&quot;Ravi&quot;,&quot;non-dropping-particle&quot;:&quot;&quot;,&quot;parse-names&quot;:false,&quot;suffix&quot;:&quot;&quot;},{&quot;dropping-particle&quot;:&quot;&quot;,&quot;family&quot;:&quot;Gubitosi-Klug&quot;,&quot;given&quot;:&quot;Rose&quot;,&quot;non-dropping-particle&quot;:&quot;&quot;,&quot;parse-names&quot;:false,&quot;suffix&quot;:&quot;&quot;},{&quot;dropping-particle&quot;:&quot;&quot;,&quot;family&quot;:&quot;Bethin&quot;,&quot;given&quot;:&quot;Kathleen&quot;,&quot;non-dropping-particle&quot;:&quot;&quot;,&quot;parse-names&quot;:false,&quot;suffix&quot;:&quot;&quot;},{&quot;dropping-particle&quot;:&quot;&quot;,&quot;family&quot;:&quot;Karres&quot;,&quot;given&quot;:&quot;Janina&quot;,&quot;non-dropping-particle&quot;:&quot;&quot;,&quot;parse-names&quot;:false,&quot;suffix&quot;:&quot;&quot;},{&quot;dropping-particle&quot;:&quot;&quot;,&quot;family&quot;:&quot;Tomasi&quot;,&quot;given&quot;:&quot;Paolo&quot;,&quot;non-dropping-particle&quot;:&quot;&quot;,&quot;parse-names&quot;:false,&quot;suffix&quot;:&quot;&quot;},{&quot;dropping-particle&quot;:&quot;&quot;,&quot;family&quot;:&quot;Libman&quot;,&quot;given&quot;:&quot;Ingrid&quot;,&quot;non-dropping-particle&quot;:&quot;&quot;,&quot;parse-names&quot;:false,&quot;suffix&quot;:&quot;&quot;},{&quot;dropping-particle&quot;:&quot;&quot;,&quot;family&quot;:&quot;Hale&quot;,&quot;given&quot;:&quot;Paula H.&quot;,&quot;non-dropping-particle&quot;:&quot;&quot;,&quot;parse-names&quot;:false,&quot;suffix&quot;:&quot;&quot;},{&quot;dropping-particle&quot;:&quot;&quot;,&quot;family&quot;:&quot;Portman&quot;,&quot;given&quot;:&quot;Ronald&quot;,&quot;non-dropping-particle&quot;:&quot;&quot;,&quot;parse-names&quot;:false,&quot;suffix&quot;:&quot;&quot;},{&quot;dropping-particle&quot;:&quot;&quot;,&quot;family&quot;:&quot;Klingensmith&quot;,&quot;given&quot;:&quot;Georgeanna&quot;,&quot;non-dropping-particle&quot;:&quot;&quot;,&quot;parse-names&quot;:false,&quot;suffix&quot;:&quot;&quot;},{&quot;dropping-particle&quot;:&quot;&quot;,&quot;family&quot;:&quot;Reed&quot;,&quot;given&quot;:&quot;Michael&quot;,&quot;non-dropping-particle&quot;:&quot;&quot;,&quot;parse-names&quot;:false,&quot;suffix&quot;:&quot;&quot;},{&quot;dropping-particle&quot;:&quot;&quot;,&quot;family&quot;:&quot;Blumer&quot;,&quot;given&quot;:&quot;Jeffrey&quot;,&quot;non-dropping-particle&quot;:&quot;&quot;,&quot;parse-names&quot;:false,&quot;suffix&quot;:&quot;&quot;},{&quot;dropping-particle&quot;:&quot;&quot;,&quot;family&quot;:&quot;Giacoia&quot;,&quot;given&quot;:&quot;George&quot;,&quot;non-dropping-particle&quot;:&quot;&quot;,&quot;parse-names&quot;:false,&quot;suffix&quot;:&quot;&quot;}],&quot;container-title&quot;:&quot;Diabetes Care&quot;,&quot;id&quot;:&quot;b99547ab-fa26-5040-9438-1dfa217fe090&quot;,&quot;issue&quot;:&quot;3&quot;,&quot;issued&quot;:{&quot;date-parts&quot;:[[&quot;2016&quot;]]},&quot;page&quot;:&quot;323-329&quot;,&quot;title&quot;:&quot;Expanding Treatment Options for Youth With Type 2 Diabetes: Current Problems and Proposed Solutions&quot;,&quot;type&quot;:&quot;article-journal&quot;,&quot;volume&quot;:&quot;39&quot;},&quot;uris&quot;:[&quot;http://www.mendeley.com/documents/?uuid=09f4936a-b2bc-4768-80a8-1f5e33c2f551&quot;],&quot;isTemporary&quot;:false,&quot;legacyDesktopId&quot;:&quot;09f4936a-b2bc-4768-80a8-1f5e33c2f551&quot;}],&quot;properties&quot;:{&quot;noteIndex&quot;:0},&quot;isEdited&quot;:false,&quot;manualOverride&quot;:{&quot;citeprocText&quot;:&quot;[11]&quot;,&quot;isManuallyOverridden&quot;:false,&quot;manualOverrideText&quot;:&quot;&quot;},&quot;citationTag&quot;:&quot;MENDELEY_CITATION_v3_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&quot;},{&quot;citationID&quot;:&quot;MENDELEY_CITATION_9106f968-4766-483f-bd7a-3210ef3a00eb&quot;,&quot;citationItems&quot;:[{&quot;id&quot;:&quot;00ef88e9-3665-5c4c-91af-a1cb0678681a&quot;,&quot;itemData&quot;:{&quot;DOI&quot;:&quot;10.2174/1876524601808010022&quot;,&quot;ISSN&quot;:&quot;1876-5246&quot;,&quot;abstract&quot;:&quot;The causality and etio-pathologic risks for patients with Type 2 Diabetes (T2DM) are important areas in modern medicine. Disease complications are largely unpredictable in patients with T2DM. In the future, we welcome therapeutics of both cutting-edge and traditional for anti-diabetic treatments and management with higher efficiency and less cost. Expanding medical knowledge, behavior/life-style notification in healthcare, modern genetic/bioinformatics diagnostic promotion, clinical developments (Traditional Chinese Medicine and personalized medicine) and new drug developments - including candidate drug targets should be implemented in the future. These efforts might be useful avenues for updating anti-diabetic therapeutics globally. This article aims at introducing this information for T2DM treatment boosts.&quot;,&quot;author&quot;:[{&quot;dropping-particle&quot;:&quot;&quot;,&quot;family&quot;:&quot;Lu&quot;,&quot;given&quot;:&quot;Da-Yong&quot;,&quot;non-dropping-particle&quot;:&quot;&quot;,&quot;parse-names&quot;:false,&quot;suffix&quot;:&quot;&quot;},{&quot;dropping-particle&quot;:&quot;&quot;,&quot;family&quot;:&quot;Che&quot;,&quot;given&quot;:&quot;Jin-Yu&quot;,&quot;non-dropping-particle&quot;:&quot;&quot;,&quot;parse-names&quot;:false,&quot;suffix&quot;:&quot;&quot;},{&quot;dropping-particle&quot;:&quot;&quot;,&quot;family&quot;:&quot;Yarla&quot;,&quot;given&quot;:&quot;Nagendra Sastry&quot;,&quot;non-dropping-particle&quot;:&quot;&quot;,&quot;parse-names&quot;:false,&quot;suffix&quot;:&quot;&quot;},{&quot;dropping-particle&quot;:&quot;&quot;,&quot;family&quot;:&quot;Wu&quot;,&quot;given&quot;:&quot;Hong-Ying&quot;,&quot;non-dropping-particle&quot;:&quot;&quot;,&quot;parse-names&quot;:false,&quot;suffix&quot;:&quot;&quot;},{&quot;dropping-particle&quot;:&quot;&quot;,&quot;family&quot;:&quot;Lu&quot;,&quot;given&quot;:&quot;Ting-Ren&quot;,&quot;non-dropping-particle&quot;:&quot;&quot;,&quot;parse-names&quot;:false,&quot;suffix&quot;:&quot;&quot;},{&quot;dropping-particle&quot;:&quot;&quot;,&quot;family&quot;:&quot;Xu&quot;,&quot;given&quot;:&quot;Bin&quot;,&quot;non-dropping-particle&quot;:&quot;&quot;,&quot;parse-names&quot;:false,&quot;suffix&quot;:&quot;&quot;},{&quot;dropping-particle&quot;:&quot;&quot;,&quot;family&quot;:&quot;Wu&quot;,&quot;given&quot;:&quot;Shu-Yun&quot;,&quot;non-dropping-particle&quot;:&quot;&quot;,&quot;parse-names&quot;:false,&quot;suffix&quot;:&quot;&quot;},{&quot;dropping-particle&quot;:&quot;&quot;,&quot;family&quot;:&quot;Ding&quot;,&quot;given&quot;:&quot;Jian&quot;,&quot;non-dropping-particle&quot;:&quot;&quot;,&quot;parse-names&quot;:false,&quot;suffix&quot;:&quot;&quot;},{&quot;dropping-particle&quot;:&quot;&quot;,&quot;family&quot;:&quot;Lu&quot;,&quot;given&quot;:&quot;Yi&quot;,&quot;non-dropping-particle&quot;:&quot;&quot;,&quot;parse-names&quot;:false,&quot;suffix&quot;:&quot;&quot;},{&quot;dropping-particle&quot;:&quot;&quot;,&quot;family&quot;:&quot;Zhu&quot;,&quot;given&quot;:&quot;Hong&quot;,&quot;non-dropping-particle&quot;:&quot;&quot;,&quot;parse-names&quot;:false,&quot;suffix&quot;:&quot;&quot;}],&quot;container-title&quot;:&quot;The Open Diabetes Journal&quot;,&quot;id&quot;:&quot;00ef88e9-3665-5c4c-91af-a1cb0678681a&quot;,&quot;issue&quot;:&quot;1&quot;,&quot;issued&quot;:{&quot;date-parts&quot;:[[&quot;2018&quot;]]},&quot;page&quot;:&quot;22-33&quot;,&quot;title&quot;:&quot;Type 2 Diabetes Treatment and Drug Development Study&quot;,&quot;type&quot;:&quot;article-journal&quot;,&quot;volume&quot;:&quot;8&quot;},&quot;uris&quot;:[&quot;http://www.mendeley.com/documents/?uuid=66194885-44a3-4310-bd75-1c649c394b4b&quot;],&quot;isTemporary&quot;:false,&quot;legacyDesktopId&quot;:&quot;66194885-44a3-4310-bd75-1c649c394b4b&quot;}],&quot;properties&quot;:{&quot;noteIndex&quot;:0},&quot;isEdited&quot;:false,&quot;manualOverride&quot;:{&quot;citeprocText&quot;:&quot;[12]&quot;,&quot;isManuallyOverridden&quot;:false,&quot;manualOverrideText&quot;:&quot;&quot;},&quot;citationTag&quot;:&quot;MENDELEY_CITATION_v3_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&quot;},{&quot;citationID&quot;:&quot;MENDELEY_CITATION_fc29350e-158a-45bc-91d2-27895e5c009f&quot;,&quot;citationItems&quot;:[{&quot;id&quot;:&quot;6373d7f4-421b-5436-8d9b-3bd392aed858&quot;,&quot;itemData&quot;:{&quot;DOI&quot;:&quot;10.1016/j.amjcard.2017.05.009&quot;,&quot;ISSN&quot;:&quot;18791913&quot;,&quot;PMID&quot;:&quot;28606343&quot;,&quot;abstract&quot;:&quot;Choices for the treatment of type 2 diabetes mellitus (T2DM) have multiplied as our understanding of the underlying pathophysiologic defects has evolved. Treatment should target multiple defects in T2DM and follow a patient-centered approach that considers factors beyond glycemic control, including cardiovascular risk reduction. The American Association of Clinical Endocrinologists/American College of Endocrinology and the American Diabetes Association recommend an initial approach consisting of lifestyle changes and monotherapy, preferably with metformin. Therapy choices are guided by glycemic efficacy, safety profiles, particularly effects on weight and hypoglycemia risk, tolerability, patient comorbidities, route of administration, patient preference, and cost. Balancing management of hyperglycemia with the risk of hypoglycemia and consideration of the effects of pharmacotherapy on weight figure prominently in US-based T2DM recommendations, whereas less emphasis has been placed on the ability of specific medications to affect cardiovascular outcomes. This is likely because, until recently, specific glucose-lowering agents have not been shown to affect cardiorenal outcomes. The Empagliflozin Cardiovascular Outcome Event Trial in Type 2 Diabetes Mellitus Patients–Removing Excess Glucose (EMPA-REG OUTCOME), the Liraglutide Effect and Action in Diabetes: Evaluation of Cardiovascular Outcome Results (LEADER) trial, and the Trial to Evaluate Cardiovascular and Other Long-term Outcomes with Semaglutide in Subjects with Type 2 Diabetes 6 (SUSTAIN-6) recently showed a reduction in overall cardiovascular risk with empagliflozin, liraglutide, and semaglutide treatment, respectively. Moreover, empagliflozin has become the first glucose-lowering agent indicated to reduce the risk of cardiovascular death in adults with T2DM and established cardiovascular disease. Results from cardiovascular outcomes trials have prompted an update to the 2017 American Diabetes Association standards of care, which now recommend consideration of empagliflozin or liraglutide for patients with suboptimally controlled long-standing T2DM and established atherosclerotic cardiovascular disease because these agents have been shown to reduce cardiovascular and all-cause mortality when added to standard care.&quot;,&quot;author&quot;:[{&quot;dropping-particle&quot;:&quot;&quot;,&quot;family&quot;:&quot;Thrasher&quot;,&quot;given&quot;:&quot;James&quot;,&quot;non-dropping-particle&quot;:&quot;&quot;,&quot;parse-names&quot;:false,&quot;suffix&quot;:&quot;&quot;}],&quot;container-title&quot;:&quot;American Journal of Cardiology&quot;,&quot;id&quot;:&quot;6373d7f4-421b-5436-8d9b-3bd392aed858&quot;,&quot;issue&quot;:&quot;1&quot;,&quot;issued&quot;:{&quot;date-parts&quot;:[[&quot;2017&quot;]]},&quot;page&quot;:&quot;S4-S16&quot;,&quot;title&quot;:&quot;Pharmacologic Management of Type 2 Diabetes Mellitus: Available Therapies&quot;,&quot;type&quot;:&quot;article-journal&quot;,&quot;volume&quot;:&quot;120&quot;},&quot;uris&quot;:[&quot;http://www.mendeley.com/documents/?uuid=d0d188ac-e53a-4fac-82c5-7d14970c27ae&quot;],&quot;isTemporary&quot;:false,&quot;legacyDesktopId&quot;:&quot;d0d188ac-e53a-4fac-82c5-7d14970c27ae&quot;}],&quot;properties&quot;:{&quot;noteIndex&quot;:0},&quot;isEdited&quot;:false,&quot;manualOverride&quot;:{&quot;citeprocText&quot;:&quot;[13]&quot;,&quot;isManuallyOverridden&quot;:false,&quot;manualOverrideText&quot;:&quot;&quot;},&quot;citationTag&quot;:&quot;MENDELEY_CITATION_v3_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&quot;},{&quot;citationID&quot;:&quot;MENDELEY_CITATION_7119a495-241b-46a4-82e5-85474a720729&quot;,&quot;citationItems&quot;:[{&quot;id&quot;:&quot;3d4fb70b-f814-5e0f-8335-73f16c3cf783&quot;,&quot;itemData&quot;:{&quot;author&quot;:[{&quot;dropping-particle&quot;:&quot;&quot;,&quot;family&quot;:&quot;Kalsi A&quot;,&quot;given&quot;:&quot;&quot;,&quot;non-dropping-particle&quot;:&quot;&quot;,&quot;parse-names&quot;:false,&quot;suffix&quot;:&quot;&quot;},{&quot;dropping-particle&quot;:&quot;&quot;,&quot;family&quot;:&quot;Singh S&quot;,&quot;given&quot;:&quot;&quot;,&quot;non-dropping-particle&quot;:&quot;&quot;,&quot;parse-names&quot;:false,&quot;suffix&quot;:&quot;&quot;},{&quot;dropping-particle&quot;:&quot;&quot;,&quot;family&quot;:&quot;Taneja N&quot;,&quot;given&quot;:&quot;&quot;,&quot;non-dropping-particle&quot;:&quot;&quot;,&quot;parse-names&quot;:false,&quot;suffix&quot;:&quot;&quot;},{&quot;dropping-particle&quot;:&quot;&quot;,&quot;family&quot;:&quot;Kukal S&quot;,&quot;given&quot;:&quot;&quot;,&quot;non-dropping-particle&quot;:&quot;&quot;,&quot;parse-names&quot;:false,&quot;suffix&quot;:&quot;&quot;},{&quot;dropping-particle&quot;:&quot;&quot;,&quot;family&quot;:&quot;Mani S&quot;,&quot;given&quot;:&quot;&quot;,&quot;non-dropping-particle&quot;:&quot;&quot;,&quot;parse-names&quot;:false,&quot;suffix&quot;:&quot;&quot;}],&quot;container-title&quot;:&quot;International Journal of Pharmacy and Pharmaceutical Sciences&quot;,&quot;id&quot;:&quot;3d4fb70b-f814-5e0f-8335-73f16c3cf783&quot;,&quot;issue&quot;:&quot;3&quot;,&quot;issued&quot;:{&quot;date-parts&quot;:[[&quot;2015&quot;]]},&quot;page&quot;:&quot;13-18&quot;,&quot;title&quot;:&quot;Current treatments for type 2 diabetes, their side effects and possible complementary treatments&quot;,&quot;type&quot;:&quot;article-journal&quot;,&quot;volume&quot;:&quot;7&quot;},&quot;uris&quot;:[&quot;http://www.mendeley.com/documents/?uuid=971b1be9-0020-4c25-817c-0d802c8bc520&quot;],&quot;isTemporary&quot;:false,&quot;legacyDesktopId&quot;:&quot;971b1be9-0020-4c25-817c-0d802c8bc520&quot;}],&quot;properties&quot;:{&quot;noteIndex&quot;:0},&quot;isEdited&quot;:false,&quot;manualOverride&quot;:{&quot;citeprocText&quot;:&quot;[14]&quot;,&quot;isManuallyOverridden&quot;:false,&quot;manualOverrideText&quot;:&quot;&quot;},&quot;citationTag&quot;:&quot;MENDELEY_CITATION_v3_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&quot;},{&quot;citationID&quot;:&quot;MENDELEY_CITATION_233d6eba-d7d2-4754-a92b-f68f2f6c3431&quot;,&quot;citationItems&quot;:[{&quot;id&quot;:&quot;ee25c74e-59fa-5063-a249-d4bda845a15f&quot;,&quot;itemData&quot;:{&quot;DOI&quot;:&quot;10.5001/omj.2012.68&quot;,&quot;ISSN&quot;:&quot;20705204&quot;,&quot;PMID&quot;:&quot;23071876&quot;,&quot;abstract&quot;:&quot;Type 2 diabetes mellitus (DM) is a chronic metabolic disorder in which prevalence has been increasing steadily all over the world. As a result of this trend, it is fast becoming an epidemic in some countries of the world with the number of people affected expected to double in the next decade due to increase in ageing population, thereby adding to the already existing burden for healthcare providers, especially in poorly developed countries. This review is based on a search of Medline, the Cochrane Database of Systemic Reviews, and citation lists of relevant publications. Subject heading and key words used include type 2 diabetes mellitus, prevalence, current diagnosis, and current treatment. Only articles in English were included. Screening and diagnosis is still based on World Health Organization (WHO) and American Diabetes Association (ADA) criteria which include both clinical and laboratory parameters. No cure has yet been found for the disease; however, treatment modalities include lifestyle modifications, treatment of obesity, oral hypoglycemic agents, and insulin sensitizers like metformin, a biguanide that reduces insulin resistance, is still the recommended first line medication especially for obese patients. Other effective medications include nonsulfonylurea secretagogues, thiazolidinediones, alpha glucosidase inhibitors, and insulin. Recent research into the pathophysiology of type 2 DM has led to the introduction of new medications like glucagon-like peptide 1 analogoues: dipeptidyl peptidase-IV inhibitors, inhibitors of the sodium-glucose cotransporter 2 and 11ß-hydroxysteroid dehydrogenase 1, insulin-releasing glucokinase activators and pancreatic-G-protein-coupled fatty-acid-receptor agonists, glucagon-receptor antagonists, metabolic inhibitors of hepatic glucose output and quick-release bromocriptine. Inhaled insulin was licensed for use in 2006 but has been withdrawn from the market because of low patronage. © OMSB, 2012.&quot;,&quot;author&quot;:[{&quot;dropping-particle&quot;:&quot;&quot;,&quot;family&quot;:&quot;Olokoba&quot;,&quot;given&quot;:&quot;Abdulfatai B.&quot;,&quot;non-dropping-particle&quot;:&quot;&quot;,&quot;parse-names&quot;:false,&quot;suffix&quot;:&quot;&quot;},{&quot;dropping-particle&quot;:&quot;&quot;,&quot;family&quot;:&quot;Obateru&quot;,&quot;given&quot;:&quot;Olusegun A.&quot;,&quot;non-dropping-particle&quot;:&quot;&quot;,&quot;parse-names&quot;:false,&quot;suffix&quot;:&quot;&quot;},{&quot;dropping-particle&quot;:&quot;&quot;,&quot;family&quot;:&quot;Olokoba&quot;,&quot;given&quot;:&quot;Lateefat B.&quot;,&quot;non-dropping-particle&quot;:&quot;&quot;,&quot;parse-names&quot;:false,&quot;suffix&quot;:&quot;&quot;}],&quot;container-title&quot;:&quot;Oman Medical Journal&quot;,&quot;id&quot;:&quot;ee25c74e-59fa-5063-a249-d4bda845a15f&quot;,&quot;issue&quot;:&quot;4&quot;,&quot;issued&quot;:{&quot;date-parts&quot;:[[&quot;2012&quot;]]},&quot;page&quot;:&quot;269-273&quot;,&quot;title&quot;:&quot;Type 2 diabetes mellitus: A review of current trends&quot;,&quot;type&quot;:&quot;article-journal&quot;,&quot;volume&quot;:&quot;27&quot;},&quot;uris&quot;:[&quot;http://www.mendeley.com/documents/?uuid=29388389-be4b-4e45-9a18-bc4d0aac4209&quot;],&quot;isTemporary&quot;:false,&quot;legacyDesktopId&quot;:&quot;29388389-be4b-4e45-9a18-bc4d0aac4209&quot;}],&quot;properties&quot;:{&quot;noteIndex&quot;:0},&quot;isEdited&quot;:false,&quot;manualOverride&quot;:{&quot;citeprocText&quot;:&quot;[15]&quot;,&quot;isManuallyOverridden&quot;:false,&quot;manualOverrideText&quot;:&quot;&quot;},&quot;citationTag&quot;:&quot;MENDELEY_CITATION_v3_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&quot;},{&quot;citationID&quot;:&quot;MENDELEY_CITATION_9490a5ec-dda5-400a-b345-81dd68bc8aea&quot;,&quot;citationItems&quot;:[{&quot;id&quot;:&quot;8337e691-f1d3-5e38-9cf8-b257d8295eef&quot;,&quot;itemData&quot;:{&quot;DOI&quot;:&quot;10.1016/j.biopha.2020.110975&quot;,&quot;ISSN&quot;:&quot;19506007&quot;,&quot;PMID&quot;:&quot;33212375&quot;,&quot;abstract&quot;:&quot;Diabetes mellitus (type 1 and type 2) and its various complications continue to place a huge burden on global medical resources, despite the availability of numerous drugs that successfully lower blood glucose levels. The major challenging issue in diabetes management is the prevention of various complications that remain the leading cause of diabetes-related mortality. Moreover, the limited long-term durability of monotherapy and undesirable side effects of currently used anti-diabetic drugs underlie the urgent need for novel therapeutic approaches. Phytochemicals represent a rich source of plant-derived molecules that are of pivotal importance to the identification of compounds with therapeutic potential. In this review, we aim to discuss recent advances in the identification of a large array of phytochemicals with immense potential in the management of diabetes and its complications. Given that metabolic inflammation has been established as a key pathophysiological event that drives the progression of diabetes, we focus on the protective effects of representative phytochemicals in metabolic inflammation. This paper also discusses the potential of phytochemicals in the development of new drugs that target the inflammation in the management of diabetes and its complications.&quot;,&quot;author&quot;:[{&quot;dropping-particle&quot;:&quot;&quot;,&quot;family&quot;:&quot;Kong&quot;,&quot;given&quot;:&quot;Mengjie&quot;,&quot;non-dropping-particle&quot;:&quot;&quot;,&quot;parse-names&quot;:false,&quot;suffix&quot;:&quot;&quot;},{&quot;dropping-particle&quot;:&quot;&quot;,&quot;family&quot;:&quot;Xie&quot;,&quot;given&quot;:&quot;Kang&quot;,&quot;non-dropping-particle&quot;:&quot;&quot;,&quot;parse-names&quot;:false,&quot;suffix&quot;:&quot;&quot;},{&quot;dropping-particle&quot;:&quot;&quot;,&quot;family&quot;:&quot;Lv&quot;,&quot;given&quot;:&quot;Minghui&quot;,&quot;non-dropping-particle&quot;:&quot;&quot;,&quot;parse-names&quot;:false,&quot;suffix&quot;:&quot;&quot;},{&quot;dropping-particle&quot;:&quot;&quot;,&quot;family&quot;:&quot;Li&quot;,&quot;given&quot;:&quot;Jufei&quot;,&quot;non-dropping-particle&quot;:&quot;&quot;,&quot;parse-names&quot;:false,&quot;suffix&quot;:&quot;&quot;},{&quot;dropping-particle&quot;:&quot;&quot;,&quot;family&quot;:&quot;Yao&quot;,&quot;given&quot;:&quot;Jianyu&quot;,&quot;non-dropping-particle&quot;:&quot;&quot;,&quot;parse-names&quot;:false,&quot;suffix&quot;:&quot;&quot;},{&quot;dropping-particle&quot;:&quot;&quot;,&quot;family&quot;:&quot;Yan&quot;,&quot;given&quot;:&quot;Kaixuan&quot;,&quot;non-dropping-particle&quot;:&quot;&quot;,&quot;parse-names&quot;:false,&quot;suffix&quot;:&quot;&quot;},{&quot;dropping-particle&quot;:&quot;&quot;,&quot;family&quot;:&quot;Wu&quot;,&quot;given&quot;:&quot;Xiaoqin&quot;,&quot;non-dropping-particle&quot;:&quot;&quot;,&quot;parse-names&quot;:false,&quot;suffix&quot;:&quot;&quot;},{&quot;dropping-particle&quot;:&quot;&quot;,&quot;family&quot;:&quot;Xu&quot;,&quot;given&quot;:&quot;Ying&quot;,&quot;non-dropping-particle&quot;:&quot;&quot;,&quot;parse-names&quot;:false,&quot;suffix&quot;:&quot;&quot;},{&quot;dropping-particle&quot;:&quot;&quot;,&quot;family&quot;:&quot;Ye&quot;,&quot;given&quot;:&quot;Dewei&quot;,&quot;non-dropping-particle&quot;:&quot;&quot;,&quot;parse-names&quot;:false,&quot;suffix&quot;:&quot;&quot;}],&quot;container-title&quot;:&quot;Biomedicine and Pharmacotherapy&quot;,&quot;id&quot;:&quot;8337e691-f1d3-5e38-9cf8-b257d8295eef&quot;,&quot;issued&quot;:{&quot;date-parts&quot;:[[&quot;2021&quot;]]},&quot;title&quot;:&quot;Anti-inflammatory phytochemicals for the treatment of diabetes and its complications: Lessons learned and future promise&quot;,&quot;type&quot;:&quot;article-journal&quot;,&quot;volume&quot;:&quot;133&quot;},&quot;uris&quot;:[&quot;http://www.mendeley.com/documents/?uuid=64c0c0f7-289d-4d74-8c47-5a0fbe53b902&quot;],&quot;isTemporary&quot;:false,&quot;legacyDesktopId&quot;:&quot;64c0c0f7-289d-4d74-8c47-5a0fbe53b902&quot;}],&quot;properties&quot;:{&quot;noteIndex&quot;:0},&quot;isEdited&quot;:false,&quot;manualOverride&quot;:{&quot;citeprocText&quot;:&quot;[16]&quot;,&quot;isManuallyOverridden&quot;:false,&quot;manualOverrideText&quot;:&quot;&quot;},&quot;citationTag&quot;:&quot;MENDELEY_CITATION_v3_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&quot;},{&quot;citationID&quot;:&quot;MENDELEY_CITATION_7e160047-70a1-4e89-a684-8668dcc62399&quot;,&quot;citationItems&quot;:[{&quot;id&quot;:&quot;02157746-c2b5-5fd4-99b8-c7c8de72cf14&quot;,&quot;itemData&quot;:{&quot;abstract&quot;:&quot;The available drugs for diabetes, Insulin or Oral hypoglycemic agents have one or more side effects. Search for new antidiabetic drugs with minimal or no side effects from medicinal plants is a challenge according to WHO recommendations. In this aspect, the present work was undertaken to study indigenous plant Puerariatuberosa DC. (Fabaceae) is a perennial climber, commonly known as Vidarikand or Indian Kudzu. The tuber of P. tuberosa is used in indigenous system of Indian medicine as tonic, aphrodisiac, antirheumatic, diuretic and galactogogue. In the present study petroleum ether, chloroform, ethanol and aqueous extracts of P. tuberosa tubers were subjected to phytochemical investigation and evaluated for antidiabetic activity in Streptozotocin (STZ) induced diabetic rats. Dose selection was made on the basis of acute oral toxicity study (300-5000 mg/kg body weight) as per OECD guidelines. Oral glucose tolerance test was performed in experimental diabetic rats. Diabetes was induced by a single intraperitoneal injection of STZ (50 mg/kg b.w.). After STZ induction, the hyperglycemic rats were treated with all four extracts orally at the dose 500 mg/kg b.w. daily for 21 days. Glibenclamide (2.5 mg/kg b.w., p.o.) was used as reference drug. Fasting blood glucose level and changes in body weight were measured on days 0, 7, 14, and 21. Statistical analyses were performed using one-way ANOVA followed by Bonferronni's multiple comparison tests. Steroid, triterpenoid, glycoside, carbohydrate, alkaloids, flavanoid, tannin, protein and amino acid were found in the group tests. All the extracts at oral doses of 500 mg/kg b.w. significantly (p&lt;0.001) exhibited antidiabetic activity in STZ-induced diabetic rats by reducing and normalizing the elevated fasting BGL as compared to those of STZ control group. The ethanol and aqueous extracts were most active. This study concludes that P. tuberosa tuber confirmed promising antidiabetic activity in STZ-induced diabetic rats.&quot;,&quot;author&quot;:[{&quot;dropping-particle&quot;:&quot;&quot;,&quot;family&quot;:&quot;Tripathi&quot;,&quot;given&quot;:&quot;Akhilesh K&quot;,&quot;non-dropping-particle&quot;:&quot;&quot;,&quot;parse-names&quot;:false,&quot;suffix&quot;:&quot;&quot;},{&quot;dropping-particle&quot;:&quot;&quot;,&quot;family&quot;:&quot;Kohli&quot;,&quot;given&quot;:&quot;Seema&quot;,&quot;non-dropping-particle&quot;:&quot;&quot;,&quot;parse-names&quot;:false,&quot;suffix&quot;:&quot;&quot;}],&quot;container-title&quot;:&quot;Asian J. Med. Pharm. Res&quot;,&quot;id&quot;:&quot;02157746-c2b5-5fd4-99b8-c7c8de72cf14&quot;,&quot;issue&quot;:&quot;3&quot;,&quot;issued&quot;:{&quot;date-parts&quot;:[[&quot;2013&quot;]]},&quot;page&quot;:&quot;66-73&quot;,&quot;title&quot;:&quot;Anti-Diabetic Activity and Phytochemical Screening of Crude Extracts of PuerariaTuberosa DC. (FABACEAE) Grown in India on STZ -Induced Diabetic Rats&quot;,&quot;type&quot;:&quot;article-journal&quot;,&quot;volume&quot;:&quot;3&quot;},&quot;uris&quot;:[&quot;http://www.mendeley.com/documents/?uuid=5773aee9-e311-4e86-b31c-bfadf41ce323&quot;],&quot;isTemporary&quot;:false,&quot;legacyDesktopId&quot;:&quot;5773aee9-e311-4e86-b31c-bfadf41ce323&quot;}],&quot;properties&quot;:{&quot;noteIndex&quot;:0},&quot;isEdited&quot;:false,&quot;manualOverride&quot;:{&quot;citeprocText&quot;:&quot;[17]&quot;,&quot;isManuallyOverridden&quot;:false,&quot;manualOverrideText&quot;:&quot;&quot;},&quot;citationTag&quot;:&quot;MENDELEY_CITATION_v3_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&quot;},{&quot;citationID&quot;:&quot;MENDELEY_CITATION_e36ea523-cf35-4a8b-bbb2-4b84a827b7b2&quot;,&quot;citationItems&quot;:[{&quot;id&quot;:&quot;41250ce5-a553-5210-b52c-579d427bcffa&quot;,&quot;itemData&quot;:{&quot;DOI&quot;:&quot;10.1016/j.heliyon.2022.e08771&quot;,&quot;ISSN&quot;:&quot;24058440&quot;,&quot;abstract&quot;:&quot;Momordica dioica (M. dioica) is a gourd like blooming plant that is readily available in Bangladesh, requiring biological research to discover its therapeutic values. The goal of our research was to see if the ethanolic extract of this plant had any anti-hyperglycemic properties. Water, glibenclamide and M. dioica extracts were fed to Streptozocin induced type-2 diabetic rat models at a dose of 1.25 g/kg body weight (bw) for 28 days to see what kind of effects they had on serum glucose, insulin, liver glycogen and lipid contents. Except for the control group, all the groups followed a pattern of maintaining the body weight. The oral glucose tolerance test was observed to be improved in extract after 14 days of the experiment. When assessed with the control group, the M. dioica extract showed a significant (p = 0.0015) decrease in postprandial serum glucose level (M±SD, mmol/l, 13.23 ± 1.03 control Vs 11.47 ± 2.21 extract) at 120 min. The treatment of diabetic model rats with extract resulted in a 7% (p &lt; 0.0001) reduction in serum cholesterol levels. While subsequent 28 days of treatment, insulin levels were found to be lowered in all groups (from 246.76 to 200.44 pg/dL; p &lt; 0.0001 for standard and from 309.01 to 204.61 pg/dL; p &lt; 0.0001 for sample). The results revealed that prolonged administration of M. dioica improved the glycemic and lipidemic state of type-2 diabetic rats, implying that more research is needed to identify the active ingredient (s).&quot;,&quot;author&quot;:[{&quot;dropping-particle&quot;:&quot;&quot;,&quot;family&quot;:&quot;Hassan&quot;,&quot;given&quot;:&quot;Md Mynul&quot;,&quot;non-dropping-particle&quot;:&quot;&quot;,&quot;parse-names&quot;:false,&quot;suffix&quot;:&quot;&quot;},{&quot;dropping-particle&quot;:&quot;&quot;,&quot;family&quot;:&quot;Uddin&quot;,&quot;given&quot;:&quot;Shihab&quot;,&quot;non-dropping-particle&quot;:&quot;&quot;,&quot;parse-names&quot;:false,&quot;suffix&quot;:&quot;&quot;},{&quot;dropping-particle&quot;:&quot;&quot;,&quot;family&quot;:&quot;Bhowmik&quot;,&quot;given&quot;:&quot;Amrita&quot;,&quot;non-dropping-particle&quot;:&quot;&quot;,&quot;parse-names&quot;:false,&quot;suffix&quot;:&quot;&quot;},{&quot;dropping-particle&quot;:&quot;&quot;,&quot;family&quot;:&quot;Ashraf&quot;,&quot;given&quot;:&quot;Ayesha&quot;,&quot;non-dropping-particle&quot;:&quot;&quot;,&quot;parse-names&quot;:false,&quot;suffix&quot;:&quot;&quot;},{&quot;dropping-particle&quot;:&quot;&quot;,&quot;family&quot;:&quot;Islam&quot;,&quot;given&quot;:&quot;Md Mahmodul&quot;,&quot;non-dropping-particle&quot;:&quot;&quot;,&quot;parse-names&quot;:false,&quot;suffix&quot;:&quot;&quot;},{&quot;dropping-particle&quot;:&quot;&quot;,&quot;family&quot;:&quot;Rokeya&quot;,&quot;given&quot;:&quot;Begum&quot;,&quot;non-dropping-particle&quot;:&quot;&quot;,&quot;parse-names&quot;:false,&quot;suffix&quot;:&quot;&quot;}],&quot;container-title&quot;:&quot;Heliyon&quot;,&quot;id&quot;:&quot;41250ce5-a553-5210-b52c-579d427bcffa&quot;,&quot;issue&quot;:&quot;1&quot;,&quot;issued&quot;:{&quot;date-parts&quot;:[[&quot;2022&quot;]]},&quot;title&quot;:&quot;Phytochemical screening and antidiabetic effects of fruit rind of Momordica dioica roxb. on streptozocin induced type 2 diabetic rats&quot;,&quot;type&quot;:&quot;article-journal&quot;,&quot;volume&quot;:&quot;8&quot;},&quot;uris&quot;:[&quot;http://www.mendeley.com/documents/?uuid=282c18ef-a541-4b86-92fa-31023eed72ba&quot;],&quot;isTemporary&quot;:false,&quot;legacyDesktopId&quot;:&quot;282c18ef-a541-4b86-92fa-31023eed72ba&quot;}],&quot;properties&quot;:{&quot;noteIndex&quot;:0},&quot;isEdited&quot;:false,&quot;manualOverride&quot;:{&quot;citeprocText&quot;:&quot;[18]&quot;,&quot;isManuallyOverridden&quot;:false,&quot;manualOverrideText&quot;:&quot;&quot;},&quot;citationTag&quot;:&quot;MENDELEY_CITATION_v3_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&quot;},{&quot;citationID&quot;:&quot;MENDELEY_CITATION_028c720e-0a14-4260-937a-c73073380738&quot;,&quot;citationItems&quot;:[{&quot;id&quot;:&quot;4a7b3845-db8b-5af7-8414-6c5535821e5c&quot;,&quot;itemData&quot;:{&quot;author&quot;:[{&quot;dropping-particle&quot;:&quot;&quot;,&quot;family&quot;:&quot;Yasmin, A, Bukhari, S. A., Zahoor, M. K., Mustafa, G., &amp; Rasul&quot;,&quot;given&quot;:&quot;A&quot;,&quot;non-dropping-particle&quot;:&quot;&quot;,&quot;parse-names&quot;:false,&quot;suffix&quot;:&quot;&quot;}],&quot;container-title&quot;:&quot;Pakistan Journal of Pharmaceutical Sciences&quot;,&quot;id&quot;:&quot;4a7b3845-db8b-5af7-8414-6c5535821e5c&quot;,&quot;issued&quot;:{&quot;date-parts&quot;:[[&quot;2020&quot;]]},&quot;page&quot;:&quot;1245-1250&quot;,&quot;title&quot;:&quot;Screening of novel phytochemicals as secreted frizzled-related protein 4 inhibitors: an early stage biomarker of type 2 diabetes&quot;,&quot;type&quot;:&quot;article-journal&quot;,&quot;volume&quot;:&quot;33(3)&quot;},&quot;uris&quot;:[&quot;http://www.mendeley.com/documents/?uuid=f8308816-4aeb-4a40-9249-b0a2be8ecae7&quot;],&quot;isTemporary&quot;:false,&quot;legacyDesktopId&quot;:&quot;f8308816-4aeb-4a40-9249-b0a2be8ecae7&quot;}],&quot;properties&quot;:{&quot;noteIndex&quot;:0},&quot;isEdited&quot;:false,&quot;manualOverride&quot;:{&quot;citeprocText&quot;:&quot;[19]&quot;,&quot;isManuallyOverridden&quot;:false,&quot;manualOverrideText&quot;:&quot;&quot;},&quot;citationTag&quot;:&quot;MENDELEY_CITATION_v3_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&quot;},{&quot;citationID&quot;:&quot;MENDELEY_CITATION_4d110b19-f834-480c-bab0-1f4963d65480&quot;,&quot;citationItems&quot;:[{&quot;id&quot;:&quot;882c2f8c-ffb3-50a2-88c5-cfd2c7594ff4&quot;,&quot;itemData&quot;:{&quot;DOI&quot;:&quot;10.1007/978-3-030-04408-4_4&quot;,&quot;ISBN&quot;:&quot;9783030044084&quot;,&quot;author&quot;:[{&quot;dropping-particle&quot;:&quot;&quot;,&quot;family&quot;:&quot;Singh&quot;,&quot;given&quot;:&quot;Rajbala&quot;,&quot;non-dropping-particle&quot;:&quot;&quot;,&quot;parse-names&quot;:false,&quot;suffix&quot;:&quot;&quot;},{&quot;dropping-particle&quot;:&quot;&quot;,&quot;family&quot;:&quot;Kazmi&quot;,&quot;given&quot;:&quot;Imran&quot;,&quot;non-dropping-particle&quot;:&quot;&quot;,&quot;parse-names&quot;:false,&quot;suffix&quot;:&quot;&quot;},{&quot;dropping-particle&quot;:&quot;&quot;,&quot;family&quot;:&quot;Afzal&quot;,&quot;given&quot;:&quot;Muhammad&quot;,&quot;non-dropping-particle&quot;:&quot;&quot;,&quot;parse-names&quot;:false,&quot;suffix&quot;:&quot;&quot;},{&quot;dropping-particle&quot;:&quot;&quot;,&quot;family&quot;:&quot;Imam&quot;,&quot;given&quot;:&quot;Faisal&quot;,&quot;non-dropping-particle&quot;:&quot;&quot;,&quot;parse-names&quot;:false,&quot;suffix&quot;:&quot;&quot;},{&quot;dropping-particle&quot;:&quot;&quot;,&quot;family&quot;:&quot;Alharbi&quot;,&quot;given&quot;:&quot;Khalid Saad&quot;,&quot;non-dropping-particle&quot;:&quot;&quot;,&quot;parse-names&quot;:false,&quot;suffix&quot;:&quot;&quot;}],&quot;container-title&quot;:&quot;Plant and Human Health: Pharmacology and Therapeutic Uses&quot;,&quot;id&quot;:&quot;882c2f8c-ffb3-50a2-88c5-cfd2c7594ff4&quot;,&quot;issued&quot;:{&quot;date-parts&quot;:[[&quot;2019&quot;]]},&quot;page&quot;:&quot;65-86&quot;,&quot;title&quot;:&quot;Dietary phytochemicals and their potential effects on diabetes mellitus 2&quot;,&quot;type&quot;:&quot;article-journal&quot;,&quot;volume&quot;:&quot;3&quot;},&quot;uris&quot;:[&quot;http://www.mendeley.com/documents/?uuid=be847efa-a857-4b99-8848-43b933aafefd&quot;],&quot;isTemporary&quot;:false,&quot;legacyDesktopId&quot;:&quot;be847efa-a857-4b99-8848-43b933aafefd&quot;}],&quot;properties&quot;:{&quot;noteIndex&quot;:0},&quot;isEdited&quot;:false,&quot;manualOverride&quot;:{&quot;citeprocText&quot;:&quot;[20]&quot;,&quot;isManuallyOverridden&quot;:false,&quot;manualOverrideText&quot;:&quot;&quot;},&quot;citationTag&quot;:&quot;MENDELEY_CITATION_v3_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&quot;},{&quot;citationID&quot;:&quot;MENDELEY_CITATION_780288e2-bb0a-4a8e-af9f-7be107c314ba&quot;,&quot;citationItems&quot;:[{&quot;id&quot;:&quot;f22ceee6-585a-5f10-9f46-3da80c25040c&quot;,&quot;itemData&quot;:{&quot;DOI&quot;:&quot;10.1016/j.phrs.2011.07.004&quot;,&quot;ISSN&quot;:&quot;10961186&quot;,&quot;abstract&quot;:&quot;The incidence of obesity is rising at an alarming rate and is becoming a major public health concern with incalculable social costs. Indeed, obesity facilitates the development of metabolic disorders such as diabetes, hypertension, and cardiovascular diseases in addition to chronic diseases such as stroke, osteoarthritis, sleep apnea, some cancers, and inflammation-bases pathologies. In this review we summarize the progresses made in our understanding of obesity, including the role of inflammation process, the recently understood endocrine function of adipose tissue, as well as passive roles of processes of energy storage and adipogenesis related to fat cell lifecycle: differentiation, maturation, and apoptosis. In addition, the article discusses the anti-obesity potential of dietary phytochemicals and analyzes their mechanisms of action, e.g. induction of apoptosis and lipolysis and inhibition of inflammation. © 2011 Elsevier Ltd.&quot;,&quot;author&quot;:[{&quot;dropping-particle&quot;:&quot;&quot;,&quot;family&quot;:&quot;González-Castejón&quot;,&quot;given&quot;:&quot;Marta&quot;,&quot;non-dropping-particle&quot;:&quot;&quot;,&quot;parse-names&quot;:false,&quot;suffix&quot;:&quot;&quot;},{&quot;dropping-particle&quot;:&quot;&quot;,&quot;family&quot;:&quot;Rodriguez-Casado&quot;,&quot;given&quot;:&quot;Arantxa&quot;,&quot;non-dropping-particle&quot;:&quot;&quot;,&quot;parse-names&quot;:false,&quot;suffix&quot;:&quot;&quot;}],&quot;container-title&quot;:&quot;Pharmacological Research&quot;,&quot;id&quot;:&quot;f22ceee6-585a-5f10-9f46-3da80c25040c&quot;,&quot;issue&quot;:&quot;5&quot;,&quot;issued&quot;:{&quot;date-parts&quot;:[[&quot;2011&quot;]]},&quot;page&quot;:&quot;438-455&quot;,&quot;title&quot;:&quot;Dietary phytochemicals and their potential effects on obesity: A review&quot;,&quot;type&quot;:&quot;article-journal&quot;,&quot;volume&quot;:&quot;64&quot;},&quot;uris&quot;:[&quot;http://www.mendeley.com/documents/?uuid=84399c9c-89b4-4f2e-b8fb-515f8abc9a70&quot;],&quot;isTemporary&quot;:false,&quot;legacyDesktopId&quot;:&quot;84399c9c-89b4-4f2e-b8fb-515f8abc9a70&quot;}],&quot;properties&quot;:{&quot;noteIndex&quot;:0},&quot;isEdited&quot;:false,&quot;manualOverride&quot;:{&quot;citeprocText&quot;:&quot;[21]&quot;,&quot;isManuallyOverridden&quot;:false,&quot;manualOverrideText&quot;:&quot;&quot;},&quot;citationTag&quot;:&quot;MENDELEY_CITATION_v3_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&quot;},{&quot;citationID&quot;:&quot;MENDELEY_CITATION_8a070042-8f5a-422d-8e06-8e3364e77b1c&quot;,&quot;citationItems&quot;:[{&quot;id&quot;:&quot;230e7f5d-02f4-55da-b600-41f2abd5e812&quot;,&quot;itemData&quot;:{&quot;DOI&quot;:&quot;10.20307/nps.2021.27.2.99&quot;,&quot;ISSN&quot;:&quot;22889027&quot;,&quot;abstract&quot;:&quot;Type 2 diabetes mellitus (T2DM) and its complications are important noncommunicable diseases with high mortality rates. Protein tyrosine phosphatase 1B (PTP1B) and aldose reductase inhibitors are recently approached and advanced for T2DM and its complications therapy. Matricaria chamomilla L. is acknowledged as a worldwide medicinal herb that has many beneficial health effects as well as antidiabetic effects. Our research was designed to determine the most potential antidiabetic phytochemicals from M. chamomilla employing in silico study. 142 phytochemicals were obtained from the databases. The first screening employed iGEMdock and Swiss ADME, involving 93 phytochemicals. Finally, 30 best phytochemicals were docked. Molecular docking and visualization analysis were performed using Avogadro, AutoDock 4.2., and Biovia Discovery Studio 2016. Molecular docking results demonstrate that ligand-protein interaction's binding affinities were -5.16 to -7.54 kcal/ mol and -5.30 to -12.10 kcal/mol for PTP1B and aldose reductase protein targets respectively. In silico results demonstrate that M. chamomilla has potential antidiabetic phytochemical compounds for T2DM and its complications. We recommended anthecotulide, quercetin, chlorogenic acid, luteolin, and catechin as antidiabetic agents due to their binding affinities against both PTP1B and aldose reductase protein. Those phytochemicals' significant efficacy and potential as antidiabetic must be investigated in further advanced research.&quot;,&quot;author&quot;:[{&quot;dropping-particle&quot;:&quot;&quot;,&quot;family&quot;:&quot;Hariftyani&quot;,&quot;given&quot;:&quot;Arisvia Sukma&quot;,&quot;non-dropping-particle&quot;:&quot;&quot;,&quot;parse-names&quot;:false,&quot;suffix&quot;:&quot;&quot;},{&quot;dropping-particle&quot;:&quot;&quot;,&quot;family&quot;:&quot;Kurniawati&quot;,&quot;given&quot;:&quot;Lady Aqnes&quot;,&quot;non-dropping-particle&quot;:&quot;&quot;,&quot;parse-names&quot;:false,&quot;suffix&quot;:&quot;&quot;},{&quot;dropping-particle&quot;:&quot;&quot;,&quot;family&quot;:&quot;Khaerunnisa&quot;,&quot;given&quot;:&quot;Siti&quot;,&quot;non-dropping-particle&quot;:&quot;&quot;,&quot;parse-names&quot;:false,&quot;suffix&quot;:&quot;&quot;},{&quot;dropping-particle&quot;:&quot;&quot;,&quot;family&quot;:&quot;Veterini&quot;,&quot;given&quot;:&quot;Anna Surgean&quot;,&quot;non-dropping-particle&quot;:&quot;&quot;,&quot;parse-names&quot;:false,&quot;suffix&quot;:&quot;&quot;},{&quot;dropping-particle&quot;:&quot;&quot;,&quot;family&quot;:&quot;Setiawati&quot;,&quot;given&quot;:&quot;Yuani&quot;,&quot;non-dropping-particle&quot;:&quot;&quot;,&quot;parse-names&quot;:false,&quot;suffix&quot;:&quot;&quot;},{&quot;dropping-particle&quot;:&quot;&quot;,&quot;family&quot;:&quot;Awaluddin&quot;,&quot;given&quot;:&quot;Rizki&quot;,&quot;non-dropping-particle&quot;:&quot;&quot;,&quot;parse-names&quot;:false,&quot;suffix&quot;:&quot;&quot;}],&quot;container-title&quot;:&quot;Natural Product Sciences&quot;,&quot;id&quot;:&quot;230e7f5d-02f4-55da-b600-41f2abd5e812&quot;,&quot;issue&quot;:&quot;2&quot;,&quot;issued&quot;:{&quot;date-parts&quot;:[[&quot;2021&quot;]]},&quot;page&quot;:&quot;99-114&quot;,&quot;title&quot;:&quot;In silico analysis of potential antidiabetic phytochemicals from Matricaria chamomilla l. Against ptp1b and aldose reductase for type 2 diabetes mellitus and its complications&quot;,&quot;type&quot;:&quot;article-journal&quot;,&quot;volume&quot;:&quot;27&quot;},&quot;uris&quot;:[&quot;http://www.mendeley.com/documents/?uuid=960c4349-2dda-446a-8caf-cda53ad4769b&quot;],&quot;isTemporary&quot;:false,&quot;legacyDesktopId&quot;:&quot;960c4349-2dda-446a-8caf-cda53ad4769b&quot;}],&quot;properties&quot;:{&quot;noteIndex&quot;:0},&quot;isEdited&quot;:false,&quot;manualOverride&quot;:{&quot;citeprocText&quot;:&quot;[22]&quot;,&quot;isManuallyOverridden&quot;:false,&quot;manualOverrideText&quot;:&quot;&quot;},&quot;citationTag&quot;:&quot;MENDELEY_CITATION_v3_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&quot;},{&quot;citationID&quot;:&quot;MENDELEY_CITATION_9fc86e13-85e0-478b-bf60-fa9fc91274e7&quot;,&quot;citationItems&quot;:[{&quot;id&quot;:&quot;1009094a-ff04-52c2-bfa0-0bd66244874a&quot;,&quot;itemData&quot;:{&quot;DOI&quot;:&quot;10.5897/ajppx12.014&quot;,&quot;abstract&quot;:&quot;Spices are important food supplements and/or food products, which have been used as flavouring agents and preservatives for thousands of years in tropical Africa, Asia and other parts of the world. They are well known for their medicinal properties, and their use in traditional systems of medicine has been on record for a long time. Although, epidemiological and clinical studies have indicated that spices are important source of natural antioxidant having the digestive stimulant action, bioavailability enhancement nature, carminative attribute, antimicrobial activity, hypolipidemic property, antidiabetic influence, antioxidant capacity, anti-inflammatory ability, anticarcinogenic potential and neuroprotective effect. The present review reports the phytochemical constituents and mode of action of some tropical spices as antidiabetic and antihypertensive agents. The conclusion of this review may help in undertaking research for the development of functional foods and nutraceuticals.&quot;,&quot;author&quot;:[{&quot;dropping-particle&quot;:&quot;&quot;,&quot;family&quot;:&quot;Adefegha&quot;,&quot;given&quot;:&quot;Adeniyi&quot;,&quot;non-dropping-particle&quot;:&quot;&quot;,&quot;parse-names&quot;:false,&quot;suffix&quot;:&quot;&quot;}],&quot;container-title&quot;:&quot;African Journal of Pharmacy and Pharmacology&quot;,&quot;id&quot;:&quot;1009094a-ff04-52c2-bfa0-0bd66244874a&quot;,&quot;issue&quot;:&quot;7&quot;,&quot;issued&quot;:{&quot;date-parts&quot;:[[&quot;2013&quot;]]},&quot;page&quot;:&quot;332-346&quot;,&quot;title&quot;:&quot;Phytochemistry and mode of action of some tropical spices in the management of type-2 diabetes and hypertension&quot;,&quot;type&quot;:&quot;article-journal&quot;,&quot;volume&quot;:&quot;7&quot;},&quot;uris&quot;:[&quot;http://www.mendeley.com/documents/?uuid=1b5761c3-e2f8-43c6-99b3-afb2af80b6e6&quot;],&quot;isTemporary&quot;:false,&quot;legacyDesktopId&quot;:&quot;1b5761c3-e2f8-43c6-99b3-afb2af80b6e6&quot;}],&quot;properties&quot;:{&quot;noteIndex&quot;:0},&quot;isEdited&quot;:false,&quot;manualOverride&quot;:{&quot;citeprocText&quot;:&quot;[23]&quot;,&quot;isManuallyOverridden&quot;:false,&quot;manualOverrideText&quot;:&quot;&quot;},&quot;citationTag&quot;:&quot;MENDELEY_CITATION_v3_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&quot;},{&quot;citationID&quot;:&quot;MENDELEY_CITATION_402049f3-56cf-4ddd-8544-e3f4612df5cd&quot;,&quot;citationItems&quot;:[{&quot;id&quot;:&quot;335519f3-b6bd-5cdf-9f11-6893f2f404a8&quot;,&quot;itemData&quot;:{&quot;DOI&quot;:&quot;10.4172/2329-9533.1000139&quot;,&quot;author&quot;:[{&quot;dropping-particle&quot;:&quot;&quot;,&quot;family&quot;:&quot;Atere&quot;,&quot;given&quot;:&quot;Tope Gafar&quot;,&quot;non-dropping-particle&quot;:&quot;&quot;,&quot;parse-names&quot;:false,&quot;suffix&quot;:&quot;&quot;},{&quot;dropping-particle&quot;:&quot;&quot;,&quot;family&quot;:&quot;Akinloye&quot;,&quot;given&quot;:&quot;Oluseyi Adeboye&quot;,&quot;non-dropping-particle&quot;:&quot;&quot;,&quot;parse-names&quot;:false,&quot;suffix&quot;:&quot;&quot;},{&quot;dropping-particle&quot;:&quot;&quot;,&quot;family&quot;:&quot;Ugbaja&quot;,&quot;given&quot;:&quot;Regina Ngozi&quot;,&quot;non-dropping-particle&quot;:&quot;&quot;,&quot;parse-names&quot;:false,&quot;suffix&quot;:&quot;&quot;},{&quot;dropping-particle&quot;:&quot;&quot;,&quot;family&quot;:&quot;Ajiboye Ojo&quot;,&quot;given&quot;:&quot;David&quot;,&quot;non-dropping-particle&quot;:&quot;&quot;,&quot;parse-names&quot;:false,&quot;suffix&quot;:&quot;&quot;},{&quot;dropping-particle&quot;:&quot;&quot;,&quot;family&quot;:&quot;Samuel Metibemu&quot;,&quot;given&quot;:&quot;Damilohun&quot;,&quot;non-dropping-particle&quot;:&quot;&quot;,&quot;parse-names&quot;:false,&quot;suffix&quot;:&quot;&quot;},{&quot;dropping-particle&quot;:&quot;&quot;,&quot;family&quot;:&quot;Omotuyi&quot;,&quot;given&quot;:&quot;Idowu olaposi&quot;,&quot;non-dropping-particle&quot;:&quot;&quot;,&quot;parse-names&quot;:false,&quot;suffix&quot;:&quot;&quot;}],&quot;container-title&quot;:&quot;Journal of Applied Bioinformatics &amp; Computational Biology&quot;,&quot;id&quot;:&quot;335519f3-b6bd-5cdf-9f11-6893f2f404a8&quot;,&quot;issue&quot;:&quot;03&quot;,&quot;issued&quot;:{&quot;date-parts&quot;:[[&quot;2017&quot;]]},&quot;title&quot;:&quot;Molecular Interactions and Docking Studies of the Phytochemical Constituents of Costus Afer against Therapeutic Targets of Type 2 Diabetes.&quot;,&quot;type&quot;:&quot;article-journal&quot;,&quot;volume&quot;:&quot;06&quot;},&quot;uris&quot;:[&quot;http://www.mendeley.com/documents/?uuid=ead705cc-c00a-48c5-bd47-c40698edf476&quot;],&quot;isTemporary&quot;:false,&quot;legacyDesktopId&quot;:&quot;ead705cc-c00a-48c5-bd47-c40698edf476&quot;}],&quot;properties&quot;:{&quot;noteIndex&quot;:0},&quot;isEdited&quot;:false,&quot;manualOverride&quot;:{&quot;citeprocText&quot;:&quot;[24]&quot;,&quot;isManuallyOverridden&quot;:false,&quot;manualOverrideText&quot;:&quot;&quot;},&quot;citationTag&quot;:&quot;MENDELEY_CITATION_v3_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&quot;},{&quot;citationID&quot;:&quot;MENDELEY_CITATION_b6a07aa8-f7ef-4822-b448-dd46d7ae76b0&quot;,&quot;citationItems&quot;:[{&quot;id&quot;:&quot;42f27c36-84ec-5170-aa65-5cb8e437bb38&quot;,&quot;itemData&quot;:{&quot;DOI&quot;:&quot;10.1155/2018/1943203&quot;,&quot;ISSN&quot;:&quot;17414288&quot;,&quot;abstract&quot;:&quot;Fenugreek (Trigonella foenum-graecum) is used as a spice throughout the world. It is known for its medicinal properties such as antidiabetic, anticarcinogenic, and immunological activities. The present study shows the properties and the nutritional quality of fenugreek seed extract and focuses on screening of active compounds in drug designing for type 2 diabetes and breast cancer. Quantitative analysis was used to calculate the percentages of protein, carbohydrates moisture, fatty acid, galactomannan, oil, and amino acid. Phytochemical analysis revealed the presence of flavonoids, terpenoids, phenols, proteins, saponins, and tannins in fenugreek seed extracts. Molecular docking and molecular dynamics simulation-based computational drug discovery methods were employed to address the role of fenugreek seed constituents against type 2 diabetes and breast cancer. The computational results reveal that the compound galactomannan can be ascribed as potential drug candidate against breast cancer and type 2 diabetes rendered by higher molecular dock scores, stable molecular dynamics (MD) simulations results, and lower binding energy calculations.&quot;,&quot;author&quot;:[{&quot;dropping-particle&quot;:&quot;&quot;,&quot;family&quot;:&quot;Rampogu&quot;,&quot;given&quot;:&quot;Shailima&quot;,&quot;non-dropping-particle&quot;:&quot;&quot;,&quot;parse-names&quot;:false,&quot;suffix&quot;:&quot;&quot;},{&quot;dropping-particle&quot;:&quot;&quot;,&quot;family&quot;:&quot;Parameswaran&quot;,&quot;given&quot;:&quot;Saravanan&quot;,&quot;non-dropping-particle&quot;:&quot;&quot;,&quot;parse-names&quot;:false,&quot;suffix&quot;:&quot;&quot;},{&quot;dropping-particle&quot;:&quot;&quot;,&quot;family&quot;:&quot;Lemuel&quot;,&quot;given&quot;:&quot;Mary Rampogu&quot;,&quot;non-dropping-particle&quot;:&quot;&quot;,&quot;parse-names&quot;:false,&quot;suffix&quot;:&quot;&quot;},{&quot;dropping-particle&quot;:&quot;&quot;,&quot;family&quot;:&quot;Lee&quot;,&quot;given&quot;:&quot;Keun Woo&quot;,&quot;non-dropping-particle&quot;:&quot;&quot;,&quot;parse-names&quot;:false,&quot;suffix&quot;:&quot;&quot;}],&quot;container-title&quot;:&quot;Evidence-based Complementary and Alternative Medicine&quot;,&quot;id&quot;:&quot;42f27c36-84ec-5170-aa65-5cb8e437bb38&quot;,&quot;issued&quot;:{&quot;date-parts&quot;:[[&quot;2018&quot;]]},&quot;title&quot;:&quot;Exploring the Therapeutic Ability of Fenugreek against Type 2 Diabetes and Breast Cancer Employing Molecular Docking and Molecular Dynamics Simulations&quot;,&quot;type&quot;:&quot;article-journal&quot;,&quot;volume&quot;:&quot;2018&quot;},&quot;uris&quot;:[&quot;http://www.mendeley.com/documents/?uuid=7dcea2d1-7d58-4ef6-ad9d-0efb60126b8a&quot;],&quot;isTemporary&quot;:false,&quot;legacyDesktopId&quot;:&quot;7dcea2d1-7d58-4ef6-ad9d-0efb60126b8a&quot;}],&quot;properties&quot;:{&quot;noteIndex&quot;:0},&quot;isEdited&quot;:false,&quot;manualOverride&quot;:{&quot;citeprocText&quot;:&quot;[25]&quot;,&quot;isManuallyOverridden&quot;:false,&quot;manualOverrideText&quot;:&quot;&quot;},&quot;citationTag&quot;:&quot;MENDELEY_CITATION_v3_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&quot;},{&quot;citationID&quot;:&quot;MENDELEY_CITATION_ec644050-1cc8-40c3-b917-ec5c32e09bd6&quot;,&quot;citationItems&quot;:[{&quot;id&quot;:&quot;ff43d029-b864-5cea-af78-5b143698ef09&quot;,&quot;itemData&quot;:{&quot;DOI&quot;:&quot;10.14715/CMB/2021.67.5.3&quot;,&quot;ISSN&quot;:&quot;1165158X&quot;,&quot;PMID&quot;:&quot;35818276&quot;,&quot;abstract&quot;:&quot;The research aims to identify the inhibitory potential of natural dietary phytochemicals against non-insulinotropic target protein alpha-glucosidase and its possible implications to diabetes mellitus type 2. A data set of sixteen plant-derived dietary molecules viz., 4,5-dimethyl-3-hydroxy-2(5H)-furanone, apigenin, bromelain, caffeic acid, cholecalciferol, dihydrokaempferol 7-o-glucopyranoside, galactomannan, genkwanin, isoimperatorin, luteolin, luteolin 7-o-glucoside, neohesperidin, oleanoic acid, pelargonidin-3-rutinoside, quercetin, and quinic acid were taken to accomplish molecular docking succeeded by their comparison with known inhibitors including acarbose, miglitol, voglibose, emiglitate, and 1-deoxynojirimycin. Among all phyto-compounds, bromelain (ΔG: -9.54 kcal/mol), cholecalciferol (-8.47 kcal/mol), luteolin (-9.02 kcal/mol), and neohesperidin (-8.53 kcal/mol) demonstrated better binding interactions with alpha-glucosidase in comparison to the best-known inhibitor, acarbose (ΔG: -7.93 kcal/mol). Molecular dynamics simulation of 10 ns duration, CYP450 site of metabolism identification, and prediction of activity spectra for substances depicted the bromelain as the most stable inhibitor compared to luteolin and acarbose. Findings of molecular interactions, molecular dynamics study, metabolism, and biological activity prediction proved bromelain as a potential alpha-glucosidase inhibitor. Thus, bromelain might be helpful as an insulin-independent therapeutic molecule towards controlling and managing diabetes mellitus type 2.&quot;,&quot;author&quot;:[{&quot;dropping-particle&quot;:&quot;&quot;,&quot;family&quot;:&quot;Kausar&quot;,&quot;given&quot;:&quot;Mohd Adnan&quot;,&quot;non-dropping-particle&quot;:&quot;&quot;,&quot;parse-names&quot;:false,&quot;suffix&quot;:&quot;&quot;},{&quot;dropping-particle&quot;:&quot;&quot;,&quot;family&quot;:&quot;Shahid&quot;,&quot;given&quot;:&quot;S. M.A.&quot;,&quot;non-dropping-particle&quot;:&quot;&quot;,&quot;parse-names&quot;:false,&quot;suffix&quot;:&quot;&quot;},{&quot;dropping-particle&quot;:&quot;&quot;,&quot;family&quot;:&quot;Anwar&quot;,&quot;given&quot;:&quot;Sadaf&quot;,&quot;non-dropping-particle&quot;:&quot;&quot;,&quot;parse-names&quot;:false,&quot;suffix&quot;:&quot;&quot;},{&quot;dropping-particle&quot;:&quot;&quot;,&quot;family&quot;:&quot;Kuddus&quot;,&quot;given&quot;:&quot;M.&quot;,&quot;non-dropping-particle&quot;:&quot;&quot;,&quot;parse-names&quot;:false,&quot;suffix&quot;:&quot;&quot;},{&quot;dropping-particle&quot;:&quot;&quot;,&quot;family&quot;:&quot;Khan&quot;,&quot;given&quot;:&quot;Mohammad Kalim Ahmad&quot;,&quot;non-dropping-particle&quot;:&quot;&quot;,&quot;parse-names&quot;:false,&quot;suffix&quot;:&quot;&quot;},{&quot;dropping-particle&quot;:&quot;&quot;,&quot;family&quot;:&quot;Khalifa&quot;,&quot;given&quot;:&quot;Amany Mohammed&quot;,&quot;non-dropping-particle&quot;:&quot;&quot;,&quot;parse-names&quot;:false,&quot;suffix&quot;:&quot;&quot;},{&quot;dropping-particle&quot;:&quot;&quot;,&quot;family&quot;:&quot;Khatoon&quot;,&quot;given&quot;:&quot;Fahmida&quot;,&quot;non-dropping-particle&quot;:&quot;&quot;,&quot;parse-names&quot;:false,&quot;suffix&quot;:&quot;&quot;},{&quot;dropping-particle&quot;:&quot;&quot;,&quot;family&quot;:&quot;Alotaibi&quot;,&quot;given&quot;:&quot;Abdullah D.&quot;,&quot;non-dropping-particle&quot;:&quot;&quot;,&quot;parse-names&quot;:false,&quot;suffix&quot;:&quot;&quot;},{&quot;dropping-particle&quot;:&quot;&quot;,&quot;family&quot;:&quot;Alkhodairy&quot;,&quot;given&quot;:&quot;Salman F.&quot;,&quot;non-dropping-particle&quot;:&quot;&quot;,&quot;parse-names&quot;:false,&quot;suffix&quot;:&quot;&quot;},{&quot;dropping-particle&quot;:&quot;&quot;,&quot;family&quot;:&quot;Snoussi&quot;,&quot;given&quot;:&quot;Mejdi&quot;,&quot;non-dropping-particle&quot;:&quot;&quot;,&quot;parse-names&quot;:false,&quot;suffix&quot;:&quot;&quot;},{&quot;dropping-particle&quot;:&quot;&quot;,&quot;family&quot;:&quot;Arif&quot;,&quot;given&quot;:&quot;Jamal M.&quot;,&quot;non-dropping-particle&quot;:&quot;&quot;,&quot;parse-names&quot;:false,&quot;suffix&quot;:&quot;&quot;}],&quot;container-title&quot;:&quot;Cellular and Molecular Biology&quot;,&quot;id&quot;:&quot;ff43d029-b864-5cea-af78-5b143698ef09&quot;,&quot;issue&quot;:&quot;5&quot;,&quot;issued&quot;:{&quot;date-parts&quot;:[[&quot;2021&quot;]]},&quot;page&quot;:&quot;16-26&quot;,&quot;title&quot;:&quot;Identifying the alpha-glucosidase inhibitory potential of dietary phytochemicals against diabetes mellitus type 2 via molecular interactions and dynamics simulation&quot;,&quot;type&quot;:&quot;article-journal&quot;,&quot;volume&quot;:&quot;67&quot;},&quot;uris&quot;:[&quot;http://www.mendeley.com/documents/?uuid=2a1ed5d7-851c-438e-8ea0-525ad6499cfd&quot;],&quot;isTemporary&quot;:false,&quot;legacyDesktopId&quot;:&quot;2a1ed5d7-851c-438e-8ea0-525ad6499cfd&quot;}],&quot;properties&quot;:{&quot;noteIndex&quot;:0},&quot;isEdited&quot;:false,&quot;manualOverride&quot;:{&quot;citeprocText&quot;:&quot;[26]&quot;,&quot;isManuallyOverridden&quot;:false,&quot;manualOverrideText&quot;:&quot;&quot;},&quot;citationTag&quot;:&quot;MENDELEY_CITATION_v3_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&quot;},{&quot;citationID&quot;:&quot;MENDELEY_CITATION_23cb0994-1bc6-46e4-880f-bf24acc93f3f&quot;,&quot;citationItems&quot;:[{&quot;id&quot;:&quot;d4e76183-4535-5b46-8f24-babb78bb6f22&quot;,&quot;itemData&quot;:{&quot;DOI&quot;:&quot;10.4108/eai.17-7-2021.2312400&quot;,&quot;author&quot;:[{&quot;dropping-particle&quot;:&quot;&quot;,&quot;family&quot;:&quot;Sari&quot;,&quot;given&quot;:&quot;Yustika&quot;,&quot;non-dropping-particle&quot;:&quot;&quot;,&quot;parse-names&quot;:false,&quot;suffix&quot;:&quot;&quot;},{&quot;dropping-particle&quot;:&quot;&quot;,&quot;family&quot;:&quot;Indarto&quot;,&quot;given&quot;:&quot;Dono&quot;,&quot;non-dropping-particle&quot;:&quot;&quot;,&quot;parse-names&quot;:false,&quot;suffix&quot;:&quot;&quot;},{&quot;dropping-particle&quot;:&quot;&quot;,&quot;family&quot;:&quot;Wasita&quot;,&quot;given&quot;:&quot;Brian&quot;,&quot;non-dropping-particle&quot;:&quot;&quot;,&quot;parse-names&quot;:false,&quot;suffix&quot;:&quot;&quot;}],&quot;id&quot;:&quot;d4e76183-4535-5b46-8f24-babb78bb6f22&quot;,&quot;issued&quot;:{&quot;date-parts&quot;:[[&quot;2021&quot;]]},&quot;title&quot;:&quot;Identification of Epicatechin Gallate and Other Phytochemicals in Methanol Extract of Fresh and Dried Star-Fruits (Averrhoa carambola Linn.) for Treatment of Type 2 Diabetes Mellitus&quot;,&quot;type&quot;:&quot;article-journal&quot;},&quot;uris&quot;:[&quot;http://www.mendeley.com/documents/?uuid=bc11e55d-74b2-4a89-bae4-e74e4dff365e&quot;],&quot;isTemporary&quot;:false,&quot;legacyDesktopId&quot;:&quot;bc11e55d-74b2-4a89-bae4-e74e4dff365e&quot;}],&quot;properties&quot;:{&quot;noteIndex&quot;:0},&quot;isEdited&quot;:false,&quot;manualOverride&quot;:{&quot;citeprocText&quot;:&quot;[27]&quot;,&quot;isManuallyOverridden&quot;:false,&quot;manualOverrideText&quot;:&quot;&quot;},&quot;citationTag&quot;:&quot;MENDELEY_CITATION_v3_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&quot;},{&quot;citationID&quot;:&quot;MENDELEY_CITATION_72bf05b1-b436-4b53-be94-9573f3c3e75d&quot;,&quot;citationItems&quot;:[{&quot;id&quot;:&quot;7c82c2bc-dbab-57b7-9cd3-3cd6019cb1f8&quot;,&quot;itemData&quot;:{&quot;DOI&quot;:&quot;10.2174/1573399814666181031103930&quot;,&quot;ISSN&quot;:&quot;15733998&quot;,&quot;PMID&quot;:&quot;30378500&quot;,&quot;abstract&quot;:&quot;Background: Over the past decades, the development and use of an array of prescription medications have considerably improved the clinical management of type 2 diabetes mellitus and the quality of life of patients. However, as our knowledge of the associated risk factors and approaches to its management increases, the increasing roles of diet and the composition of the diet in the etiology and successful management of diabetes mellitus are being illuminated. Presently, a lot of attention is being given to nutraceuticals and certain phytochemicals that are integral parts of the human diet. It is believed that a clearer understanding of their roles may be crucial to 'non-invasive' or minimallyintrusive management, with regards to daily living of patients. In this review, an overview of nutraceutical components and phytochemicals that may be of benefit, or had been known to be beneficial in diabetes mellitus is given. Also, how the roles of such dietary components are evolving in the management of this disorder is highlighted. Lastly, the obstacles that need to be overcome before nutraceuticals can be considered as options for the clinical management of diabetes mellitus areconsidered. Conclusion: Despite studies that demonstrate their efficacy, no nutraceutical or food-derived compound has been formally adopted as a direct replacement for any class of antidiabetic drugs.&quot;,&quot;author&quot;:[{&quot;dropping-particle&quot;:&quot;&quot;,&quot;family&quot;:&quot;Onaolapo&quot;,&quot;given&quot;:&quot;Adejoke Yetunde&quot;,&quot;non-dropping-particle&quot;:&quot;&quot;,&quot;parse-names&quot;:false,&quot;suffix&quot;:&quot;&quot;},{&quot;dropping-particle&quot;:&quot;&quot;,&quot;family&quot;:&quot;Onaolapo&quot;,&quot;given&quot;:&quot;Olakunle James&quot;,&quot;non-dropping-particle&quot;:&quot;&quot;,&quot;parse-names&quot;:false,&quot;suffix&quot;:&quot;&quot;}],&quot;container-title&quot;:&quot;Current Diabetes Reviews&quot;,&quot;id&quot;:&quot;7c82c2bc-dbab-57b7-9cd3-3cd6019cb1f8&quot;,&quot;issue&quot;:&quot;1&quot;,&quot;issued&quot;:{&quot;date-parts&quot;:[[&quot;2018&quot;]]},&quot;page&quot;:&quot;12-25&quot;,&quot;title&quot;:&quot;Nutraceuticals and Diet-based Phytochemicals in Type 2 Diabetes Mellitus: From Whole Food to Components with Defined Roles and Mechanisms&quot;,&quot;type&quot;:&quot;article-journal&quot;,&quot;volume&quot;:&quot;16&quot;},&quot;uris&quot;:[&quot;http://www.mendeley.com/documents/?uuid=bab44d73-49cc-46ad-91ac-7057572ba902&quot;],&quot;isTemporary&quot;:false,&quot;legacyDesktopId&quot;:&quot;bab44d73-49cc-46ad-91ac-7057572ba902&quot;}],&quot;properties&quot;:{&quot;noteIndex&quot;:0},&quot;isEdited&quot;:false,&quot;manualOverride&quot;:{&quot;citeprocText&quot;:&quot;[28]&quot;,&quot;isManuallyOverridden&quot;:false,&quot;manualOverrideText&quot;:&quot;&quot;},&quot;citationTag&quot;:&quot;MENDELEY_CITATION_v3_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&quot;},{&quot;citationID&quot;:&quot;MENDELEY_CITATION_7e73aaf3-d3e1-4bc8-8b3b-01a3f4a5788b&quot;,&quot;citationItems&quot;:[{&quot;id&quot;:&quot;ee737c3f-d081-515f-93a1-550c58e55acd&quot;,&quot;itemData&quot;:{&quot;DOI&quot;:&quot;10.1186/1475-2891-12-62&quot;,&quot;ISSN&quot;:&quot;14752891&quot;,&quot;PMID&quot;:&quot;23679924&quot;,&quot;abstract&quot;:&quot;Diets high in wholegrains are associated with a 20-30% reduction in risk of developing type-2 diabetes (T2D), which is attributed to a variety of wholegrain components, notably dietary fibre, vitamins, minerals and phytochemicals. Most phytochemicals function as antioxidants in vitro and have the potential to mitigate oxidative stress and inflammation which are implicated in the pathogenesis of T2D. In this review we compare the content and bioavailability of phytochemicals in wheat, barley, rice, rye and oat varieties and critically evaluate the evidence for wholegrain cereals and cereal fractions increasing plasma phytochemical concentrations and reducing oxidative stress and inflammation in humans. Phytochemical content varies considerably within and among the major cereal varieties. Differences in genetics and agro-climatic conditions explain much of the variation. For a number of the major phytochemicals, such as phenolics and flavanoids, their content in grains may be high but because these compounds are tightly bound to the cell wall matrix, their bioavailability is often limited. Clinical trials show that postprandial plasma phenolic concentrations are increased after consumption of wholegrain wheat or wheat bran however the magnitude of the response is usually modest and transient. Whether this is sufficient to bolster antioxidant defences and translates into improved health outcomes is still uncertain. Increased phytochemical bioavailability may be achieved through bio-processing of grains but the improvements so far are small and have not yet led to changes in clinical or physiological markers associated with reduced risk of T2D. Furthermore, the effect of wholegrain cereals and cereal fractions on biomarkers of oxidative stress or strengthening antioxidant defence in healthy individuals is generally small or nonexistent, whereas biomarkers of systemic inflammation tend to be reduced in people consuming high intakes of wholegrains. Future dietary intervention studies seeking to establish a direct role of phytochemicals in mediating the metabolic health benefits of wholegrains, and their potential for mitigating disease progression, should consider using varieties that deliver the highest possible levels of bioavailable phytochemicals in the context of whole foods and diets. Both postprandial and prolonged responses in systemic phytochemical concentrations and markers of inflammation and oxidative stress should be assessed along with changes r…&quot;,&quot;author&quot;:[{&quot;dropping-particle&quot;:&quot;&quot;,&quot;family&quot;:&quot;Belobrajdic&quot;,&quot;given&quot;:&quot;Damien P.&quot;,&quot;non-dropping-particle&quot;:&quot;&quot;,&quot;parse-names&quot;:false,&quot;suffix&quot;:&quot;&quot;},{&quot;dropping-particle&quot;:&quot;&quot;,&quot;family&quot;:&quot;Bird&quot;,&quot;given&quot;:&quot;Anthony R.&quot;,&quot;non-dropping-particle&quot;:&quot;&quot;,&quot;parse-names&quot;:false,&quot;suffix&quot;:&quot;&quot;}],&quot;container-title&quot;:&quot;Nutrition Journal&quot;,&quot;id&quot;:&quot;ee737c3f-d081-515f-93a1-550c58e55acd&quot;,&quot;issue&quot;:&quot;1&quot;,&quot;issued&quot;:{&quot;date-parts&quot;:[[&quot;2013&quot;]]},&quot;title&quot;:&quot;The potential role of phytochemicals in wholegrain cereals for the prevention of type-2 diabetes&quot;,&quot;type&quot;:&quot;article-journal&quot;,&quot;volume&quot;:&quot;12&quot;},&quot;uris&quot;:[&quot;http://www.mendeley.com/documents/?uuid=5919626a-887e-4841-8bba-e3448d240eca&quot;],&quot;isTemporary&quot;:false,&quot;legacyDesktopId&quot;:&quot;5919626a-887e-4841-8bba-e3448d240eca&quot;}],&quot;properties&quot;:{&quot;noteIndex&quot;:0},&quot;isEdited&quot;:false,&quot;manualOverride&quot;:{&quot;citeprocText&quot;:&quot;[29]&quot;,&quot;isManuallyOverridden&quot;:false,&quot;manualOverrideText&quot;:&quot;&quot;},&quot;citationTag&quot;:&quot;MENDELEY_CITATION_v3_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&quot;},{&quot;citationID&quot;:&quot;MENDELEY_CITATION_85de83c0-8f19-41b0-8f44-774c4b5f5157&quot;,&quot;citationItems&quot;:[{&quot;id&quot;:&quot;436fba35-e3ee-5830-ba38-3f0ff73995f0&quot;,&quot;itemData&quot;:{&quot;DOI&quot;:&quot;10.1515/jbcpp-2013-0002&quot;,&quot;ISSN&quot;:&quot;21910286&quot;,&quot;PMID&quot;:&quot;23740684&quot;,&quot;abstract&quot;:&quot;Background: Various parts of unripe pawpaw (Carica papaya Linn) fruit have been reportedly used for the management or treatment of diabetes mellitus in folklore medicine. Therefore, the present study sought to investigate the inhibitory effects of the aqueous extract of different parts of unripe pawpaw fruit on key enzymes linked to type 2 diabetes (α-amylase and α-glucosidase) and sodium nitroprusside (SNP)-induced lipid peroxidation in rat pancreas in vitro. Methods: The aqueous extracts of the unripe pawpaw (C. papaya) fruit parts were prepared (1:20 w/v) and the ability of the extracts to inhibit α-amylase, α-glucosidase and SNP-induced lipid peroxidation in rat pancreas in vitro was investigated. Results: The results revealed that all the extracts inhibited α-amylase (IC&lt;inf&gt;50&lt;/inf&gt;=0.87-1.11 mg/mL), α-glucosidase (IC&lt;inf&gt;50&lt;/inf&gt;=1.76-2.64 mg/mL) and SNP-induced lipid peroxidation (IC&lt;inf&gt;50&lt;/inf&gt; =1.99-2.42 mg/mL) in a dose-dependent manner. However, combination of the flesh, seed and peel in equal amounts had the highest inhibitory effect on α-amylase andα-glucosidase activities. Conclusions: Strong inhibitory activities of the unripe pawpaw fruit against key enzymes linked to type 2 diabetes and SNP-induced lipid peroxidation in rat pancreas could be part of the mechanism by which unripe pawpaw is used in the management/prevention of diabetes mellitus in folk medicine. However, combining the unripe pawpaw fruit parts in equal amounts exhibited synergistic properties on α-amylase and α-glucosidase inhibitory activities.&quot;,&quot;author&quot;:[{&quot;dropping-particle&quot;:&quot;&quot;,&quot;family&quot;:&quot;Oboh&quot;,&quot;given&quot;:&quot;Ganiyu&quot;,&quot;non-dropping-particle&quot;:&quot;&quot;,&quot;parse-names&quot;:false,&quot;suffix&quot;:&quot;&quot;},{&quot;dropping-particle&quot;:&quot;&quot;,&quot;family&quot;:&quot;Olabiyi&quot;,&quot;given&quot;:&quot;Ayodeji A.&quot;,&quot;non-dropping-particle&quot;:&quot;&quot;,&quot;parse-names&quot;:false,&quot;suffix&quot;:&quot;&quot;},{&quot;dropping-particle&quot;:&quot;&quot;,&quot;family&quot;:&quot;Akinyemi&quot;,&quot;given&quot;:&quot;Ayodele J.&quot;,&quot;non-dropping-particle&quot;:&quot;&quot;,&quot;parse-names&quot;:false,&quot;suffix&quot;:&quot;&quot;},{&quot;dropping-particle&quot;:&quot;&quot;,&quot;family&quot;:&quot;Ademiluyi&quot;,&quot;given&quot;:&quot;Adedayo O.&quot;,&quot;non-dropping-particle&quot;:&quot;&quot;,&quot;parse-names&quot;:false,&quot;suffix&quot;:&quot;&quot;}],&quot;container-title&quot;:&quot;Journal of Basic and Clinical Physiology and Pharmacology&quot;,&quot;id&quot;:&quot;436fba35-e3ee-5830-ba38-3f0ff73995f0&quot;,&quot;issue&quot;:&quot;1&quot;,&quot;issued&quot;:{&quot;date-parts&quot;:[[&quot;2014&quot;]]},&quot;page&quot;:&quot;21-34&quot;,&quot;title&quot;:&quot;Inhibition of key enzymes linked to type 2 diabetes and sodium nitroprusside-induced lipid peroxidation in rat pancreas by water-extractable phytochemicals from unripe pawpaw fruit (carica papaya)&quot;,&quot;type&quot;:&quot;article-journal&quot;,&quot;volume&quot;:&quot;25&quot;},&quot;uris&quot;:[&quot;http://www.mendeley.com/documents/?uuid=b490406a-df82-4c42-bb41-316ad3cbc41e&quot;],&quot;isTemporary&quot;:false,&quot;legacyDesktopId&quot;:&quot;b490406a-df82-4c42-bb41-316ad3cbc41e&quot;}],&quot;properties&quot;:{&quot;noteIndex&quot;:0},&quot;isEdited&quot;:false,&quot;manualOverride&quot;:{&quot;citeprocText&quot;:&quot;[30]&quot;,&quot;isManuallyOverridden&quot;:false,&quot;manualOverrideText&quot;:&quot;&quot;},&quot;citationTag&quot;:&quot;MENDELEY_CITATION_v3_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&quot;},{&quot;citationID&quot;:&quot;MENDELEY_CITATION_bdc4defd-8292-419b-b2d3-e34053db30c1&quot;,&quot;properties&quot;:{&quot;noteIndex&quot;:0},&quot;isEdited&quot;:false,&quot;manualOverride&quot;:{&quot;isManuallyOverridden&quot;:false,&quot;citeprocText&quot;:&quot;[31]&quot;,&quot;manualOverrideText&quot;:&quot;&quot;},&quot;citationItems&quot;:[{&quot;id&quot;:&quot;fa0fe183-aba6-32dc-a39e-1cc2e9a74390&quot;,&quot;itemData&quot;:{&quot;type&quot;:&quot;article-journal&quot;,&quot;id&quot;:&quot;fa0fe183-aba6-32dc-a39e-1cc2e9a74390&quot;,&quot;title&quot;:&quot;DrugBank 6.0: the DrugBank Knowledgebase for 2024&quot;,&quot;author&quot;:[{&quot;family&quot;:&quot;Knox&quot;,&quot;given&quot;:&quot;Craig&quot;,&quot;parse-names&quot;:false,&quot;dropping-particle&quot;:&quot;&quot;,&quot;non-dropping-particle&quot;:&quot;&quot;},{&quot;family&quot;:&quot;Wilson&quot;,&quot;given&quot;:&quot;Mike&quot;,&quot;parse-names&quot;:false,&quot;dropping-particle&quot;:&quot;&quot;,&quot;non-dropping-particle&quot;:&quot;&quot;},{&quot;family&quot;:&quot;Klinger&quot;,&quot;given&quot;:&quot;Christen M.&quot;,&quot;parse-names&quot;:false,&quot;dropping-particle&quot;:&quot;&quot;,&quot;non-dropping-particle&quot;:&quot;&quot;},{&quot;family&quot;:&quot;Franklin&quot;,&quot;given&quot;:&quot;Mark&quot;,&quot;parse-names&quot;:false,&quot;dropping-particle&quot;:&quot;&quot;,&quot;non-dropping-particle&quot;:&quot;&quot;},{&quot;family&quot;:&quot;Oler&quot;,&quot;given&quot;:&quot;Eponine&quot;,&quot;parse-names&quot;:false,&quot;dropping-particle&quot;:&quot;&quot;,&quot;non-dropping-particle&quot;:&quot;&quot;},{&quot;family&quot;:&quot;Wilson&quot;,&quot;given&quot;:&quot;Alex&quot;,&quot;parse-names&quot;:false,&quot;dropping-particle&quot;:&quot;&quot;,&quot;non-dropping-particle&quot;:&quot;&quot;},{&quot;family&quot;:&quot;Pon&quot;,&quot;given&quot;:&quot;Allison&quot;,&quot;parse-names&quot;:false,&quot;dropping-particle&quot;:&quot;&quot;,&quot;non-dropping-particle&quot;:&quot;&quot;},{&quot;family&quot;:&quot;Cox&quot;,&quot;given&quot;:&quot;Jordan&quot;,&quot;parse-names&quot;:false,&quot;dropping-particle&quot;:&quot;&quot;,&quot;non-dropping-particle&quot;:&quot;&quot;},{&quot;family&quot;:&quot;Chin&quot;,&quot;given&quot;:&quot;Na Eun Lucy&quot;,&quot;parse-names&quot;:false,&quot;dropping-particle&quot;:&quot;&quot;,&quot;non-dropping-particle&quot;:&quot;&quot;},{&quot;family&quot;:&quot;Strawbridge&quot;,&quot;given&quot;:&quot;Seth A.&quot;,&quot;parse-names&quot;:false,&quot;dropping-particle&quot;:&quot;&quot;,&quot;non-dropping-particle&quot;:&quot;&quot;},{&quot;family&quot;:&quot;Garcia-Patino&quot;,&quot;given&quot;:&quot;Marysol&quot;,&quot;parse-names&quot;:false,&quot;dropping-particle&quot;:&quot;&quot;,&quot;non-dropping-particle&quot;:&quot;&quot;},{&quot;family&quot;:&quot;Kruger&quot;,&quot;given&quot;:&quot;Ray&quot;,&quot;parse-names&quot;:false,&quot;dropping-particle&quot;:&quot;&quot;,&quot;non-dropping-particle&quot;:&quot;&quot;},{&quot;family&quot;:&quot;Sivakumaran&quot;,&quot;given&quot;:&quot;Aadhavya&quot;,&quot;parse-names&quot;:false,&quot;dropping-particle&quot;:&quot;&quot;,&quot;non-dropping-particle&quot;:&quot;&quot;},{&quot;family&quot;:&quot;Sanford&quot;,&quot;given&quot;:&quot;Selena&quot;,&quot;parse-names&quot;:false,&quot;dropping-particle&quot;:&quot;&quot;,&quot;non-dropping-particle&quot;:&quot;&quot;},{&quot;family&quot;:&quot;Doshi&quot;,&quot;given&quot;:&quot;Rahil&quot;,&quot;parse-names&quot;:false,&quot;dropping-particle&quot;:&quot;&quot;,&quot;non-dropping-particle&quot;:&quot;&quot;},{&quot;family&quot;:&quot;Khetarpal&quot;,&quot;given&quot;:&quot;Nitya&quot;,&quot;parse-names&quot;:false,&quot;dropping-particle&quot;:&quot;&quot;,&quot;non-dropping-particle&quot;:&quot;&quot;},{&quot;family&quot;:&quot;Fatokun&quot;,&quot;given&quot;:&quot;Omolola&quot;,&quot;parse-names&quot;:false,&quot;dropping-particle&quot;:&quot;&quot;,&quot;non-dropping-particle&quot;:&quot;&quot;},{&quot;family&quot;:&quot;Doucet&quot;,&quot;given&quot;:&quot;Daphnee&quot;,&quot;parse-names&quot;:false,&quot;dropping-particle&quot;:&quot;&quot;,&quot;non-dropping-particle&quot;:&quot;&quot;},{&quot;family&quot;:&quot;Zubkowski&quot;,&quot;given&quot;:&quot;Ashley&quot;,&quot;parse-names&quot;:false,&quot;dropping-particle&quot;:&quot;&quot;,&quot;non-dropping-particle&quot;:&quot;&quot;},{&quot;family&quot;:&quot;Rayat&quot;,&quot;given&quot;:&quot;Dorsa Yahya&quot;,&quot;parse-names&quot;:false,&quot;dropping-particle&quot;:&quot;&quot;,&quot;non-dropping-particle&quot;:&quot;&quot;},{&quot;family&quot;:&quot;Jackson&quot;,&quot;given&quot;:&quot;Hayley&quot;,&quot;parse-names&quot;:false,&quot;dropping-particle&quot;:&quot;&quot;,&quot;non-dropping-particle&quot;:&quot;&quot;},{&quot;family&quot;:&quot;Harford&quot;,&quot;given&quot;:&quot;Karxena&quot;,&quot;parse-names&quot;:false,&quot;dropping-particle&quot;:&quot;&quot;,&quot;non-dropping-particle&quot;:&quot;&quot;},{&quot;family&quot;:&quot;Anjum&quot;,&quot;given&quot;:&quot;Afia&quot;,&quot;parse-names&quot;:false,&quot;dropping-particle&quot;:&quot;&quot;,&quot;non-dropping-particle&quot;:&quot;&quot;},{&quot;family&quot;:&quot;Zakir&quot;,&quot;given&quot;:&quot;Mahi&quot;,&quot;parse-names&quot;:false,&quot;dropping-particle&quot;:&quot;&quot;,&quot;non-dropping-particle&quot;:&quot;&quot;},{&quot;family&quot;:&quot;Wang&quot;,&quot;given&quot;:&quot;Fei&quot;,&quot;parse-names&quot;:false,&quot;dropping-particle&quot;:&quot;&quot;,&quot;non-dropping-particle&quot;:&quot;&quot;},{&quot;family&quot;:&quot;Tian&quot;,&quot;given&quot;:&quot;Siyang&quot;,&quot;parse-names&quot;:false,&quot;dropping-particle&quot;:&quot;&quot;,&quot;non-dropping-particle&quot;:&quot;&quot;},{&quot;family&quot;:&quot;Lee&quot;,&quot;given&quot;:&quot;Brian&quot;,&quot;parse-names&quot;:false,&quot;dropping-particle&quot;:&quot;&quot;,&quot;non-dropping-particle&quot;:&quot;&quot;},{&quot;family&quot;:&quot;Liigand&quot;,&quot;given&quot;:&quot;Jaanus&quot;,&quot;parse-names&quot;:false,&quot;dropping-particle&quot;:&quot;&quot;,&quot;non-dropping-particle&quot;:&quot;&quot;},{&quot;family&quot;:&quot;Peters&quot;,&quot;given&quot;:&quot;Harrison&quot;,&quot;parse-names&quot;:false,&quot;dropping-particle&quot;:&quot;&quot;,&quot;non-dropping-particle&quot;:&quot;&quot;},{&quot;family&quot;:&quot;Wang&quot;,&quot;given&quot;:&quot;Ruo Qi Rachel&quot;,&quot;parse-names&quot;:false,&quot;dropping-particle&quot;:&quot;&quot;,&quot;non-dropping-particle&quot;:&quot;&quot;},{&quot;family&quot;:&quot;Nguyen&quot;,&quot;given&quot;:&quot;Tue&quot;,&quot;parse-names&quot;:false,&quot;dropping-particle&quot;:&quot;&quot;,&quot;non-dropping-particle&quot;:&quot;&quot;},{&quot;family&quot;:&quot;So&quot;,&quot;given&quot;:&quot;Denise&quot;,&quot;parse-names&quot;:false,&quot;dropping-particle&quot;:&quot;&quot;,&quot;non-dropping-particle&quot;:&quot;&quot;},{&quot;family&quot;:&quot;Sharp&quot;,&quot;given&quot;:&quot;Matthew&quot;,&quot;parse-names&quot;:false,&quot;dropping-particle&quot;:&quot;&quot;,&quot;non-dropping-particle&quot;:&quot;&quot;},{&quot;family&quot;:&quot;Silva&quot;,&quot;given&quot;:&quot;Rodolfo&quot;,&quot;parse-names&quot;:false,&quot;dropping-particle&quot;:&quot;&quot;,&quot;non-dropping-particle&quot;:&quot;da&quot;},{&quot;family&quot;:&quot;Gabriel&quot;,&quot;given&quot;:&quot;Cyrella&quot;,&quot;parse-names&quot;:false,&quot;dropping-particle&quot;:&quot;&quot;,&quot;non-dropping-particle&quot;:&quot;&quot;},{&quot;family&quot;:&quot;Scantlebury&quot;,&quot;given&quot;:&quot;Joshua&quot;,&quot;parse-names&quot;:false,&quot;dropping-particle&quot;:&quot;&quot;,&quot;non-dropping-particle&quot;:&quot;&quot;},{&quot;family&quot;:&quot;Jasinski&quot;,&quot;given&quot;:&quot;Marissa&quot;,&quot;parse-names&quot;:false,&quot;dropping-particle&quot;:&quot;&quot;,&quot;non-dropping-particle&quot;:&quot;&quot;},{&quot;family&quot;:&quot;Ackerman&quot;,&quot;given&quot;:&quot;David&quot;,&quot;parse-names&quot;:false,&quot;dropping-particle&quot;:&quot;&quot;,&quot;non-dropping-particle&quot;:&quot;&quot;},{&quot;family&quot;:&quot;Jewison&quot;,&quot;given&quot;:&quot;Timothy&quot;,&quot;parse-names&quot;:false,&quot;dropping-particle&quot;:&quot;&quot;,&quot;non-dropping-particle&quot;:&quot;&quot;},{&quot;family&quot;:&quot;Sajed&quot;,&quot;given&quot;:&quot;Tanvir&quot;,&quot;parse-names&quot;:false,&quot;dropping-particle&quot;:&quot;&quot;,&quot;non-dropping-particle&quot;:&quot;&quot;},{&quot;family&quot;:&quot;Gautam&quot;,&quot;given&quot;:&quot;Vasuk&quot;,&quot;parse-names&quot;:false,&quot;dropping-particle&quot;:&quot;&quot;,&quot;non-dropping-particle&quot;:&quot;&quot;},{&quot;family&quot;:&quot;Wishart&quot;,&quot;given&quot;:&quot;David S.&quot;,&quot;parse-names&quot;:false,&quot;dropping-particle&quot;:&quot;&quot;,&quot;non-dropping-particle&quot;:&quot;&quot;}],&quot;container-title&quot;:&quot;Nucleic Acids Research&quot;,&quot;container-title-short&quot;:&quot;Nucleic Acids Res&quot;,&quot;DOI&quot;:&quot;10.1093/nar/gkad976&quot;,&quot;ISSN&quot;:&quot;13624962&quot;,&quot;PMID&quot;:&quot;37953279&quot;,&quot;issued&quot;:{&quot;date-parts&quot;:[[2024]]},&quot;page&quot;:&quot;D1265-D1275&quot;,&quot;abstract&quot;:&quot;First released in 2006, DrugBank (https://go.drugbank.com) has grown to become the ‘gold standard’ knowledge resource for drug, drug–target and related pharmaceutical information. DrugBank is widely used across many diverse biomedical research and clinical applications, and averages more than 30 million views/year. Since its last update in 2018, we have been actively enhancing the quantity and quality of the drug data in this knowledgebase. In this latest release (DrugBank 6.0), the number of FDA approved drugs has grown from 2646 to 4563 (a 72% increase), the number of investigational drugs has grown from 3394 to 6231 (a 38% increase), the number of drug–drug interactions increased from 365 984 to 1 413 413 (a 300% increase), and the number of drug–food interactions expanded from 1195 to 2475 (a 200% increase). In addition to this notable expansion in database size, we have added thousands of new, colorful, richly annotated pathways depicting drug mechanisms and drug metabolism. Likewise, existing datasets have been significantly improved and expanded, by adding more information on drug indications, drug–drug interactions, drug–food interactions and many other relevant data types for 11 891 drugs. We have also added experimental and predicted MS/MS spectra, 1D/2D-NMR spectra, CCS (collision cross section), RT (retention time) and RI (retention index) data for 9464 of DrugBank’s 11 710 small molecule drugs. These and other improvements should make DrugBank 6.0 even more useful to a much wider research audience ranging from medicinal chemists to metabolomics specialists to pharmacologists.&quot;,&quot;issue&quot;:&quot;D1&quot;,&quot;volume&quot;:&quot;52&quot;},&quot;isTemporary&quot;:false}],&quot;citationTag&quot;:&quot;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&quot;},{&quot;citationID&quot;:&quot;MENDELEY_CITATION_5fbed34b-d465-4be6-856d-39841bc18b3f&quot;,&quot;properties&quot;:{&quot;noteIndex&quot;:0},&quot;isEdited&quot;:false,&quot;manualOverride&quot;:{&quot;isManuallyOverridden&quot;:false,&quot;citeprocText&quot;:&quot;[32]&quot;,&quot;manualOverrideText&quot;:&quot;&quot;},&quot;citationItems&quot;:[{&quot;id&quot;:&quot;6dc26da7-108c-3124-b7cf-3951b1667b7c&quot;,&quot;itemData&quot;:{&quot;type&quot;:&quot;article-journal&quot;,&quot;id&quot;:&quot;6dc26da7-108c-3124-b7cf-3951b1667b7c&quot;,&quot;title&quot;:&quot;Targeted Therapy of Papillary Thyroid Cancer: A Comprehensive Genomic Analysis&quot;,&quot;author&quot;:[{&quot;family&quot;:&quot;Hescheler&quot;,&quot;given&quot;:&quot;Daniel A.&quot;,&quot;parse-names&quot;:false,&quot;dropping-particle&quot;:&quot;&quot;,&quot;non-dropping-particle&quot;:&quot;&quot;},{&quot;family&quot;:&quot;Riemann&quot;,&quot;given&quot;:&quot;Burkhard&quot;,&quot;parse-names&quot;:false,&quot;dropping-particle&quot;:&quot;&quot;,&quot;non-dropping-particle&quot;:&quot;&quot;},{&quot;family&quot;:&quot;Hartmann&quot;,&quot;given&quot;:&quot;Milan J.M.&quot;,&quot;parse-names&quot;:false,&quot;dropping-particle&quot;:&quot;&quot;,&quot;non-dropping-particle&quot;:&quot;&quot;},{&quot;family&quot;:&quot;Michel&quot;,&quot;given&quot;:&quot;Maximilian&quot;,&quot;parse-names&quot;:false,&quot;dropping-particle&quot;:&quot;&quot;,&quot;non-dropping-particle&quot;:&quot;&quot;},{&quot;family&quot;:&quot;Faust&quot;,&quot;given&quot;:&quot;Michael&quot;,&quot;parse-names&quot;:false,&quot;dropping-particle&quot;:&quot;&quot;,&quot;non-dropping-particle&quot;:&quot;&quot;},{&quot;family&quot;:&quot;Bruns&quot;,&quot;given&quot;:&quot;Christiane J.&quot;,&quot;parse-names&quot;:false,&quot;dropping-particle&quot;:&quot;&quot;,&quot;non-dropping-particle&quot;:&quot;&quot;},{&quot;family&quot;:&quot;Alakus&quot;,&quot;given&quot;:&quot;Hakan&quot;,&quot;parse-names&quot;:false,&quot;dropping-particle&quot;:&quot;&quot;,&quot;non-dropping-particle&quot;:&quot;&quot;},{&quot;family&quot;:&quot;Chiapponi&quot;,&quot;given&quot;:&quot;Costanza&quot;,&quot;parse-names&quot;:false,&quot;dropping-particle&quot;:&quot;&quot;,&quot;non-dropping-particle&quot;:&quot;&quot;}],&quot;container-title&quot;:&quot;Frontiers in Endocrinology&quot;,&quot;container-title-short&quot;:&quot;Front Endocrinol (Lausanne)&quot;,&quot;DOI&quot;:&quot;10.3389/fendo.2021.748941&quot;,&quot;ISSN&quot;:&quot;16642392&quot;,&quot;issued&quot;:{&quot;date-parts&quot;:[[2021]]},&quot;abstract&quot;:&quot;Background: A limited number of targeted therapy options exist for papillary thyroid cancer (PTC) to date. Based on genetic alterations reported by the “The Cancer Genome Atlas (TCGA)”, we explored whether PTC shows alterations that may be targetable by drugs approved by the FDA for other solid cancers. Methods: Databases of the National Cancer Institute and MyCancerGenome were screened to identify FDA-approved drugs for targeted therapy. Target genes were identified using Drugbank. Genetic alterations were classified into conferring drug sensitivity or resistance using MyCancerGenome, CiViC, TARGET, and OncoKB. Genomic data for PTC were extracted from TCGA and mined for alterations predicting drug response. Results: A total of 129 FDA-approved drugs with 128 targetable genes were identified. One hundred ninety-six (70%) of 282 classic, 21 (25%) of 84 follicular, and all 30 tall-cell variant PTCs harbored druggable alterations: 259 occurred in 29, 39 in 19, and 31 in 2 targetable genes, respectively. The BRAF V600 mutation was seen in 68% of classic, 16% of follicular variant, and 93% of tall-cell variant PTCs. The RET gene fusion was seen in 8% of classic PTCs, NTRK1 and 3 gene fusions in 3%, and other alterations in &lt;2% of classic variant PTCs. Ninety-nine of 128 (77%) FDA-approved targetable genes did not show any genetic alteration in PTC. Beside selective and non-selective BRAF-inhibitors, no other FDA-approved drug showed any frequent predicted drug sensitivity (&lt;10%). Conclusion: Treatment strategies need to focus on resistance mechanisms to BRAF inhibition and on genetic alteration–independent alternatives rather than on current targeted drugs.&quot;,&quot;volume&quot;:&quot;12&quot;},&quot;isTemporary&quot;:false}],&quot;citationTag&quot;:&quot;MENDELEY_CITATION_v3_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&quot;},{&quot;citationID&quot;:&quot;MENDELEY_CITATION_64c3de8f-89a6-45a9-b58c-856b6bf29ce6&quot;,&quot;properties&quot;:{&quot;noteIndex&quot;:0},&quot;isEdited&quot;:false,&quot;manualOverride&quot;:{&quot;isManuallyOverridden&quot;:false,&quot;citeprocText&quot;:&quot;[31]&quot;,&quot;manualOverrideText&quot;:&quot;&quot;},&quot;citationItems&quot;:[{&quot;id&quot;:&quot;fa0fe183-aba6-32dc-a39e-1cc2e9a74390&quot;,&quot;itemData&quot;:{&quot;type&quot;:&quot;article-journal&quot;,&quot;id&quot;:&quot;fa0fe183-aba6-32dc-a39e-1cc2e9a74390&quot;,&quot;title&quot;:&quot;DrugBank 6.0: the DrugBank Knowledgebase for 2024&quot;,&quot;author&quot;:[{&quot;family&quot;:&quot;Knox&quot;,&quot;given&quot;:&quot;Craig&quot;,&quot;parse-names&quot;:false,&quot;dropping-particle&quot;:&quot;&quot;,&quot;non-dropping-particle&quot;:&quot;&quot;},{&quot;family&quot;:&quot;Wilson&quot;,&quot;given&quot;:&quot;Mike&quot;,&quot;parse-names&quot;:false,&quot;dropping-particle&quot;:&quot;&quot;,&quot;non-dropping-particle&quot;:&quot;&quot;},{&quot;family&quot;:&quot;Klinger&quot;,&quot;given&quot;:&quot;Christen M.&quot;,&quot;parse-names&quot;:false,&quot;dropping-particle&quot;:&quot;&quot;,&quot;non-dropping-particle&quot;:&quot;&quot;},{&quot;family&quot;:&quot;Franklin&quot;,&quot;given&quot;:&quot;Mark&quot;,&quot;parse-names&quot;:false,&quot;dropping-particle&quot;:&quot;&quot;,&quot;non-dropping-particle&quot;:&quot;&quot;},{&quot;family&quot;:&quot;Oler&quot;,&quot;given&quot;:&quot;Eponine&quot;,&quot;parse-names&quot;:false,&quot;dropping-particle&quot;:&quot;&quot;,&quot;non-dropping-particle&quot;:&quot;&quot;},{&quot;family&quot;:&quot;Wilson&quot;,&quot;given&quot;:&quot;Alex&quot;,&quot;parse-names&quot;:false,&quot;dropping-particle&quot;:&quot;&quot;,&quot;non-dropping-particle&quot;:&quot;&quot;},{&quot;family&quot;:&quot;Pon&quot;,&quot;given&quot;:&quot;Allison&quot;,&quot;parse-names&quot;:false,&quot;dropping-particle&quot;:&quot;&quot;,&quot;non-dropping-particle&quot;:&quot;&quot;},{&quot;family&quot;:&quot;Cox&quot;,&quot;given&quot;:&quot;Jordan&quot;,&quot;parse-names&quot;:false,&quot;dropping-particle&quot;:&quot;&quot;,&quot;non-dropping-particle&quot;:&quot;&quot;},{&quot;family&quot;:&quot;Chin&quot;,&quot;given&quot;:&quot;Na Eun Lucy&quot;,&quot;parse-names&quot;:false,&quot;dropping-particle&quot;:&quot;&quot;,&quot;non-dropping-particle&quot;:&quot;&quot;},{&quot;family&quot;:&quot;Strawbridge&quot;,&quot;given&quot;:&quot;Seth A.&quot;,&quot;parse-names&quot;:false,&quot;dropping-particle&quot;:&quot;&quot;,&quot;non-dropping-particle&quot;:&quot;&quot;},{&quot;family&quot;:&quot;Garcia-Patino&quot;,&quot;given&quot;:&quot;Marysol&quot;,&quot;parse-names&quot;:false,&quot;dropping-particle&quot;:&quot;&quot;,&quot;non-dropping-particle&quot;:&quot;&quot;},{&quot;family&quot;:&quot;Kruger&quot;,&quot;given&quot;:&quot;Ray&quot;,&quot;parse-names&quot;:false,&quot;dropping-particle&quot;:&quot;&quot;,&quot;non-dropping-particle&quot;:&quot;&quot;},{&quot;family&quot;:&quot;Sivakumaran&quot;,&quot;given&quot;:&quot;Aadhavya&quot;,&quot;parse-names&quot;:false,&quot;dropping-particle&quot;:&quot;&quot;,&quot;non-dropping-particle&quot;:&quot;&quot;},{&quot;family&quot;:&quot;Sanford&quot;,&quot;given&quot;:&quot;Selena&quot;,&quot;parse-names&quot;:false,&quot;dropping-particle&quot;:&quot;&quot;,&quot;non-dropping-particle&quot;:&quot;&quot;},{&quot;family&quot;:&quot;Doshi&quot;,&quot;given&quot;:&quot;Rahil&quot;,&quot;parse-names&quot;:false,&quot;dropping-particle&quot;:&quot;&quot;,&quot;non-dropping-particle&quot;:&quot;&quot;},{&quot;family&quot;:&quot;Khetarpal&quot;,&quot;given&quot;:&quot;Nitya&quot;,&quot;parse-names&quot;:false,&quot;dropping-particle&quot;:&quot;&quot;,&quot;non-dropping-particle&quot;:&quot;&quot;},{&quot;family&quot;:&quot;Fatokun&quot;,&quot;given&quot;:&quot;Omolola&quot;,&quot;parse-names&quot;:false,&quot;dropping-particle&quot;:&quot;&quot;,&quot;non-dropping-particle&quot;:&quot;&quot;},{&quot;family&quot;:&quot;Doucet&quot;,&quot;given&quot;:&quot;Daphnee&quot;,&quot;parse-names&quot;:false,&quot;dropping-particle&quot;:&quot;&quot;,&quot;non-dropping-particle&quot;:&quot;&quot;},{&quot;family&quot;:&quot;Zubkowski&quot;,&quot;given&quot;:&quot;Ashley&quot;,&quot;parse-names&quot;:false,&quot;dropping-particle&quot;:&quot;&quot;,&quot;non-dropping-particle&quot;:&quot;&quot;},{&quot;family&quot;:&quot;Rayat&quot;,&quot;given&quot;:&quot;Dorsa Yahya&quot;,&quot;parse-names&quot;:false,&quot;dropping-particle&quot;:&quot;&quot;,&quot;non-dropping-particle&quot;:&quot;&quot;},{&quot;family&quot;:&quot;Jackson&quot;,&quot;given&quot;:&quot;Hayley&quot;,&quot;parse-names&quot;:false,&quot;dropping-particle&quot;:&quot;&quot;,&quot;non-dropping-particle&quot;:&quot;&quot;},{&quot;family&quot;:&quot;Harford&quot;,&quot;given&quot;:&quot;Karxena&quot;,&quot;parse-names&quot;:false,&quot;dropping-particle&quot;:&quot;&quot;,&quot;non-dropping-particle&quot;:&quot;&quot;},{&quot;family&quot;:&quot;Anjum&quot;,&quot;given&quot;:&quot;Afia&quot;,&quot;parse-names&quot;:false,&quot;dropping-particle&quot;:&quot;&quot;,&quot;non-dropping-particle&quot;:&quot;&quot;},{&quot;family&quot;:&quot;Zakir&quot;,&quot;given&quot;:&quot;Mahi&quot;,&quot;parse-names&quot;:false,&quot;dropping-particle&quot;:&quot;&quot;,&quot;non-dropping-particle&quot;:&quot;&quot;},{&quot;family&quot;:&quot;Wang&quot;,&quot;given&quot;:&quot;Fei&quot;,&quot;parse-names&quot;:false,&quot;dropping-particle&quot;:&quot;&quot;,&quot;non-dropping-particle&quot;:&quot;&quot;},{&quot;family&quot;:&quot;Tian&quot;,&quot;given&quot;:&quot;Siyang&quot;,&quot;parse-names&quot;:false,&quot;dropping-particle&quot;:&quot;&quot;,&quot;non-dropping-particle&quot;:&quot;&quot;},{&quot;family&quot;:&quot;Lee&quot;,&quot;given&quot;:&quot;Brian&quot;,&quot;parse-names&quot;:false,&quot;dropping-particle&quot;:&quot;&quot;,&quot;non-dropping-particle&quot;:&quot;&quot;},{&quot;family&quot;:&quot;Liigand&quot;,&quot;given&quot;:&quot;Jaanus&quot;,&quot;parse-names&quot;:false,&quot;dropping-particle&quot;:&quot;&quot;,&quot;non-dropping-particle&quot;:&quot;&quot;},{&quot;family&quot;:&quot;Peters&quot;,&quot;given&quot;:&quot;Harrison&quot;,&quot;parse-names&quot;:false,&quot;dropping-particle&quot;:&quot;&quot;,&quot;non-dropping-particle&quot;:&quot;&quot;},{&quot;family&quot;:&quot;Wang&quot;,&quot;given&quot;:&quot;Ruo Qi Rachel&quot;,&quot;parse-names&quot;:false,&quot;dropping-particle&quot;:&quot;&quot;,&quot;non-dropping-particle&quot;:&quot;&quot;},{&quot;family&quot;:&quot;Nguyen&quot;,&quot;given&quot;:&quot;Tue&quot;,&quot;parse-names&quot;:false,&quot;dropping-particle&quot;:&quot;&quot;,&quot;non-dropping-particle&quot;:&quot;&quot;},{&quot;family&quot;:&quot;So&quot;,&quot;given&quot;:&quot;Denise&quot;,&quot;parse-names&quot;:false,&quot;dropping-particle&quot;:&quot;&quot;,&quot;non-dropping-particle&quot;:&quot;&quot;},{&quot;family&quot;:&quot;Sharp&quot;,&quot;given&quot;:&quot;Matthew&quot;,&quot;parse-names&quot;:false,&quot;dropping-particle&quot;:&quot;&quot;,&quot;non-dropping-particle&quot;:&quot;&quot;},{&quot;family&quot;:&quot;Silva&quot;,&quot;given&quot;:&quot;Rodolfo&quot;,&quot;parse-names&quot;:false,&quot;dropping-particle&quot;:&quot;&quot;,&quot;non-dropping-particle&quot;:&quot;da&quot;},{&quot;family&quot;:&quot;Gabriel&quot;,&quot;given&quot;:&quot;Cyrella&quot;,&quot;parse-names&quot;:false,&quot;dropping-particle&quot;:&quot;&quot;,&quot;non-dropping-particle&quot;:&quot;&quot;},{&quot;family&quot;:&quot;Scantlebury&quot;,&quot;given&quot;:&quot;Joshua&quot;,&quot;parse-names&quot;:false,&quot;dropping-particle&quot;:&quot;&quot;,&quot;non-dropping-particle&quot;:&quot;&quot;},{&quot;family&quot;:&quot;Jasinski&quot;,&quot;given&quot;:&quot;Marissa&quot;,&quot;parse-names&quot;:false,&quot;dropping-particle&quot;:&quot;&quot;,&quot;non-dropping-particle&quot;:&quot;&quot;},{&quot;family&quot;:&quot;Ackerman&quot;,&quot;given&quot;:&quot;David&quot;,&quot;parse-names&quot;:false,&quot;dropping-particle&quot;:&quot;&quot;,&quot;non-dropping-particle&quot;:&quot;&quot;},{&quot;family&quot;:&quot;Jewison&quot;,&quot;given&quot;:&quot;Timothy&quot;,&quot;parse-names&quot;:false,&quot;dropping-particle&quot;:&quot;&quot;,&quot;non-dropping-particle&quot;:&quot;&quot;},{&quot;family&quot;:&quot;Sajed&quot;,&quot;given&quot;:&quot;Tanvir&quot;,&quot;parse-names&quot;:false,&quot;dropping-particle&quot;:&quot;&quot;,&quot;non-dropping-particle&quot;:&quot;&quot;},{&quot;family&quot;:&quot;Gautam&quot;,&quot;given&quot;:&quot;Vasuk&quot;,&quot;parse-names&quot;:false,&quot;dropping-particle&quot;:&quot;&quot;,&quot;non-dropping-particle&quot;:&quot;&quot;},{&quot;family&quot;:&quot;Wishart&quot;,&quot;given&quot;:&quot;David S.&quot;,&quot;parse-names&quot;:false,&quot;dropping-particle&quot;:&quot;&quot;,&quot;non-dropping-particle&quot;:&quot;&quot;}],&quot;container-title&quot;:&quot;Nucleic Acids Research&quot;,&quot;container-title-short&quot;:&quot;Nucleic Acids Res&quot;,&quot;DOI&quot;:&quot;10.1093/nar/gkad976&quot;,&quot;ISSN&quot;:&quot;13624962&quot;,&quot;PMID&quot;:&quot;37953279&quot;,&quot;issued&quot;:{&quot;date-parts&quot;:[[2024]]},&quot;page&quot;:&quot;D1265-D1275&quot;,&quot;abstract&quot;:&quot;First released in 2006, DrugBank (https://go.drugbank.com) has grown to become the ‘gold standard’ knowledge resource for drug, drug–target and related pharmaceutical information. DrugBank is widely used across many diverse biomedical research and clinical applications, and averages more than 30 million views/year. Since its last update in 2018, we have been actively enhancing the quantity and quality of the drug data in this knowledgebase. In this latest release (DrugBank 6.0), the number of FDA approved drugs has grown from 2646 to 4563 (a 72% increase), the number of investigational drugs has grown from 3394 to 6231 (a 38% increase), the number of drug–drug interactions increased from 365 984 to 1 413 413 (a 300% increase), and the number of drug–food interactions expanded from 1195 to 2475 (a 200% increase). In addition to this notable expansion in database size, we have added thousands of new, colorful, richly annotated pathways depicting drug mechanisms and drug metabolism. Likewise, existing datasets have been significantly improved and expanded, by adding more information on drug indications, drug–drug interactions, drug–food interactions and many other relevant data types for 11 891 drugs. We have also added experimental and predicted MS/MS spectra, 1D/2D-NMR spectra, CCS (collision cross section), RT (retention time) and RI (retention index) data for 9464 of DrugBank’s 11 710 small molecule drugs. These and other improvements should make DrugBank 6.0 even more useful to a much wider research audience ranging from medicinal chemists to metabolomics specialists to pharmacologists.&quot;,&quot;issue&quot;:&quot;D1&quot;,&quot;volume&quot;:&quot;52&quot;},&quot;isTemporary&quot;:false}],&quot;citationTag&quot;:&quot;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&quot;},{&quot;citationID&quot;:&quot;MENDELEY_CITATION_b112e943-d58b-4477-86b9-ec89600301dc&quot;,&quot;properties&quot;:{&quot;noteIndex&quot;:0},&quot;isEdited&quot;:false,&quot;manualOverride&quot;:{&quot;isManuallyOverridden&quot;:false,&quot;citeprocText&quot;:&quot;[33]&quot;,&quot;manualOverrideText&quot;:&quot;&quot;},&quot;citationItems&quot;:[{&quot;id&quot;:&quot;281315d9-4380-33dd-9e96-734dc311b76b&quot;,&quot;itemData&quot;:{&quot;type&quot;:&quot;article-journal&quot;,&quot;id&quot;:&quot;281315d9-4380-33dd-9e96-734dc311b76b&quot;,&quot;title&quot;:&quot;Treatment strategies for clear cell renal cell carcinoma: Past, present and future&quot;,&quot;author&quot;:[{&quot;family&quot;:&quot;Yang&quot;,&quot;given&quot;:&quot;Junwei&quot;,&quot;parse-names&quot;:false,&quot;dropping-particle&quot;:&quot;&quot;,&quot;non-dropping-particle&quot;:&quot;&quot;},{&quot;family&quot;:&quot;Wang&quot;,&quot;given&quot;:&quot;Kuansong&quot;,&quot;parse-names&quot;:false,&quot;dropping-particle&quot;:&quot;&quot;,&quot;non-dropping-particle&quot;:&quot;&quot;},{&quot;family&quot;:&quot;Yang&quot;,&quot;given&quot;:&quot;Zhichun&quot;,&quot;parse-names&quot;:false,&quot;dropping-particle&quot;:&quot;&quot;,&quot;non-dropping-particle&quot;:&quot;&quot;}],&quot;container-title&quot;:&quot;Frontiers in Oncology&quot;,&quot;container-title-short&quot;:&quot;Front Oncol&quot;,&quot;DOI&quot;:&quot;10.3389/fonc.2023.1133832&quot;,&quot;ISSN&quot;:&quot;2234943X&quot;,&quot;issued&quot;:{&quot;date-parts&quot;:[[2023]]},&quot;abstract&quot;:&quot;Clear cell renal cell carcinoma (ccRCC) is the most prevalent histological subtype of kidney cancer, which is prone to metastasis, recurrence, and resistance to radiotherapy and chemotherapy. The burden it places on human health due to its refractory nature and rising incidence rate is substantial. Researchers have recently determined the ccRCC risk factors and optimized the clinical therapy based on the disease’s underlying molecular mechanisms. In this paper, we review the established clinical therapies and novel potential therapeutic approaches for ccRCC, and we support the importance of investigating novel therapeutic options in the context of combining established therapies as a research hotspot, with the goal of providing diversified therapeutic options that promise to address the issue of drug resistance, with a view to the early realization of precision medicine and individualized treatment.&quot;,&quot;volume&quot;:&quot;13&quot;},&quot;isTemporary&quot;:false}],&quot;citationTag&quot;:&quot;MENDELEY_CITATION_v3_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&quot;},{&quot;citationID&quot;:&quot;MENDELEY_CITATION_0cafd10b-084f-4c33-a785-ab6ade9645ba&quot;,&quot;properties&quot;:{&quot;noteIndex&quot;:0},&quot;isEdited&quot;:false,&quot;manualOverride&quot;:{&quot;isManuallyOverridden&quot;:false,&quot;citeprocText&quot;:&quot;[34]&quot;,&quot;manualOverrideText&quot;:&quot;&quot;},&quot;citationItems&quot;:[{&quot;id&quot;:&quot;548c8052-9e09-33c3-a576-a1c491f50465&quot;,&quot;itemData&quot;:{&quot;type&quot;:&quot;article-journal&quot;,&quot;id&quot;:&quot;548c8052-9e09-33c3-a576-a1c491f50465&quot;,&quot;title&quot;:&quot;Combination drug regimens for metastatic clear cell renal cell carcinoma&quot;,&quot;author&quot;:[{&quot;family&quot;:&quot;Khetani&quot;,&quot;given&quot;:&quot;Viraj&quot;,&quot;parse-names&quot;:false,&quot;dropping-particle&quot;:&quot;V&quot;,&quot;non-dropping-particle&quot;:&quot;&quot;},{&quot;family&quot;:&quot;Portal&quot;,&quot;given&quot;:&quot;Daniella E&quot;,&quot;parse-names&quot;:false,&quot;dropping-particle&quot;:&quot;&quot;,&quot;non-dropping-particle&quot;:&quot;&quot;},{&quot;family&quot;:&quot;Shah&quot;,&quot;given&quot;:&quot;Mansi R&quot;,&quot;parse-names&quot;:false,&quot;dropping-particle&quot;:&quot;&quot;,&quot;non-dropping-particle&quot;:&quot;&quot;},{&quot;family&quot;:&quot;Mayer&quot;,&quot;given&quot;:&quot;Tina&quot;,&quot;parse-names&quot;:false,&quot;dropping-particle&quot;:&quot;&quot;,&quot;non-dropping-particle&quot;:&quot;&quot;},{&quot;family&quot;:&quot;Singer&quot;,&quot;given&quot;:&quot;Eric A&quot;,&quot;parse-names&quot;:false,&quot;dropping-particle&quot;:&quot;&quot;,&quot;non-dropping-particle&quot;:&quot;&quot;}],&quot;container-title&quot;:&quot;World Journal of Clinical Oncology&quot;,&quot;container-title-short&quot;:&quot;World J Clin Oncol&quot;,&quot;DOI&quot;:&quot;10.5306/wjco.v11.i8.541&quot;,&quot;ISSN&quot;:&quot;2218-4333&quot;,&quot;issued&quot;:{&quot;date-parts&quot;:[[2020]]},&quot;page&quot;:&quot;541-562&quot;,&quot;abstract&quot;:&quot;Renal cell carcinomas (RCC) make up about 90% of kidney cancers, of which 80% are of  the clear cell subtype. About 20% of patients are already metastatic at the time of diagnosis. Initial treatment is often cytoreductive nephrectomy, but systemic therapy is required for advanced RCC. Single agent targeted therapies are moderately toxic and only somewhat effective, leading to development of immunotherapies and combination therapies. This review identifies limitations of monotherapies for metastatic renal cell carcinoma, discusses recent advances in combination therapies, and highlights therapeutic options under development. The goal behind combining various modalities of systemic therapy is to potentiate a synergistic antitumor effect. However, combining targeted therapies may cause increased toxicity. The initial attempts to create therapeutic combinations based on inhibition of the vascular endothelial growth factor or mammalian target of rapamycin pathways were largely unsuccessful in achieving a profile of increased synergy without increased toxicity. To date, five combination therapies have been approved by the U.S. Food and Drug Administration, with the most recently approved therapies being a combination of checkpoint inhibition plus targeted therapy. Several other combination therapies are under development, including some in the phase 3 stage. The new wave of combination therapies for metastatic RCC has the potential to increase response rates and improve survival outcomes while maintaining tolerable side effect profiles.&quot;,&quot;issue&quot;:&quot;8&quot;,&quot;volume&quot;:&quot;11&quot;},&quot;isTemporary&quot;:false}],&quot;citationTag&quot;:&quot;MENDELEY_CITATION_v3_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&quot;},{&quot;citationID&quot;:&quot;MENDELEY_CITATION_6b6231f0-24e3-45a8-8e68-e1b21f08f52b&quot;,&quot;properties&quot;:{&quot;noteIndex&quot;:0},&quot;isEdited&quot;:false,&quot;manualOverride&quot;:{&quot;isManuallyOverridden&quot;:false,&quot;citeprocText&quot;:&quot;[35]&quot;,&quot;manualOverrideText&quot;:&quot;&quot;},&quot;citationItems&quot;:[{&quot;id&quot;:&quot;a8434749-19b0-3c08-990c-8a1210d442fd&quot;,&quot;itemData&quot;:{&quot;type&quot;:&quot;article-journal&quot;,&quot;id&quot;:&quot;a8434749-19b0-3c08-990c-8a1210d442fd&quot;,&quot;title&quot;:&quot;Integration of the Drug-Gene Interaction Database (DGIdb 4.0) with open crowdsource efforts&quot;,&quot;author&quot;:[{&quot;family&quot;:&quot;Freshour&quot;,&quot;given&quot;:&quot;Sharon L.&quot;,&quot;parse-names&quot;:false,&quot;dropping-particle&quot;:&quot;&quot;,&quot;non-dropping-particle&quot;:&quot;&quot;},{&quot;family&quot;:&quot;Kiwala&quot;,&quot;given&quot;:&quot;Susanna&quot;,&quot;parse-names&quot;:false,&quot;dropping-particle&quot;:&quot;&quot;,&quot;non-dropping-particle&quot;:&quot;&quot;},{&quot;family&quot;:&quot;Cotto&quot;,&quot;given&quot;:&quot;Kelsy C.&quot;,&quot;parse-names&quot;:false,&quot;dropping-particle&quot;:&quot;&quot;,&quot;non-dropping-particle&quot;:&quot;&quot;},{&quot;family&quot;:&quot;Coffman&quot;,&quot;given&quot;:&quot;Adam C.&quot;,&quot;parse-names&quot;:false,&quot;dropping-particle&quot;:&quot;&quot;,&quot;non-dropping-particle&quot;:&quot;&quot;},{&quot;family&quot;:&quot;McMichael&quot;,&quot;given&quot;:&quot;Joshua F.&quot;,&quot;parse-names&quot;:false,&quot;dropping-particle&quot;:&quot;&quot;,&quot;non-dropping-particle&quot;:&quot;&quot;},{&quot;family&quot;:&quot;Song&quot;,&quot;given&quot;:&quot;Jonathan J.&quot;,&quot;parse-names&quot;:false,&quot;dropping-particle&quot;:&quot;&quot;,&quot;non-dropping-particle&quot;:&quot;&quot;},{&quot;family&quot;:&quot;Griffith&quot;,&quot;given&quot;:&quot;Malachi&quot;,&quot;parse-names&quot;:false,&quot;dropping-particle&quot;:&quot;&quot;,&quot;non-dropping-particle&quot;:&quot;&quot;},{&quot;family&quot;:&quot;Griffith&quot;,&quot;given&quot;:&quot;Obi L.&quot;,&quot;parse-names&quot;:false,&quot;dropping-particle&quot;:&quot;&quot;,&quot;non-dropping-particle&quot;:&quot;&quot;},{&quot;family&quot;:&quot;Wagner&quot;,&quot;given&quot;:&quot;Alex H.&quot;,&quot;parse-names&quot;:false,&quot;dropping-particle&quot;:&quot;&quot;,&quot;non-dropping-particle&quot;:&quot;&quot;}],&quot;container-title&quot;:&quot;Nucleic Acids Research&quot;,&quot;container-title-short&quot;:&quot;Nucleic Acids Res&quot;,&quot;DOI&quot;:&quot;10.1093/nar/gkaa1084&quot;,&quot;ISSN&quot;:&quot;13624962&quot;,&quot;PMID&quot;:&quot;33237278&quot;,&quot;issued&quot;:{&quot;date-parts&quot;:[[2021]]},&quot;page&quot;:&quot;D1144-D1151&quot;,&quot;abstract&quot;:&quot;The Drug-Gene Interaction Database (DGIdb, www.dgidb.org) is a web resource that provides information on drug-gene interactions and druggable genes from publications, databases, and other web-based sources. Drug, gene, and interaction data are normalized and merged into conceptual groups. The information contained in this resource is available to users through a straightforward search interface, an application programming interface (API), and TSV data downloads. DGIdb 4.0 is the latest major version release of this database. A primary focus of this update was integration with crowdsourced efforts, leveraging the Drug Target Commons for community-contributed interaction data, Wikidata to facilitate term normalization, and export to NDEx for drug-gene interaction network representations. Seven new sources have been added since the last major version release, bringing the total number of sources included to 41. Of the previously aggregated sources, 15 have been updated. DGIdb 4.0 also includes improvements to the process of drug normalization and grouping of imported sources. Other notable updates include the introduction of a more sophisticated Query Score for interaction search results, an updated Interaction Score, the inclusion of interaction directionality, and several additional improvements to search features, data releases, licensing documentation and the application framework.&quot;,&quot;issue&quot;:&quot;D1&quot;,&quot;volume&quot;:&quot;49&quot;},&quot;isTemporary&quot;:false}],&quot;citationTag&quot;:&quot;MENDELEY_CITATION_v3_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&quot;}]"/>
    <we:property name="MENDELEY_CITATIONS_LOCALE_CODE" value="&quot;en-GB&quot;"/>
    <we:property name="MENDELEY_CITATIONS_STYLE" value="{&quot;id&quot;:&quot;https://www.zotero.org/styles/age-and-ageing&quot;,&quot;title&quot;:&quot;Age and Ageing&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C6339-12BD-428F-89AA-A22EEE9A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18</Pages>
  <Words>20984</Words>
  <Characters>119612</Characters>
  <Application>Microsoft Office Word</Application>
  <DocSecurity>0</DocSecurity>
  <Lines>996</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FIROZ_AHMED</dc:creator>
  <cp:keywords/>
  <dc:description/>
  <cp:lastModifiedBy>Dewan Mumdood Ahmed</cp:lastModifiedBy>
  <cp:revision>53</cp:revision>
  <dcterms:created xsi:type="dcterms:W3CDTF">2025-09-09T09:21:00Z</dcterms:created>
  <dcterms:modified xsi:type="dcterms:W3CDTF">2026-04-16T15:58:00Z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49705a10-9348-34e4-8d23-e0231697671c</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http://www.zotero.org/styles/briefings-in-bioinformatics</vt:lpwstr>
  </property>
  <property fmtid="{D5CDD505-2E9C-101B-9397-08002B2CF9AE}" pid="14" name="Mendeley Recent Style Name 4_1">
    <vt:lpwstr>Briefings in Bioinformatics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http://www.zotero.org/styles/membranes</vt:lpwstr>
  </property>
  <property fmtid="{D5CDD505-2E9C-101B-9397-08002B2CF9AE}" pid="22" name="Mendeley Recent Style Name 8_1">
    <vt:lpwstr>Membranes</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4th edition (note with bibliography)</vt:lpwstr>
  </property>
  <property fmtid="{D5CDD505-2E9C-101B-9397-08002B2CF9AE}" pid="25" name="GrammarlyDocumentId">
    <vt:lpwstr>2f83c5c9-4668-43c7-ae23-cab21f4f61d7</vt:lpwstr>
  </property>
</Properties>
</file>