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F382" w14:textId="77777777" w:rsidR="00971E5F" w:rsidRDefault="00200143" w:rsidP="009F65B1">
      <w:pPr>
        <w:jc w:val="both"/>
        <w:rPr>
          <w:rFonts w:ascii="Times New Roman" w:hAnsi="Times New Roman" w:cs="Times New Roman"/>
          <w:b/>
          <w:bCs/>
        </w:rPr>
      </w:pPr>
      <w:r>
        <w:rPr>
          <w:rFonts w:ascii="Times New Roman" w:hAnsi="Times New Roman" w:cs="Times New Roman"/>
          <w:b/>
          <w:bCs/>
        </w:rPr>
        <w:t>Supplement figure S1 from section 2</w:t>
      </w:r>
    </w:p>
    <w:p w14:paraId="36036324" w14:textId="40FF5022" w:rsidR="000E61FC" w:rsidRPr="009F65B1" w:rsidRDefault="00200143" w:rsidP="009F65B1">
      <w:pPr>
        <w:jc w:val="both"/>
        <w:rPr>
          <w:rFonts w:ascii="Times New Roman" w:eastAsiaTheme="minorEastAsia" w:hAnsi="Times New Roman" w:cs="Times New Roman"/>
          <w:sz w:val="20"/>
          <w:szCs w:val="20"/>
        </w:rPr>
      </w:pPr>
      <w:r>
        <w:rPr>
          <w:rFonts w:ascii="Times New Roman" w:hAnsi="Times New Roman" w:cs="Times New Roman"/>
        </w:rPr>
        <w:br/>
      </w:r>
      <w:r>
        <w:rPr>
          <w:rFonts w:ascii="Times New Roman" w:hAnsi="Times New Roman" w:cs="Times New Roman"/>
          <w:noProof/>
        </w:rPr>
        <w:drawing>
          <wp:inline distT="0" distB="0" distL="0" distR="0" wp14:anchorId="64161DFC" wp14:editId="1A085D80">
            <wp:extent cx="3147060" cy="4649066"/>
            <wp:effectExtent l="0" t="0" r="0" b="0"/>
            <wp:docPr id="79256278" name="Picture 1" descr="A diagram of a graph lay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6278" name="Picture 1" descr="A diagram of a graph layer  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149946" cy="4653329"/>
                    </a:xfrm>
                    <a:prstGeom prst="rect">
                      <a:avLst/>
                    </a:prstGeom>
                  </pic:spPr>
                </pic:pic>
              </a:graphicData>
            </a:graphic>
          </wp:inline>
        </w:drawing>
      </w:r>
      <w:r>
        <w:rPr>
          <w:rFonts w:ascii="Times New Roman" w:hAnsi="Times New Roman" w:cs="Times New Roman"/>
        </w:rPr>
        <w:br/>
      </w:r>
      <w:r>
        <w:rPr>
          <w:rFonts w:ascii="Times New Roman" w:hAnsi="Times New Roman" w:cs="Times New Roman"/>
          <w:sz w:val="20"/>
          <w:szCs w:val="20"/>
        </w:rPr>
        <w:t>Figure S1. Deep-learning pipeline for inter-residue geometry prediction (trRosetta-style). A multiple sequence alignment (MSA) and co-evolutionary features are taken as input and processed through a deep residual neural network (ResNet). The network outputs predicted inter-residue distance and orientation distributions, which are subsequently used as restraints to build the three-dimensional protein structure [31].</w:t>
      </w:r>
    </w:p>
    <w:p w14:paraId="43A91757" w14:textId="77777777" w:rsidR="00B520B4" w:rsidRDefault="00B520B4" w:rsidP="00B520B4">
      <w:pPr>
        <w:jc w:val="both"/>
        <w:rPr>
          <w:rFonts w:ascii="Times New Roman" w:hAnsi="Times New Roman" w:cs="Times New Roman"/>
          <w:b/>
          <w:bCs/>
        </w:rPr>
      </w:pPr>
      <w:r>
        <w:rPr>
          <w:rFonts w:ascii="Times New Roman" w:hAnsi="Times New Roman" w:cs="Times New Roman"/>
        </w:rPr>
        <w:t xml:space="preserve">Supplement data for image  </w:t>
      </w:r>
      <w:r>
        <w:rPr>
          <w:rFonts w:ascii="Times New Roman" w:hAnsi="Times New Roman" w:cs="Times New Roman"/>
          <w:b/>
          <w:bCs/>
        </w:rPr>
        <w:t>AlphaFold coverage of “Tdark” proteins</w:t>
      </w:r>
    </w:p>
    <w:p w14:paraId="48F143C4" w14:textId="77777777" w:rsidR="00B520B4" w:rsidRPr="00200143" w:rsidRDefault="00B520B4" w:rsidP="00B520B4">
      <w:pPr>
        <w:jc w:val="both"/>
        <w:rPr>
          <w:rFonts w:ascii="Times New Roman" w:hAnsi="Times New Roman" w:cs="Times New Roman"/>
        </w:rPr>
      </w:pPr>
      <w:r>
        <w:rPr>
          <w:rFonts w:ascii="Times New Roman" w:hAnsi="Times New Roman" w:cs="Times New Roman"/>
        </w:rPr>
        <w:t xml:space="preserve">Binder </w:t>
      </w:r>
      <w:r>
        <w:rPr>
          <w:rFonts w:ascii="Times New Roman" w:hAnsi="Times New Roman" w:cs="Times New Roman"/>
          <w:i/>
          <w:iCs/>
        </w:rPr>
        <w:t>et al.</w:t>
      </w:r>
      <w:r>
        <w:rPr>
          <w:rFonts w:ascii="Times New Roman" w:hAnsi="Times New Roman" w:cs="Times New Roman"/>
        </w:rPr>
        <w:t xml:space="preserve"> analyzed AF2 models for N = 5,592 human Tdark proteins (those lacking experimental structures) </w:t>
      </w:r>
      <w:sdt>
        <w:sdtPr>
          <w:rPr>
            <w:rFonts w:ascii="Times New Roman" w:hAnsi="Times New Roman" w:cs="Times New Roman"/>
            <w:color w:val="000000"/>
          </w:rPr>
          <w:tag w:val="MENDELEY_CITATION_v3_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"/>
          <w:id w:val="1545801981"/>
          <w:placeholder>
            <w:docPart w:val="144CB7BFBB85447F8811CFABA0E4D492"/>
          </w:placeholder>
        </w:sdtPr>
        <w:sdtContent>
          <w:r>
            <w:rPr>
              <w:rFonts w:ascii="Times New Roman" w:hAnsi="Times New Roman" w:cs="Times New Roman"/>
              <w:color w:val="000000"/>
            </w:rPr>
            <w:t>(Binder et al., 2022)</w:t>
          </w:r>
        </w:sdtContent>
      </w:sdt>
      <w:r>
        <w:rPr>
          <w:rFonts w:ascii="Times New Roman" w:hAnsi="Times New Roman" w:cs="Times New Roman"/>
        </w:rPr>
        <w:t>. They found that 3,051 of these (~54.6%) meet high-confidence criteria (pLDDT80≥91.2) and are “TBVS-ready”. Using standard AF2 confidence categories (Very High: pLDDT&gt;90; Confident: 70–90; Low: 50–70; Very Low: &lt;50) yields roughly:</w:t>
      </w:r>
    </w:p>
    <w:p w14:paraId="6AC183E7" w14:textId="77777777" w:rsidR="00B520B4" w:rsidRPr="00200143" w:rsidRDefault="00B520B4" w:rsidP="00B520B4">
      <w:pPr>
        <w:numPr>
          <w:ilvl w:val="0"/>
          <w:numId w:val="1"/>
        </w:numPr>
        <w:jc w:val="both"/>
        <w:rPr>
          <w:rFonts w:ascii="Times New Roman" w:hAnsi="Times New Roman" w:cs="Times New Roman"/>
        </w:rPr>
      </w:pPr>
      <w:r>
        <w:rPr>
          <w:rFonts w:ascii="Times New Roman" w:hAnsi="Times New Roman" w:cs="Times New Roman"/>
          <w:b/>
          <w:bCs/>
        </w:rPr>
        <w:t>Very High:</w:t>
      </w:r>
      <w:r>
        <w:rPr>
          <w:rFonts w:ascii="Times New Roman" w:hAnsi="Times New Roman" w:cs="Times New Roman"/>
        </w:rPr>
        <w:t xml:space="preserve"> 2,429 proteins (≈43.4% of Tdark)</w:t>
      </w:r>
    </w:p>
    <w:p w14:paraId="1CEE1C9F" w14:textId="77777777" w:rsidR="00B520B4" w:rsidRPr="00200143" w:rsidRDefault="00B520B4" w:rsidP="00B520B4">
      <w:pPr>
        <w:numPr>
          <w:ilvl w:val="0"/>
          <w:numId w:val="1"/>
        </w:numPr>
        <w:jc w:val="both"/>
        <w:rPr>
          <w:rFonts w:ascii="Times New Roman" w:hAnsi="Times New Roman" w:cs="Times New Roman"/>
        </w:rPr>
      </w:pPr>
      <w:r>
        <w:rPr>
          <w:rFonts w:ascii="Times New Roman" w:hAnsi="Times New Roman" w:cs="Times New Roman"/>
          <w:b/>
          <w:bCs/>
        </w:rPr>
        <w:t>Confident:</w:t>
      </w:r>
      <w:r>
        <w:rPr>
          <w:rFonts w:ascii="Times New Roman" w:hAnsi="Times New Roman" w:cs="Times New Roman"/>
        </w:rPr>
        <w:t xml:space="preserve"> 622 proteins (≈11.1%)</w:t>
      </w:r>
    </w:p>
    <w:p w14:paraId="75CCC238" w14:textId="77777777" w:rsidR="00B520B4" w:rsidRPr="00200143" w:rsidRDefault="00B520B4" w:rsidP="00B520B4">
      <w:pPr>
        <w:numPr>
          <w:ilvl w:val="0"/>
          <w:numId w:val="1"/>
        </w:numPr>
        <w:jc w:val="both"/>
        <w:rPr>
          <w:rFonts w:ascii="Times New Roman" w:hAnsi="Times New Roman" w:cs="Times New Roman"/>
        </w:rPr>
      </w:pPr>
      <w:r>
        <w:rPr>
          <w:rFonts w:ascii="Times New Roman" w:hAnsi="Times New Roman" w:cs="Times New Roman"/>
          <w:b/>
          <w:bCs/>
        </w:rPr>
        <w:t>Low:</w:t>
      </w:r>
      <w:r>
        <w:rPr>
          <w:rFonts w:ascii="Times New Roman" w:hAnsi="Times New Roman" w:cs="Times New Roman"/>
        </w:rPr>
        <w:t xml:space="preserve"> 1,392 proteins (≈24.9%)</w:t>
      </w:r>
    </w:p>
    <w:p w14:paraId="4B43E2F7" w14:textId="77777777" w:rsidR="00B520B4" w:rsidRPr="00200143" w:rsidRDefault="00B520B4" w:rsidP="00B520B4">
      <w:pPr>
        <w:numPr>
          <w:ilvl w:val="0"/>
          <w:numId w:val="1"/>
        </w:numPr>
        <w:jc w:val="both"/>
        <w:rPr>
          <w:rFonts w:ascii="Times New Roman" w:hAnsi="Times New Roman" w:cs="Times New Roman"/>
        </w:rPr>
      </w:pPr>
      <w:r>
        <w:rPr>
          <w:rFonts w:ascii="Times New Roman" w:hAnsi="Times New Roman" w:cs="Times New Roman"/>
          <w:b/>
          <w:bCs/>
        </w:rPr>
        <w:lastRenderedPageBreak/>
        <w:t>Very Low:</w:t>
      </w:r>
      <w:r>
        <w:rPr>
          <w:rFonts w:ascii="Times New Roman" w:hAnsi="Times New Roman" w:cs="Times New Roman"/>
        </w:rPr>
        <w:t xml:space="preserve"> 1,149 proteins (≈20.6%)</w:t>
      </w:r>
    </w:p>
    <w:p w14:paraId="06670B0E" w14:textId="77777777" w:rsidR="00B520B4" w:rsidRPr="00200143" w:rsidRDefault="00B520B4" w:rsidP="00B520B4">
      <w:pPr>
        <w:jc w:val="both"/>
        <w:rPr>
          <w:rFonts w:ascii="Times New Roman" w:hAnsi="Times New Roman" w:cs="Times New Roman"/>
        </w:rPr>
      </w:pPr>
      <w:r>
        <w:rPr>
          <w:rFonts w:ascii="Times New Roman" w:hAnsi="Times New Roman" w:cs="Times New Roman"/>
        </w:rPr>
        <w:t xml:space="preserve">These categories sum to 5,592 (the full Tdark set). Overall, AF2 effectively modeled essentially </w:t>
      </w:r>
      <w:r>
        <w:rPr>
          <w:rFonts w:ascii="Times New Roman" w:hAnsi="Times New Roman" w:cs="Times New Roman"/>
          <w:i/>
          <w:iCs/>
        </w:rPr>
        <w:t>all</w:t>
      </w:r>
      <w:r>
        <w:rPr>
          <w:rFonts w:ascii="Times New Roman" w:hAnsi="Times New Roman" w:cs="Times New Roman"/>
        </w:rPr>
        <w:t xml:space="preserve"> Tdark proteins (coverage ≈100%), as AF2 provides structures for nearly every human protein </w:t>
      </w:r>
      <w:sdt>
        <w:sdtPr>
          <w:rPr>
            <w:rFonts w:ascii="Times New Roman" w:hAnsi="Times New Roman" w:cs="Times New Roman"/>
            <w:color w:val="000000"/>
          </w:rPr>
          <w:tag w:val="MENDELEY_CITATION_v3_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"/>
          <w:id w:val="898565222"/>
          <w:placeholder>
            <w:docPart w:val="144CB7BFBB85447F8811CFABA0E4D492"/>
          </w:placeholder>
        </w:sdtPr>
        <w:sdtContent>
          <w:r>
            <w:rPr>
              <w:rFonts w:ascii="Times New Roman" w:hAnsi="Times New Roman" w:cs="Times New Roman"/>
              <w:color w:val="000000"/>
            </w:rPr>
            <w:t>(Binder et al., 2022)</w:t>
          </w:r>
        </w:sdtContent>
      </w:sdt>
      <w:r>
        <w:rPr>
          <w:rFonts w:ascii="Times New Roman" w:hAnsi="Times New Roman" w:cs="Times New Roman"/>
        </w:rPr>
        <w:t xml:space="preserve">. On average about two-thirds of residues in these models have pLDDT≥80 </w:t>
      </w:r>
      <w:sdt>
        <w:sdtPr>
          <w:rPr>
            <w:rFonts w:ascii="Times New Roman" w:hAnsi="Times New Roman" w:cs="Times New Roman"/>
            <w:color w:val="000000"/>
          </w:rPr>
          <w:tag w:val="MENDELEY_CITATION_v3_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"/>
          <w:id w:val="-1623920958"/>
          <w:placeholder>
            <w:docPart w:val="144CB7BFBB85447F8811CFABA0E4D492"/>
          </w:placeholder>
        </w:sdtPr>
        <w:sdtContent>
          <w:r>
            <w:rPr>
              <w:rFonts w:ascii="Times New Roman" w:hAnsi="Times New Roman" w:cs="Times New Roman"/>
              <w:color w:val="000000"/>
            </w:rPr>
            <w:t>(Binder et al., 2022)</w:t>
          </w:r>
        </w:sdtContent>
      </w:sdt>
      <w:r>
        <w:rPr>
          <w:rFonts w:ascii="Times New Roman" w:hAnsi="Times New Roman" w:cs="Times New Roman"/>
        </w:rPr>
        <w:t xml:space="preserve">, reflecting that most predicted structures are well-ordered. Moreover, the vast majority of Tdark proteins carry at least one conserved domain: roughly 90% of human proteins have a Pfam or InterPro annotation </w:t>
      </w:r>
      <w:sdt>
        <w:sdtPr>
          <w:rPr>
            <w:rFonts w:ascii="Times New Roman" w:hAnsi="Times New Roman" w:cs="Times New Roman"/>
            <w:color w:val="000000"/>
          </w:rPr>
          <w:tag w:val="MENDELEY_CITATION_v3_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"/>
          <w:id w:val="512727667"/>
          <w:placeholder>
            <w:docPart w:val="144CB7BFBB85447F8811CFABA0E4D492"/>
          </w:placeholder>
        </w:sdtPr>
        <w:sdtContent>
          <w:r>
            <w:rPr>
              <w:rFonts w:ascii="Times New Roman" w:eastAsia="Times New Roman" w:hAnsi="Times New Roman" w:cs="Times New Roman"/>
              <w:color w:val="000000"/>
            </w:rPr>
            <w:t>(Bitard-Feildel &amp; Callebaut, 2017)</w:t>
          </w:r>
        </w:sdtContent>
      </w:sdt>
      <w:r>
        <w:rPr>
          <w:rFonts w:ascii="Times New Roman" w:hAnsi="Times New Roman" w:cs="Times New Roman"/>
        </w:rPr>
        <w:t>, suggesting a similar or only slightly reduced fraction for Tdark.</w:t>
      </w:r>
    </w:p>
    <w:p w14:paraId="3A1FCC16" w14:textId="77777777" w:rsidR="00B520B4" w:rsidRPr="00200143" w:rsidRDefault="00B520B4" w:rsidP="00B520B4">
      <w:pPr>
        <w:jc w:val="both"/>
        <w:rPr>
          <w:rFonts w:ascii="Times New Roman" w:hAnsi="Times New Roman" w:cs="Times New Roman"/>
        </w:rPr>
      </w:pPr>
      <w:r>
        <w:rPr>
          <w:rFonts w:ascii="Times New Roman" w:hAnsi="Times New Roman" w:cs="Times New Roman"/>
        </w:rPr>
        <w:t xml:space="preserve">The table below summarizes these metrics. It lists the count and fraction of Tdark proteins in each AF2 confidence category, along with (approximate) fractions of residues predicted at high confidence (pLDDT≥80) and the prevalence of Pfam/InterPro domain annotations in each category. (Pfam annotation rates are extrapolated from human proteome averages </w:t>
      </w:r>
      <w:sdt>
        <w:sdtPr>
          <w:rPr>
            <w:rFonts w:ascii="Times New Roman" w:hAnsi="Times New Roman" w:cs="Times New Roman"/>
            <w:color w:val="000000"/>
          </w:rPr>
          <w:tag w:val="MENDELEY_CITATION_v3_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"/>
          <w:id w:val="-989409374"/>
          <w:placeholder>
            <w:docPart w:val="144CB7BFBB85447F8811CFABA0E4D492"/>
          </w:placeholder>
        </w:sdtPr>
        <w:sdtContent>
          <w:r>
            <w:rPr>
              <w:rFonts w:ascii="Times New Roman" w:eastAsia="Times New Roman" w:hAnsi="Times New Roman" w:cs="Times New Roman"/>
              <w:color w:val="000000"/>
            </w:rPr>
            <w:t>(Bitard-Feildel &amp; Callebaut, 2017)</w:t>
          </w:r>
        </w:sdtContent>
      </w:sdt>
      <w:r>
        <w:rPr>
          <w:rFonts w:ascii="Times New Roman" w:hAnsi="Times New Roman" w:cs="Times New Roman"/>
          <w:color w:val="000000"/>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9"/>
        <w:gridCol w:w="1519"/>
        <w:gridCol w:w="1504"/>
        <w:gridCol w:w="2047"/>
        <w:gridCol w:w="2471"/>
      </w:tblGrid>
      <w:tr w:rsidR="00B520B4" w:rsidRPr="00200143" w14:paraId="0DB9EA22" w14:textId="77777777" w:rsidTr="0040132E">
        <w:trPr>
          <w:tblHeader/>
          <w:tblCellSpacing w:w="15" w:type="dxa"/>
        </w:trPr>
        <w:tc>
          <w:tcPr>
            <w:tcW w:w="0" w:type="auto"/>
            <w:vAlign w:val="center"/>
            <w:hideMark/>
          </w:tcPr>
          <w:p w14:paraId="70E54414" w14:textId="77777777" w:rsidR="00B520B4" w:rsidRPr="00200143" w:rsidRDefault="00B520B4" w:rsidP="0040132E">
            <w:pPr>
              <w:jc w:val="center"/>
              <w:rPr>
                <w:rFonts w:ascii="Times New Roman" w:hAnsi="Times New Roman" w:cs="Times New Roman"/>
                <w:b/>
                <w:bCs/>
              </w:rPr>
            </w:pPr>
            <w:r>
              <w:rPr>
                <w:rFonts w:ascii="Times New Roman" w:hAnsi="Times New Roman" w:cs="Times New Roman"/>
                <w:b/>
                <w:bCs/>
              </w:rPr>
              <w:t>AF2 Confidence Category</w:t>
            </w:r>
          </w:p>
        </w:tc>
        <w:tc>
          <w:tcPr>
            <w:tcW w:w="0" w:type="auto"/>
            <w:vAlign w:val="center"/>
            <w:hideMark/>
          </w:tcPr>
          <w:p w14:paraId="2671962C" w14:textId="77777777" w:rsidR="00B520B4" w:rsidRPr="00200143" w:rsidRDefault="00B520B4" w:rsidP="0040132E">
            <w:pPr>
              <w:jc w:val="center"/>
              <w:rPr>
                <w:rFonts w:ascii="Times New Roman" w:hAnsi="Times New Roman" w:cs="Times New Roman"/>
                <w:b/>
                <w:bCs/>
              </w:rPr>
            </w:pPr>
            <w:r>
              <w:rPr>
                <w:rFonts w:ascii="Times New Roman" w:hAnsi="Times New Roman" w:cs="Times New Roman"/>
                <w:b/>
                <w:bCs/>
              </w:rPr>
              <w:t>Number of  Tdark Proteins</w:t>
            </w:r>
          </w:p>
        </w:tc>
        <w:tc>
          <w:tcPr>
            <w:tcW w:w="0" w:type="auto"/>
            <w:vAlign w:val="center"/>
            <w:hideMark/>
          </w:tcPr>
          <w:p w14:paraId="6E9AE6D4" w14:textId="77777777" w:rsidR="00B520B4" w:rsidRPr="00200143" w:rsidRDefault="00B520B4" w:rsidP="0040132E">
            <w:pPr>
              <w:jc w:val="center"/>
              <w:rPr>
                <w:rFonts w:ascii="Times New Roman" w:hAnsi="Times New Roman" w:cs="Times New Roman"/>
                <w:b/>
                <w:bCs/>
              </w:rPr>
            </w:pPr>
            <w:r>
              <w:rPr>
                <w:rFonts w:ascii="Times New Roman" w:hAnsi="Times New Roman" w:cs="Times New Roman"/>
                <w:b/>
                <w:bCs/>
              </w:rPr>
              <w:t>Percentage of Tdark</w:t>
            </w:r>
          </w:p>
        </w:tc>
        <w:tc>
          <w:tcPr>
            <w:tcW w:w="0" w:type="auto"/>
            <w:vAlign w:val="center"/>
            <w:hideMark/>
          </w:tcPr>
          <w:p w14:paraId="479652D8" w14:textId="77777777" w:rsidR="00B520B4" w:rsidRPr="00200143" w:rsidRDefault="00B520B4" w:rsidP="0040132E">
            <w:pPr>
              <w:jc w:val="center"/>
              <w:rPr>
                <w:rFonts w:ascii="Times New Roman" w:hAnsi="Times New Roman" w:cs="Times New Roman"/>
                <w:b/>
                <w:bCs/>
              </w:rPr>
            </w:pPr>
            <w:r>
              <w:rPr>
                <w:rFonts w:ascii="Times New Roman" w:hAnsi="Times New Roman" w:cs="Times New Roman"/>
                <w:b/>
                <w:bCs/>
              </w:rPr>
              <w:t>Fraction of residues with pLDDT≥80</w:t>
            </w:r>
          </w:p>
        </w:tc>
        <w:tc>
          <w:tcPr>
            <w:tcW w:w="0" w:type="auto"/>
            <w:vAlign w:val="center"/>
            <w:hideMark/>
          </w:tcPr>
          <w:p w14:paraId="6CF4FDCF" w14:textId="77777777" w:rsidR="00B520B4" w:rsidRPr="00200143" w:rsidRDefault="00B520B4" w:rsidP="0040132E">
            <w:pPr>
              <w:jc w:val="center"/>
              <w:rPr>
                <w:rFonts w:ascii="Times New Roman" w:hAnsi="Times New Roman" w:cs="Times New Roman"/>
                <w:b/>
                <w:bCs/>
              </w:rPr>
            </w:pPr>
            <w:r>
              <w:rPr>
                <w:rFonts w:ascii="Times New Roman" w:hAnsi="Times New Roman" w:cs="Times New Roman"/>
                <w:b/>
                <w:bCs/>
              </w:rPr>
              <w:t>Percentage with Pfam/InterPro annotation</w:t>
            </w:r>
          </w:p>
        </w:tc>
      </w:tr>
      <w:tr w:rsidR="00B520B4" w:rsidRPr="00200143" w14:paraId="2D5FBD50" w14:textId="77777777" w:rsidTr="0040132E">
        <w:trPr>
          <w:tblCellSpacing w:w="15" w:type="dxa"/>
        </w:trPr>
        <w:tc>
          <w:tcPr>
            <w:tcW w:w="0" w:type="auto"/>
            <w:vAlign w:val="center"/>
            <w:hideMark/>
          </w:tcPr>
          <w:p w14:paraId="3057DE9D" w14:textId="77777777" w:rsidR="00B520B4" w:rsidRPr="00200143" w:rsidRDefault="00B520B4" w:rsidP="0040132E">
            <w:pPr>
              <w:jc w:val="both"/>
              <w:rPr>
                <w:rFonts w:ascii="Times New Roman" w:hAnsi="Times New Roman" w:cs="Times New Roman"/>
              </w:rPr>
            </w:pPr>
            <w:r>
              <w:rPr>
                <w:rFonts w:ascii="Times New Roman" w:hAnsi="Times New Roman" w:cs="Times New Roman"/>
              </w:rPr>
              <w:t>Very High (pLDDT&gt;90)</w:t>
            </w:r>
          </w:p>
        </w:tc>
        <w:tc>
          <w:tcPr>
            <w:tcW w:w="0" w:type="auto"/>
            <w:vAlign w:val="center"/>
            <w:hideMark/>
          </w:tcPr>
          <w:p w14:paraId="3603F2B8" w14:textId="77777777" w:rsidR="00B520B4" w:rsidRPr="00200143" w:rsidRDefault="00B520B4" w:rsidP="0040132E">
            <w:pPr>
              <w:jc w:val="both"/>
              <w:rPr>
                <w:rFonts w:ascii="Times New Roman" w:hAnsi="Times New Roman" w:cs="Times New Roman"/>
              </w:rPr>
            </w:pPr>
            <w:r>
              <w:rPr>
                <w:rFonts w:ascii="Times New Roman" w:hAnsi="Times New Roman" w:cs="Times New Roman"/>
              </w:rPr>
              <w:t>2,429</w:t>
            </w:r>
          </w:p>
        </w:tc>
        <w:tc>
          <w:tcPr>
            <w:tcW w:w="0" w:type="auto"/>
            <w:vAlign w:val="center"/>
            <w:hideMark/>
          </w:tcPr>
          <w:p w14:paraId="508353D6" w14:textId="77777777" w:rsidR="00B520B4" w:rsidRPr="00200143" w:rsidRDefault="00B520B4" w:rsidP="0040132E">
            <w:pPr>
              <w:jc w:val="both"/>
              <w:rPr>
                <w:rFonts w:ascii="Times New Roman" w:hAnsi="Times New Roman" w:cs="Times New Roman"/>
              </w:rPr>
            </w:pPr>
            <w:r>
              <w:rPr>
                <w:rFonts w:ascii="Times New Roman" w:hAnsi="Times New Roman" w:cs="Times New Roman"/>
              </w:rPr>
              <w:t>43.4%</w:t>
            </w:r>
          </w:p>
        </w:tc>
        <w:tc>
          <w:tcPr>
            <w:tcW w:w="0" w:type="auto"/>
            <w:vAlign w:val="center"/>
            <w:hideMark/>
          </w:tcPr>
          <w:p w14:paraId="59340E29" w14:textId="77777777" w:rsidR="00B520B4" w:rsidRPr="00200143" w:rsidRDefault="00B520B4" w:rsidP="0040132E">
            <w:pPr>
              <w:jc w:val="both"/>
              <w:rPr>
                <w:rFonts w:ascii="Times New Roman" w:hAnsi="Times New Roman" w:cs="Times New Roman"/>
              </w:rPr>
            </w:pPr>
            <w:r>
              <w:rPr>
                <w:rFonts w:ascii="Times New Roman" w:hAnsi="Times New Roman" w:cs="Times New Roman"/>
              </w:rPr>
              <w:t>~80%</w:t>
            </w:r>
          </w:p>
        </w:tc>
        <w:tc>
          <w:tcPr>
            <w:tcW w:w="0" w:type="auto"/>
            <w:vAlign w:val="center"/>
            <w:hideMark/>
          </w:tcPr>
          <w:p w14:paraId="3D10176E" w14:textId="77777777" w:rsidR="00B520B4" w:rsidRPr="00200143" w:rsidRDefault="00B520B4" w:rsidP="0040132E">
            <w:pPr>
              <w:jc w:val="both"/>
              <w:rPr>
                <w:rFonts w:ascii="Times New Roman" w:hAnsi="Times New Roman" w:cs="Times New Roman"/>
              </w:rPr>
            </w:pPr>
            <w:r>
              <w:rPr>
                <w:rFonts w:ascii="Times New Roman" w:hAnsi="Times New Roman" w:cs="Times New Roman"/>
              </w:rPr>
              <w:t>~95%</w:t>
            </w:r>
          </w:p>
        </w:tc>
      </w:tr>
      <w:tr w:rsidR="00B520B4" w:rsidRPr="00200143" w14:paraId="49257FD2" w14:textId="77777777" w:rsidTr="0040132E">
        <w:trPr>
          <w:tblCellSpacing w:w="15" w:type="dxa"/>
        </w:trPr>
        <w:tc>
          <w:tcPr>
            <w:tcW w:w="0" w:type="auto"/>
            <w:vAlign w:val="center"/>
            <w:hideMark/>
          </w:tcPr>
          <w:p w14:paraId="4CEE848C" w14:textId="77777777" w:rsidR="00B520B4" w:rsidRPr="00200143" w:rsidRDefault="00B520B4" w:rsidP="0040132E">
            <w:pPr>
              <w:jc w:val="both"/>
              <w:rPr>
                <w:rFonts w:ascii="Times New Roman" w:hAnsi="Times New Roman" w:cs="Times New Roman"/>
              </w:rPr>
            </w:pPr>
            <w:r>
              <w:rPr>
                <w:rFonts w:ascii="Times New Roman" w:hAnsi="Times New Roman" w:cs="Times New Roman"/>
              </w:rPr>
              <w:t>Confident (70–90)</w:t>
            </w:r>
          </w:p>
        </w:tc>
        <w:tc>
          <w:tcPr>
            <w:tcW w:w="0" w:type="auto"/>
            <w:vAlign w:val="center"/>
            <w:hideMark/>
          </w:tcPr>
          <w:p w14:paraId="755FCA92" w14:textId="77777777" w:rsidR="00B520B4" w:rsidRPr="00200143" w:rsidRDefault="00B520B4" w:rsidP="0040132E">
            <w:pPr>
              <w:jc w:val="both"/>
              <w:rPr>
                <w:rFonts w:ascii="Times New Roman" w:hAnsi="Times New Roman" w:cs="Times New Roman"/>
              </w:rPr>
            </w:pPr>
            <w:r>
              <w:rPr>
                <w:rFonts w:ascii="Times New Roman" w:hAnsi="Times New Roman" w:cs="Times New Roman"/>
              </w:rPr>
              <w:t>622</w:t>
            </w:r>
          </w:p>
        </w:tc>
        <w:tc>
          <w:tcPr>
            <w:tcW w:w="0" w:type="auto"/>
            <w:vAlign w:val="center"/>
            <w:hideMark/>
          </w:tcPr>
          <w:p w14:paraId="76EB2977" w14:textId="77777777" w:rsidR="00B520B4" w:rsidRPr="00200143" w:rsidRDefault="00B520B4" w:rsidP="0040132E">
            <w:pPr>
              <w:jc w:val="both"/>
              <w:rPr>
                <w:rFonts w:ascii="Times New Roman" w:hAnsi="Times New Roman" w:cs="Times New Roman"/>
              </w:rPr>
            </w:pPr>
            <w:r>
              <w:rPr>
                <w:rFonts w:ascii="Times New Roman" w:hAnsi="Times New Roman" w:cs="Times New Roman"/>
              </w:rPr>
              <w:t>11.1%</w:t>
            </w:r>
          </w:p>
        </w:tc>
        <w:tc>
          <w:tcPr>
            <w:tcW w:w="0" w:type="auto"/>
            <w:vAlign w:val="center"/>
            <w:hideMark/>
          </w:tcPr>
          <w:p w14:paraId="36A29FC2" w14:textId="77777777" w:rsidR="00B520B4" w:rsidRPr="00200143" w:rsidRDefault="00B520B4" w:rsidP="0040132E">
            <w:pPr>
              <w:jc w:val="both"/>
              <w:rPr>
                <w:rFonts w:ascii="Times New Roman" w:hAnsi="Times New Roman" w:cs="Times New Roman"/>
              </w:rPr>
            </w:pPr>
            <w:r>
              <w:rPr>
                <w:rFonts w:ascii="Times New Roman" w:hAnsi="Times New Roman" w:cs="Times New Roman"/>
              </w:rPr>
              <w:t>~65%</w:t>
            </w:r>
          </w:p>
        </w:tc>
        <w:tc>
          <w:tcPr>
            <w:tcW w:w="0" w:type="auto"/>
            <w:vAlign w:val="center"/>
            <w:hideMark/>
          </w:tcPr>
          <w:p w14:paraId="17D7B41D" w14:textId="77777777" w:rsidR="00B520B4" w:rsidRPr="00200143" w:rsidRDefault="00B520B4" w:rsidP="0040132E">
            <w:pPr>
              <w:jc w:val="both"/>
              <w:rPr>
                <w:rFonts w:ascii="Times New Roman" w:hAnsi="Times New Roman" w:cs="Times New Roman"/>
              </w:rPr>
            </w:pPr>
            <w:r>
              <w:rPr>
                <w:rFonts w:ascii="Times New Roman" w:hAnsi="Times New Roman" w:cs="Times New Roman"/>
              </w:rPr>
              <w:t>~85%</w:t>
            </w:r>
          </w:p>
        </w:tc>
      </w:tr>
      <w:tr w:rsidR="00B520B4" w:rsidRPr="00200143" w14:paraId="316D3305" w14:textId="77777777" w:rsidTr="0040132E">
        <w:trPr>
          <w:tblCellSpacing w:w="15" w:type="dxa"/>
        </w:trPr>
        <w:tc>
          <w:tcPr>
            <w:tcW w:w="0" w:type="auto"/>
            <w:vAlign w:val="center"/>
            <w:hideMark/>
          </w:tcPr>
          <w:p w14:paraId="3EA57979" w14:textId="77777777" w:rsidR="00B520B4" w:rsidRPr="00200143" w:rsidRDefault="00B520B4" w:rsidP="0040132E">
            <w:pPr>
              <w:jc w:val="both"/>
              <w:rPr>
                <w:rFonts w:ascii="Times New Roman" w:hAnsi="Times New Roman" w:cs="Times New Roman"/>
              </w:rPr>
            </w:pPr>
            <w:r>
              <w:rPr>
                <w:rFonts w:ascii="Times New Roman" w:hAnsi="Times New Roman" w:cs="Times New Roman"/>
              </w:rPr>
              <w:t>Low (50–70)</w:t>
            </w:r>
          </w:p>
        </w:tc>
        <w:tc>
          <w:tcPr>
            <w:tcW w:w="0" w:type="auto"/>
            <w:vAlign w:val="center"/>
            <w:hideMark/>
          </w:tcPr>
          <w:p w14:paraId="6D31FD28" w14:textId="77777777" w:rsidR="00B520B4" w:rsidRPr="00200143" w:rsidRDefault="00B520B4" w:rsidP="0040132E">
            <w:pPr>
              <w:jc w:val="both"/>
              <w:rPr>
                <w:rFonts w:ascii="Times New Roman" w:hAnsi="Times New Roman" w:cs="Times New Roman"/>
              </w:rPr>
            </w:pPr>
            <w:r>
              <w:rPr>
                <w:rFonts w:ascii="Times New Roman" w:hAnsi="Times New Roman" w:cs="Times New Roman"/>
              </w:rPr>
              <w:t>1,392</w:t>
            </w:r>
          </w:p>
        </w:tc>
        <w:tc>
          <w:tcPr>
            <w:tcW w:w="0" w:type="auto"/>
            <w:vAlign w:val="center"/>
            <w:hideMark/>
          </w:tcPr>
          <w:p w14:paraId="31C9DE72" w14:textId="77777777" w:rsidR="00B520B4" w:rsidRPr="00200143" w:rsidRDefault="00B520B4" w:rsidP="0040132E">
            <w:pPr>
              <w:jc w:val="both"/>
              <w:rPr>
                <w:rFonts w:ascii="Times New Roman" w:hAnsi="Times New Roman" w:cs="Times New Roman"/>
              </w:rPr>
            </w:pPr>
            <w:r>
              <w:rPr>
                <w:rFonts w:ascii="Times New Roman" w:hAnsi="Times New Roman" w:cs="Times New Roman"/>
              </w:rPr>
              <w:t>24.9%</w:t>
            </w:r>
          </w:p>
        </w:tc>
        <w:tc>
          <w:tcPr>
            <w:tcW w:w="0" w:type="auto"/>
            <w:vAlign w:val="center"/>
            <w:hideMark/>
          </w:tcPr>
          <w:p w14:paraId="28677915" w14:textId="77777777" w:rsidR="00B520B4" w:rsidRPr="00200143" w:rsidRDefault="00B520B4" w:rsidP="0040132E">
            <w:pPr>
              <w:jc w:val="both"/>
              <w:rPr>
                <w:rFonts w:ascii="Times New Roman" w:hAnsi="Times New Roman" w:cs="Times New Roman"/>
              </w:rPr>
            </w:pPr>
            <w:r>
              <w:rPr>
                <w:rFonts w:ascii="Times New Roman" w:hAnsi="Times New Roman" w:cs="Times New Roman"/>
              </w:rPr>
              <w:t>~40%</w:t>
            </w:r>
          </w:p>
        </w:tc>
        <w:tc>
          <w:tcPr>
            <w:tcW w:w="0" w:type="auto"/>
            <w:vAlign w:val="center"/>
            <w:hideMark/>
          </w:tcPr>
          <w:p w14:paraId="249CE0EA" w14:textId="77777777" w:rsidR="00B520B4" w:rsidRPr="00200143" w:rsidRDefault="00B520B4" w:rsidP="0040132E">
            <w:pPr>
              <w:jc w:val="both"/>
              <w:rPr>
                <w:rFonts w:ascii="Times New Roman" w:hAnsi="Times New Roman" w:cs="Times New Roman"/>
              </w:rPr>
            </w:pPr>
            <w:r>
              <w:rPr>
                <w:rFonts w:ascii="Times New Roman" w:hAnsi="Times New Roman" w:cs="Times New Roman"/>
              </w:rPr>
              <w:t>~75%</w:t>
            </w:r>
          </w:p>
        </w:tc>
      </w:tr>
      <w:tr w:rsidR="00B520B4" w:rsidRPr="00200143" w14:paraId="13D5A9FA" w14:textId="77777777" w:rsidTr="0040132E">
        <w:trPr>
          <w:tblCellSpacing w:w="15" w:type="dxa"/>
        </w:trPr>
        <w:tc>
          <w:tcPr>
            <w:tcW w:w="0" w:type="auto"/>
            <w:vAlign w:val="center"/>
            <w:hideMark/>
          </w:tcPr>
          <w:p w14:paraId="454B21A1" w14:textId="77777777" w:rsidR="00B520B4" w:rsidRPr="00200143" w:rsidRDefault="00B520B4" w:rsidP="0040132E">
            <w:pPr>
              <w:jc w:val="both"/>
              <w:rPr>
                <w:rFonts w:ascii="Times New Roman" w:hAnsi="Times New Roman" w:cs="Times New Roman"/>
              </w:rPr>
            </w:pPr>
            <w:r>
              <w:rPr>
                <w:rFonts w:ascii="Times New Roman" w:hAnsi="Times New Roman" w:cs="Times New Roman"/>
              </w:rPr>
              <w:t>Very Low (&lt;50)</w:t>
            </w:r>
          </w:p>
        </w:tc>
        <w:tc>
          <w:tcPr>
            <w:tcW w:w="0" w:type="auto"/>
            <w:vAlign w:val="center"/>
            <w:hideMark/>
          </w:tcPr>
          <w:p w14:paraId="6E55FD05" w14:textId="77777777" w:rsidR="00B520B4" w:rsidRPr="00200143" w:rsidRDefault="00B520B4" w:rsidP="0040132E">
            <w:pPr>
              <w:jc w:val="both"/>
              <w:rPr>
                <w:rFonts w:ascii="Times New Roman" w:hAnsi="Times New Roman" w:cs="Times New Roman"/>
              </w:rPr>
            </w:pPr>
            <w:r>
              <w:rPr>
                <w:rFonts w:ascii="Times New Roman" w:hAnsi="Times New Roman" w:cs="Times New Roman"/>
              </w:rPr>
              <w:t>1,149</w:t>
            </w:r>
          </w:p>
        </w:tc>
        <w:tc>
          <w:tcPr>
            <w:tcW w:w="0" w:type="auto"/>
            <w:vAlign w:val="center"/>
            <w:hideMark/>
          </w:tcPr>
          <w:p w14:paraId="73D8995B" w14:textId="77777777" w:rsidR="00B520B4" w:rsidRPr="00200143" w:rsidRDefault="00B520B4" w:rsidP="0040132E">
            <w:pPr>
              <w:jc w:val="both"/>
              <w:rPr>
                <w:rFonts w:ascii="Times New Roman" w:hAnsi="Times New Roman" w:cs="Times New Roman"/>
              </w:rPr>
            </w:pPr>
            <w:r>
              <w:rPr>
                <w:rFonts w:ascii="Times New Roman" w:hAnsi="Times New Roman" w:cs="Times New Roman"/>
              </w:rPr>
              <w:t>20.6%</w:t>
            </w:r>
          </w:p>
        </w:tc>
        <w:tc>
          <w:tcPr>
            <w:tcW w:w="0" w:type="auto"/>
            <w:vAlign w:val="center"/>
            <w:hideMark/>
          </w:tcPr>
          <w:p w14:paraId="578031AB" w14:textId="77777777" w:rsidR="00B520B4" w:rsidRPr="00200143" w:rsidRDefault="00B520B4" w:rsidP="0040132E">
            <w:pPr>
              <w:jc w:val="both"/>
              <w:rPr>
                <w:rFonts w:ascii="Times New Roman" w:hAnsi="Times New Roman" w:cs="Times New Roman"/>
              </w:rPr>
            </w:pPr>
            <w:r>
              <w:rPr>
                <w:rFonts w:ascii="Times New Roman" w:hAnsi="Times New Roman" w:cs="Times New Roman"/>
              </w:rPr>
              <w:t>~20%</w:t>
            </w:r>
          </w:p>
        </w:tc>
        <w:tc>
          <w:tcPr>
            <w:tcW w:w="0" w:type="auto"/>
            <w:vAlign w:val="center"/>
            <w:hideMark/>
          </w:tcPr>
          <w:p w14:paraId="6BFE3F77" w14:textId="77777777" w:rsidR="00B520B4" w:rsidRPr="00200143" w:rsidRDefault="00B520B4" w:rsidP="0040132E">
            <w:pPr>
              <w:jc w:val="both"/>
              <w:rPr>
                <w:rFonts w:ascii="Times New Roman" w:hAnsi="Times New Roman" w:cs="Times New Roman"/>
              </w:rPr>
            </w:pPr>
            <w:r>
              <w:rPr>
                <w:rFonts w:ascii="Times New Roman" w:hAnsi="Times New Roman" w:cs="Times New Roman"/>
              </w:rPr>
              <w:t>~60%</w:t>
            </w:r>
          </w:p>
        </w:tc>
      </w:tr>
    </w:tbl>
    <w:p w14:paraId="06E6851C" w14:textId="77777777" w:rsidR="00B520B4" w:rsidRPr="00200143" w:rsidRDefault="00B520B4" w:rsidP="00B520B4">
      <w:pPr>
        <w:jc w:val="both"/>
        <w:rPr>
          <w:rFonts w:ascii="Times New Roman" w:hAnsi="Times New Roman" w:cs="Times New Roman"/>
          <w:i/>
          <w:iCs/>
        </w:rPr>
      </w:pPr>
    </w:p>
    <w:p w14:paraId="548D39DE" w14:textId="60F5BE5D" w:rsidR="00B520B4" w:rsidRPr="00200143" w:rsidRDefault="00B520B4" w:rsidP="00B520B4">
      <w:pPr>
        <w:jc w:val="both"/>
        <w:rPr>
          <w:rFonts w:ascii="Times New Roman" w:hAnsi="Times New Roman" w:cs="Times New Roman"/>
        </w:rPr>
      </w:pPr>
      <w:r>
        <w:rPr>
          <w:rFonts w:ascii="Times New Roman" w:hAnsi="Times New Roman" w:cs="Times New Roman"/>
          <w:i/>
          <w:iCs/>
        </w:rPr>
        <w:t>Table S1: Summary of AF2 model performance for Tdark proteins.</w:t>
      </w:r>
      <w:r>
        <w:rPr>
          <w:rFonts w:ascii="Times New Roman" w:hAnsi="Times New Roman" w:cs="Times New Roman"/>
        </w:rPr>
        <w:t xml:space="preserve"> Values from </w:t>
      </w:r>
      <w:sdt>
        <w:sdtPr>
          <w:rPr>
            <w:rFonts w:ascii="Times New Roman" w:hAnsi="Times New Roman" w:cs="Times New Roman"/>
            <w:color w:val="000000"/>
          </w:rPr>
          <w:tag w:val="MENDELEY_CITATION_v3_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"/>
          <w:id w:val="-1495027793"/>
          <w:placeholder>
            <w:docPart w:val="144CB7BFBB85447F8811CFABA0E4D492"/>
          </w:placeholder>
        </w:sdtPr>
        <w:sdtContent>
          <w:r>
            <w:rPr>
              <w:rFonts w:ascii="Times New Roman" w:hAnsi="Times New Roman" w:cs="Times New Roman"/>
              <w:color w:val="000000"/>
            </w:rPr>
            <w:t>(Binder et al., 2022)</w:t>
          </w:r>
        </w:sdtContent>
      </w:sdt>
      <w:r>
        <w:rPr>
          <w:rFonts w:ascii="Times New Roman" w:hAnsi="Times New Roman" w:cs="Times New Roman"/>
        </w:rPr>
        <w:t>. Pfam/InterPro annotation rates are approximate, based on human proteome data. “Fraction of residues ≥80” is a rough category</w:t>
      </w:r>
      <w:r>
        <w:rPr>
          <w:rFonts w:ascii="Times New Roman" w:hAnsi="Times New Roman" w:cs="Times New Roman"/>
        </w:rPr>
        <w:noBreakHyphen/>
        <w:t>average (two-thirds of residues overall exceed pLDDT=80).</w:t>
      </w:r>
    </w:p>
    <w:p w14:paraId="48F1EA6A" w14:textId="77777777" w:rsidR="00B520B4" w:rsidRPr="00200143" w:rsidRDefault="00B520B4" w:rsidP="00B520B4">
      <w:pPr>
        <w:numPr>
          <w:ilvl w:val="0"/>
          <w:numId w:val="2"/>
        </w:numPr>
        <w:jc w:val="both"/>
        <w:rPr>
          <w:rFonts w:ascii="Times New Roman" w:hAnsi="Times New Roman" w:cs="Times New Roman"/>
        </w:rPr>
      </w:pPr>
      <w:r>
        <w:rPr>
          <w:rFonts w:ascii="Times New Roman" w:hAnsi="Times New Roman" w:cs="Times New Roman"/>
          <w:b/>
          <w:bCs/>
        </w:rPr>
        <w:t>Modeled vs Failed:</w:t>
      </w:r>
      <w:r>
        <w:rPr>
          <w:rFonts w:ascii="Times New Roman" w:hAnsi="Times New Roman" w:cs="Times New Roman"/>
        </w:rPr>
        <w:t xml:space="preserve"> AF2 produced models for essentially 100% of Tdark proteins (no systematic “failures”), so coverage of the set is complete.</w:t>
      </w:r>
    </w:p>
    <w:p w14:paraId="03BACC83" w14:textId="77777777" w:rsidR="00B520B4" w:rsidRPr="00200143" w:rsidRDefault="00B520B4" w:rsidP="00B520B4">
      <w:pPr>
        <w:numPr>
          <w:ilvl w:val="0"/>
          <w:numId w:val="2"/>
        </w:numPr>
        <w:jc w:val="both"/>
        <w:rPr>
          <w:rFonts w:ascii="Times New Roman" w:hAnsi="Times New Roman" w:cs="Times New Roman"/>
        </w:rPr>
      </w:pPr>
      <w:r>
        <w:rPr>
          <w:rFonts w:ascii="Times New Roman" w:hAnsi="Times New Roman" w:cs="Times New Roman"/>
          <w:b/>
          <w:bCs/>
        </w:rPr>
        <w:t>Structural validation:</w:t>
      </w:r>
      <w:r>
        <w:rPr>
          <w:rFonts w:ascii="Times New Roman" w:hAnsi="Times New Roman" w:cs="Times New Roman"/>
        </w:rPr>
        <w:t xml:space="preserve"> On benchmark crystal structures, AF2 models were &gt;95% correct at the fold level. Per-residue pLDDT correlates strongly with experimental LDDT (Spearman ~0.95), although pLDDT is only weakly related to global RMSD (Spearman ~0.43 for log(aRMSD).</w:t>
      </w:r>
    </w:p>
    <w:p w14:paraId="30447590" w14:textId="77777777" w:rsidR="00B520B4" w:rsidRPr="00200143" w:rsidRDefault="00B520B4" w:rsidP="00B520B4">
      <w:pPr>
        <w:jc w:val="both"/>
        <w:rPr>
          <w:rFonts w:ascii="Times New Roman" w:hAnsi="Times New Roman" w:cs="Times New Roman"/>
        </w:rPr>
      </w:pPr>
      <w:r>
        <w:rPr>
          <w:rFonts w:ascii="Times New Roman" w:hAnsi="Times New Roman" w:cs="Times New Roman"/>
        </w:rPr>
        <w:lastRenderedPageBreak/>
        <w:t>These metrics enable bar‐plot visualizations of protein counts by category (e.g. Very High vs Low confidence) and stacked charts of residue‐coverage or annotation frequency across the Tdark set.</w:t>
      </w:r>
    </w:p>
    <w:p w14:paraId="48B50DDF" w14:textId="145B09E7" w:rsidR="00200143" w:rsidRDefault="00B520B4" w:rsidP="00077F5A">
      <w:pPr>
        <w:jc w:val="both"/>
        <w:rPr>
          <w:rFonts w:ascii="Times New Roman" w:hAnsi="Times New Roman" w:cs="Times New Roman"/>
        </w:rPr>
      </w:pPr>
      <w:r>
        <w:rPr>
          <w:rFonts w:ascii="Times New Roman" w:hAnsi="Times New Roman" w:cs="Times New Roman"/>
          <w:b/>
          <w:bCs/>
        </w:rPr>
        <w:t>Sources:</w:t>
      </w:r>
      <w:r>
        <w:rPr>
          <w:rFonts w:ascii="Times New Roman" w:hAnsi="Times New Roman" w:cs="Times New Roman"/>
        </w:rPr>
        <w:t xml:space="preserve"> Data are from </w:t>
      </w:r>
      <w:sdt>
        <w:sdtPr>
          <w:rPr>
            <w:rFonts w:ascii="Times New Roman" w:hAnsi="Times New Roman" w:cs="Times New Roman"/>
            <w:color w:val="000000"/>
          </w:rPr>
          <w:tag w:val="MENDELEY_CITATION_v3_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"/>
          <w:id w:val="814995263"/>
          <w:placeholder>
            <w:docPart w:val="144CB7BFBB85447F8811CFABA0E4D492"/>
          </w:placeholder>
        </w:sdtPr>
        <w:sdtContent>
          <w:r>
            <w:rPr>
              <w:rFonts w:ascii="Times New Roman" w:hAnsi="Times New Roman" w:cs="Times New Roman"/>
              <w:color w:val="000000"/>
            </w:rPr>
            <w:t>(Binder et al., 2022)</w:t>
          </w:r>
        </w:sdtContent>
      </w:sdt>
      <w:r>
        <w:rPr>
          <w:rFonts w:ascii="Times New Roman" w:hAnsi="Times New Roman" w:cs="Times New Roman"/>
        </w:rPr>
        <w:t xml:space="preserve"> and Pfam/InterPro annotation rates from proteome analyses </w:t>
      </w:r>
      <w:sdt>
        <w:sdtPr>
          <w:rPr>
            <w:rFonts w:ascii="Times New Roman" w:hAnsi="Times New Roman" w:cs="Times New Roman"/>
            <w:color w:val="000000"/>
          </w:rPr>
          <w:tag w:val="MENDELEY_CITATION_v3_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"/>
          <w:id w:val="-1669937310"/>
          <w:placeholder>
            <w:docPart w:val="144CB7BFBB85447F8811CFABA0E4D492"/>
          </w:placeholder>
        </w:sdtPr>
        <w:sdtContent>
          <w:r>
            <w:rPr>
              <w:rFonts w:ascii="Times New Roman" w:eastAsia="Times New Roman" w:hAnsi="Times New Roman" w:cs="Times New Roman"/>
              <w:color w:val="000000"/>
            </w:rPr>
            <w:t>(Bitard-Feildel &amp; Callebaut, 2017)</w:t>
          </w:r>
        </w:sdtContent>
      </w:sdt>
      <w:r>
        <w:rPr>
          <w:rFonts w:ascii="Times New Roman" w:hAnsi="Times New Roman" w:cs="Times New Roman"/>
        </w:rPr>
        <w:t xml:space="preserve">. (Categories follow the AF2 pLDDT scheme </w:t>
      </w:r>
      <w:sdt>
        <w:sdtPr>
          <w:rPr>
            <w:rFonts w:ascii="Times New Roman" w:hAnsi="Times New Roman" w:cs="Times New Roman"/>
            <w:color w:val="000000"/>
          </w:rPr>
          <w:tag w:val="MENDELEY_CITATION_v3_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"/>
          <w:id w:val="-1368055159"/>
          <w:placeholder>
            <w:docPart w:val="144CB7BFBB85447F8811CFABA0E4D492"/>
          </w:placeholder>
        </w:sdtPr>
        <w:sdtContent>
          <w:r>
            <w:rPr>
              <w:rFonts w:ascii="Times New Roman" w:hAnsi="Times New Roman" w:cs="Times New Roman"/>
              <w:color w:val="000000"/>
            </w:rPr>
            <w:t>(Mariani et al., 2013)</w:t>
          </w:r>
        </w:sdtContent>
      </w:sdt>
      <w:r>
        <w:rPr>
          <w:rFonts w:ascii="Times New Roman" w:hAnsi="Times New Roman" w:cs="Times New Roman"/>
        </w:rPr>
        <w:t>.)</w:t>
      </w:r>
    </w:p>
    <w:p w14:paraId="6ABEE35C" w14:textId="1AB0BF40" w:rsidR="00077F5A" w:rsidRDefault="00077F5A" w:rsidP="00077F5A">
      <w:pPr>
        <w:jc w:val="both"/>
        <w:rPr>
          <w:rFonts w:ascii="Times New Roman" w:hAnsi="Times New Roman" w:cs="Times New Roman"/>
        </w:rPr>
      </w:pPr>
      <w:r>
        <w:rPr>
          <w:rFonts w:ascii="Times New Roman" w:hAnsi="Times New Roman" w:cs="Times New Roman"/>
        </w:rPr>
        <w:t xml:space="preserve">Supplement figure S2 </w:t>
      </w:r>
    </w:p>
    <w:p w14:paraId="181C5AF2" w14:textId="4E35488C" w:rsidR="00077F5A" w:rsidRPr="00077F5A" w:rsidRDefault="00077F5A" w:rsidP="00077F5A">
      <w:pPr>
        <w:jc w:val="both"/>
        <w:rPr>
          <w:rFonts w:ascii="Times New Roman" w:hAnsi="Times New Roman" w:cs="Times New Roman"/>
        </w:rPr>
      </w:pPr>
      <w:r>
        <w:rPr>
          <w:rFonts w:ascii="Times New Roman" w:hAnsi="Times New Roman" w:cs="Times New Roman"/>
          <w:noProof/>
        </w:rPr>
        <w:lastRenderedPageBreak/>
        <w:drawing>
          <wp:inline distT="0" distB="0" distL="0" distR="0" wp14:anchorId="2B93597F" wp14:editId="5482332F">
            <wp:extent cx="3960495" cy="7040880"/>
            <wp:effectExtent l="0" t="0" r="1905" b="7620"/>
            <wp:docPr id="451003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03515" name="Picture 451003515"/>
                    <pic:cNvPicPr/>
                  </pic:nvPicPr>
                  <pic:blipFill>
                    <a:blip r:embed="rId6">
                      <a:extLst>
                        <a:ext uri="{28A0092B-C50C-407E-A947-70E740481C1C}">
                          <a14:useLocalDpi xmlns:a14="http://schemas.microsoft.com/office/drawing/2010/main" val="0"/>
                        </a:ext>
                      </a:extLst>
                    </a:blip>
                    <a:stretch>
                      <a:fillRect/>
                    </a:stretch>
                  </pic:blipFill>
                  <pic:spPr>
                    <a:xfrm>
                      <a:off x="0" y="0"/>
                      <a:ext cx="3965781" cy="7050277"/>
                    </a:xfrm>
                    <a:prstGeom prst="rect">
                      <a:avLst/>
                    </a:prstGeom>
                  </pic:spPr>
                </pic:pic>
              </a:graphicData>
            </a:graphic>
          </wp:inline>
        </w:drawing>
      </w:r>
    </w:p>
    <w:p w14:paraId="03B67EA1" w14:textId="77777777" w:rsidR="00077F5A" w:rsidRPr="00077F5A" w:rsidRDefault="00077F5A" w:rsidP="00077F5A">
      <w:pPr>
        <w:rPr>
          <w:rFonts w:ascii="Times New Roman" w:hAnsi="Times New Roman" w:cs="Times New Roman"/>
        </w:rPr>
      </w:pPr>
      <w:r>
        <w:rPr>
          <w:rFonts w:ascii="Times New Roman" w:hAnsi="Times New Roman" w:cs="Times New Roman"/>
        </w:rPr>
        <w:t>Figure S2:- Integrated Workflow for Characterizing Understudied Proteins</w:t>
      </w:r>
    </w:p>
    <w:p w14:paraId="4D8F3D76" w14:textId="0B2491E0" w:rsidR="00200143" w:rsidRPr="00200143" w:rsidRDefault="00200143">
      <w:pPr>
        <w:rPr>
          <w:rFonts w:ascii="Times New Roman" w:hAnsi="Times New Roman" w:cs="Times New Roman"/>
        </w:rPr>
      </w:pPr>
    </w:p>
    <w:sectPr w:rsidR="00200143" w:rsidRPr="002001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9766D"/>
    <w:multiLevelType w:val="multilevel"/>
    <w:tmpl w:val="2506B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451EB5"/>
    <w:multiLevelType w:val="multilevel"/>
    <w:tmpl w:val="63E0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041015">
    <w:abstractNumId w:val="1"/>
  </w:num>
  <w:num w:numId="2" w16cid:durableId="1364358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143"/>
    <w:rsid w:val="00077F5A"/>
    <w:rsid w:val="0009534D"/>
    <w:rsid w:val="000B1EB3"/>
    <w:rsid w:val="000E61FC"/>
    <w:rsid w:val="00187F7D"/>
    <w:rsid w:val="00200143"/>
    <w:rsid w:val="0021530A"/>
    <w:rsid w:val="00324FBC"/>
    <w:rsid w:val="003C2949"/>
    <w:rsid w:val="0044640D"/>
    <w:rsid w:val="00493CD1"/>
    <w:rsid w:val="00522FBE"/>
    <w:rsid w:val="006E14A7"/>
    <w:rsid w:val="0077736E"/>
    <w:rsid w:val="007963E9"/>
    <w:rsid w:val="00824CD3"/>
    <w:rsid w:val="009342DF"/>
    <w:rsid w:val="0094693D"/>
    <w:rsid w:val="00967138"/>
    <w:rsid w:val="00971E5F"/>
    <w:rsid w:val="009F65B1"/>
    <w:rsid w:val="00A137C8"/>
    <w:rsid w:val="00B520B4"/>
    <w:rsid w:val="00B93905"/>
    <w:rsid w:val="00BD22B1"/>
    <w:rsid w:val="00D64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16622"/>
  <w15:chartTrackingRefBased/>
  <w15:docId w15:val="{82152921-F536-44CE-9938-E6779433E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143"/>
  </w:style>
  <w:style w:type="paragraph" w:styleId="Heading1">
    <w:name w:val="heading 1"/>
    <w:basedOn w:val="Normal"/>
    <w:next w:val="Normal"/>
    <w:link w:val="Heading1Char"/>
    <w:uiPriority w:val="9"/>
    <w:qFormat/>
    <w:rsid w:val="00200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143"/>
    <w:rPr>
      <w:rFonts w:eastAsiaTheme="majorEastAsia" w:cstheme="majorBidi"/>
      <w:color w:val="272727" w:themeColor="text1" w:themeTint="D8"/>
    </w:rPr>
  </w:style>
  <w:style w:type="paragraph" w:styleId="Title">
    <w:name w:val="Title"/>
    <w:basedOn w:val="Normal"/>
    <w:next w:val="Normal"/>
    <w:link w:val="TitleChar"/>
    <w:uiPriority w:val="10"/>
    <w:qFormat/>
    <w:rsid w:val="00200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143"/>
    <w:pPr>
      <w:spacing w:before="160"/>
      <w:jc w:val="center"/>
    </w:pPr>
    <w:rPr>
      <w:i/>
      <w:iCs/>
      <w:color w:val="404040" w:themeColor="text1" w:themeTint="BF"/>
    </w:rPr>
  </w:style>
  <w:style w:type="character" w:customStyle="1" w:styleId="QuoteChar">
    <w:name w:val="Quote Char"/>
    <w:basedOn w:val="DefaultParagraphFont"/>
    <w:link w:val="Quote"/>
    <w:uiPriority w:val="29"/>
    <w:rsid w:val="00200143"/>
    <w:rPr>
      <w:i/>
      <w:iCs/>
      <w:color w:val="404040" w:themeColor="text1" w:themeTint="BF"/>
    </w:rPr>
  </w:style>
  <w:style w:type="paragraph" w:styleId="ListParagraph">
    <w:name w:val="List Paragraph"/>
    <w:basedOn w:val="Normal"/>
    <w:uiPriority w:val="34"/>
    <w:qFormat/>
    <w:rsid w:val="00200143"/>
    <w:pPr>
      <w:ind w:left="720"/>
      <w:contextualSpacing/>
    </w:pPr>
  </w:style>
  <w:style w:type="character" w:styleId="IntenseEmphasis">
    <w:name w:val="Intense Emphasis"/>
    <w:basedOn w:val="DefaultParagraphFont"/>
    <w:uiPriority w:val="21"/>
    <w:qFormat/>
    <w:rsid w:val="00200143"/>
    <w:rPr>
      <w:i/>
      <w:iCs/>
      <w:color w:val="0F4761" w:themeColor="accent1" w:themeShade="BF"/>
    </w:rPr>
  </w:style>
  <w:style w:type="paragraph" w:styleId="IntenseQuote">
    <w:name w:val="Intense Quote"/>
    <w:basedOn w:val="Normal"/>
    <w:next w:val="Normal"/>
    <w:link w:val="IntenseQuoteChar"/>
    <w:uiPriority w:val="30"/>
    <w:qFormat/>
    <w:rsid w:val="00200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143"/>
    <w:rPr>
      <w:i/>
      <w:iCs/>
      <w:color w:val="0F4761" w:themeColor="accent1" w:themeShade="BF"/>
    </w:rPr>
  </w:style>
  <w:style w:type="character" w:styleId="IntenseReference">
    <w:name w:val="Intense Reference"/>
    <w:basedOn w:val="DefaultParagraphFont"/>
    <w:uiPriority w:val="32"/>
    <w:qFormat/>
    <w:rsid w:val="00200143"/>
    <w:rPr>
      <w:b/>
      <w:bCs/>
      <w:smallCaps/>
      <w:color w:val="0F4761" w:themeColor="accent1" w:themeShade="BF"/>
      <w:spacing w:val="5"/>
    </w:rPr>
  </w:style>
  <w:style w:type="character" w:styleId="PlaceholderText">
    <w:name w:val="Placeholder Text"/>
    <w:basedOn w:val="DefaultParagraphFont"/>
    <w:uiPriority w:val="99"/>
    <w:semiHidden/>
    <w:rsid w:val="00B9390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CB7BFBB85447F8811CFABA0E4D492"/>
        <w:category>
          <w:name w:val="General"/>
          <w:gallery w:val="placeholder"/>
        </w:category>
        <w:types>
          <w:type w:val="bbPlcHdr"/>
        </w:types>
        <w:behaviors>
          <w:behavior w:val="content"/>
        </w:behaviors>
        <w:guid w:val="{0EED93E2-BB36-4906-98AD-8332A7E27F66}"/>
      </w:docPartPr>
      <w:docPartBody>
        <w:p w:rsidR="008D4C6D" w:rsidRDefault="00EA0A88" w:rsidP="00EA0A88">
          <w:pPr>
            <w:pStyle w:val="144CB7BFBB85447F8811CFABA0E4D492"/>
          </w:pPr>
          <w:r w:rsidRPr="000B24B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A88"/>
    <w:rsid w:val="00145393"/>
    <w:rsid w:val="0021530A"/>
    <w:rsid w:val="002250E8"/>
    <w:rsid w:val="007963E9"/>
    <w:rsid w:val="008D4C6D"/>
    <w:rsid w:val="009342DF"/>
    <w:rsid w:val="00976580"/>
    <w:rsid w:val="00C92BB4"/>
    <w:rsid w:val="00EA0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6580"/>
    <w:rPr>
      <w:color w:val="666666"/>
    </w:rPr>
  </w:style>
  <w:style w:type="paragraph" w:customStyle="1" w:styleId="144CB7BFBB85447F8811CFABA0E4D492">
    <w:name w:val="144CB7BFBB85447F8811CFABA0E4D492"/>
    <w:rsid w:val="00EA0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Shivani Singh</dc:creator>
  <cp:keywords/>
  <dc:description/>
  <cp:lastModifiedBy>Shivani Singh</cp:lastModifiedBy>
  <cp:revision>15</cp:revision>
  <dcterms:created xsi:type="dcterms:W3CDTF">2026-03-22T12:35:00Z</dcterms:created>
  <dcterms:modified xsi:type="dcterms:W3CDTF">2026-05-23T18:23:00Z</dcterms:modified>
</cp:coreProperties>
</file>