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04A61" w:rsidRPr="00ED5358" w:rsidRDefault="00843B1E" w:rsidP="00A04A61">
      <w:pPr>
        <w:tabs>
          <w:tab w:val="left" w:pos="851"/>
        </w:tabs>
        <w:spacing w:line="480" w:lineRule="auto"/>
        <w:jc w:val="left"/>
        <w:rPr>
          <w:rFonts w:cs="Times New Roman"/>
          <w:b/>
          <w:color w:val="000000" w:themeColor="text1"/>
          <w:szCs w:val="24"/>
        </w:rPr>
      </w:pPr>
      <w:r>
        <w:rPr>
          <w:rFonts w:cs="Times New Roman"/>
          <w:b/>
          <w:color w:val="000000" w:themeColor="text1"/>
          <w:szCs w:val="24"/>
        </w:rPr>
        <w:t xml:space="preserve">Supplementary </w:t>
      </w:r>
      <w:r w:rsidR="00A04A61" w:rsidRPr="00ED5358">
        <w:rPr>
          <w:rFonts w:cs="Times New Roman"/>
          <w:b/>
          <w:color w:val="000000" w:themeColor="text1"/>
          <w:szCs w:val="24"/>
        </w:rPr>
        <w:t>Table 1.</w:t>
      </w:r>
      <w:r w:rsidR="00A04A61">
        <w:rPr>
          <w:rFonts w:cs="Times New Roman"/>
          <w:b/>
          <w:color w:val="000000" w:themeColor="text1"/>
          <w:szCs w:val="24"/>
        </w:rPr>
        <w:t xml:space="preserve"> Protein stability prediction on </w:t>
      </w:r>
      <w:r w:rsidR="00EA27A3">
        <w:rPr>
          <w:rFonts w:cs="Times New Roman"/>
          <w:b/>
          <w:color w:val="000000" w:themeColor="text1"/>
          <w:szCs w:val="24"/>
        </w:rPr>
        <w:t>P361T</w:t>
      </w:r>
      <w:r w:rsidR="00A04A61">
        <w:rPr>
          <w:rFonts w:cs="Times New Roman"/>
          <w:b/>
          <w:color w:val="000000" w:themeColor="text1"/>
          <w:szCs w:val="24"/>
        </w:rPr>
        <w:t xml:space="preserve"> mutation by machine </w:t>
      </w:r>
      <w:bookmarkStart w:id="0" w:name="_GoBack"/>
      <w:bookmarkEnd w:id="0"/>
      <w:r w:rsidR="00A04A61">
        <w:rPr>
          <w:rFonts w:cs="Times New Roman"/>
          <w:b/>
          <w:color w:val="000000" w:themeColor="text1"/>
          <w:szCs w:val="24"/>
        </w:rPr>
        <w:t>learning methods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245"/>
        <w:gridCol w:w="2070"/>
        <w:gridCol w:w="2117"/>
        <w:gridCol w:w="2062"/>
      </w:tblGrid>
      <w:tr w:rsidR="00A04A61" w:rsidRPr="00D73FDB" w:rsidTr="006D3810">
        <w:tc>
          <w:tcPr>
            <w:tcW w:w="2245" w:type="dxa"/>
          </w:tcPr>
          <w:p w:rsidR="00A04A61" w:rsidRPr="00D73FDB" w:rsidRDefault="00A04A61" w:rsidP="006D3810">
            <w:r w:rsidRPr="00D73FDB">
              <w:t>Method Name</w:t>
            </w:r>
          </w:p>
        </w:tc>
        <w:tc>
          <w:tcPr>
            <w:tcW w:w="2070" w:type="dxa"/>
          </w:tcPr>
          <w:p w:rsidR="00A04A61" w:rsidRPr="008151E3" w:rsidRDefault="00A04A61" w:rsidP="006D3810">
            <w:pPr>
              <w:rPr>
                <w:rFonts w:eastAsiaTheme="minorEastAsia"/>
                <w:lang w:eastAsia="zh-CN"/>
              </w:rPr>
            </w:pPr>
            <w:r>
              <w:t xml:space="preserve">Predicted </w:t>
            </w:r>
            <w:r w:rsidRPr="00EF4818">
              <w:t>ΔΔG</w:t>
            </w:r>
            <w:r>
              <w:t xml:space="preserve"> (Kcal/mol)</w:t>
            </w:r>
          </w:p>
        </w:tc>
        <w:tc>
          <w:tcPr>
            <w:tcW w:w="2117" w:type="dxa"/>
          </w:tcPr>
          <w:p w:rsidR="00A04A61" w:rsidRPr="00D73FDB" w:rsidRDefault="00A04A61" w:rsidP="006D3810">
            <w:r>
              <w:t>Outcome</w:t>
            </w:r>
          </w:p>
        </w:tc>
        <w:tc>
          <w:tcPr>
            <w:tcW w:w="2062" w:type="dxa"/>
          </w:tcPr>
          <w:p w:rsidR="00A04A61" w:rsidRPr="00D73FDB" w:rsidRDefault="00A04A61" w:rsidP="006D3810">
            <w:r>
              <w:t>Reference</w:t>
            </w:r>
          </w:p>
        </w:tc>
      </w:tr>
      <w:tr w:rsidR="00A04A61" w:rsidRPr="00D73FDB" w:rsidTr="006D3810">
        <w:tc>
          <w:tcPr>
            <w:tcW w:w="2245" w:type="dxa"/>
          </w:tcPr>
          <w:p w:rsidR="00A04A61" w:rsidRPr="00D73FDB" w:rsidRDefault="00A04A61" w:rsidP="006D3810">
            <w:r>
              <w:t>SDM</w:t>
            </w:r>
          </w:p>
        </w:tc>
        <w:tc>
          <w:tcPr>
            <w:tcW w:w="2070" w:type="dxa"/>
          </w:tcPr>
          <w:p w:rsidR="00A04A61" w:rsidRPr="00D73FDB" w:rsidRDefault="00A04A61" w:rsidP="006D3810">
            <w:r>
              <w:t>0.</w:t>
            </w:r>
            <w:r w:rsidR="00EA27A3">
              <w:t>54</w:t>
            </w:r>
          </w:p>
        </w:tc>
        <w:tc>
          <w:tcPr>
            <w:tcW w:w="2117" w:type="dxa"/>
          </w:tcPr>
          <w:p w:rsidR="00A04A61" w:rsidRPr="00D73FDB" w:rsidRDefault="00EA27A3" w:rsidP="006D3810">
            <w:r>
              <w:t>Stabilizing</w:t>
            </w:r>
          </w:p>
        </w:tc>
        <w:tc>
          <w:tcPr>
            <w:tcW w:w="2062" w:type="dxa"/>
          </w:tcPr>
          <w:p w:rsidR="00A04A61" w:rsidRPr="00D73FDB" w:rsidRDefault="00A04A61" w:rsidP="006D3810">
            <w:r>
              <w:t>(</w:t>
            </w:r>
            <w:proofErr w:type="spellStart"/>
            <w:r w:rsidRPr="006A2F6E">
              <w:t>Pandurangan</w:t>
            </w:r>
            <w:proofErr w:type="spellEnd"/>
            <w:r>
              <w:t>, et al., 2017)</w:t>
            </w:r>
          </w:p>
        </w:tc>
      </w:tr>
      <w:tr w:rsidR="00A04A61" w:rsidRPr="00D73FDB" w:rsidTr="006D3810">
        <w:tc>
          <w:tcPr>
            <w:tcW w:w="2245" w:type="dxa"/>
          </w:tcPr>
          <w:p w:rsidR="00A04A61" w:rsidRPr="00D73FDB" w:rsidRDefault="00A04A61" w:rsidP="006D3810">
            <w:proofErr w:type="spellStart"/>
            <w:r>
              <w:t>mCSM</w:t>
            </w:r>
            <w:proofErr w:type="spellEnd"/>
          </w:p>
        </w:tc>
        <w:tc>
          <w:tcPr>
            <w:tcW w:w="2070" w:type="dxa"/>
          </w:tcPr>
          <w:p w:rsidR="00A04A61" w:rsidRPr="00D73FDB" w:rsidRDefault="00A04A61" w:rsidP="006D3810">
            <w:r>
              <w:t>-0.</w:t>
            </w:r>
            <w:r w:rsidR="00EA27A3">
              <w:t>705</w:t>
            </w:r>
          </w:p>
        </w:tc>
        <w:tc>
          <w:tcPr>
            <w:tcW w:w="2117" w:type="dxa"/>
          </w:tcPr>
          <w:p w:rsidR="00A04A61" w:rsidRPr="00D73FDB" w:rsidRDefault="00A04A61" w:rsidP="006D3810">
            <w:bookmarkStart w:id="1" w:name="OLE_LINK7"/>
            <w:bookmarkStart w:id="2" w:name="OLE_LINK8"/>
            <w:r>
              <w:t>Destabilizing</w:t>
            </w:r>
            <w:bookmarkEnd w:id="1"/>
            <w:bookmarkEnd w:id="2"/>
          </w:p>
        </w:tc>
        <w:tc>
          <w:tcPr>
            <w:tcW w:w="2062" w:type="dxa"/>
          </w:tcPr>
          <w:p w:rsidR="00A04A61" w:rsidRPr="00D73FDB" w:rsidRDefault="00A04A61" w:rsidP="006D3810">
            <w:r w:rsidRPr="00662C9C">
              <w:t>(</w:t>
            </w:r>
            <w:r w:rsidR="00830558">
              <w:t>Pires</w:t>
            </w:r>
            <w:r w:rsidRPr="00662C9C">
              <w:t xml:space="preserve"> et al., 2013)</w:t>
            </w:r>
          </w:p>
        </w:tc>
      </w:tr>
      <w:tr w:rsidR="00A04A61" w:rsidRPr="00D73FDB" w:rsidTr="006D3810">
        <w:tc>
          <w:tcPr>
            <w:tcW w:w="2245" w:type="dxa"/>
          </w:tcPr>
          <w:p w:rsidR="00A04A61" w:rsidRPr="00D73FDB" w:rsidRDefault="00A04A61" w:rsidP="006D3810">
            <w:r>
              <w:t>DUET</w:t>
            </w:r>
          </w:p>
        </w:tc>
        <w:tc>
          <w:tcPr>
            <w:tcW w:w="2070" w:type="dxa"/>
          </w:tcPr>
          <w:p w:rsidR="00A04A61" w:rsidRPr="00D73FDB" w:rsidRDefault="00A04A61" w:rsidP="006D3810">
            <w:r>
              <w:t>-0.</w:t>
            </w:r>
            <w:r w:rsidR="00EA27A3">
              <w:t>324</w:t>
            </w:r>
          </w:p>
        </w:tc>
        <w:tc>
          <w:tcPr>
            <w:tcW w:w="2117" w:type="dxa"/>
          </w:tcPr>
          <w:p w:rsidR="00A04A61" w:rsidRPr="00D73FDB" w:rsidRDefault="00A04A61" w:rsidP="006D3810">
            <w:bookmarkStart w:id="3" w:name="OLE_LINK9"/>
            <w:bookmarkStart w:id="4" w:name="OLE_LINK10"/>
            <w:r>
              <w:t>Destabilizing</w:t>
            </w:r>
            <w:bookmarkEnd w:id="3"/>
            <w:bookmarkEnd w:id="4"/>
          </w:p>
        </w:tc>
        <w:tc>
          <w:tcPr>
            <w:tcW w:w="2062" w:type="dxa"/>
          </w:tcPr>
          <w:p w:rsidR="00A04A61" w:rsidRPr="00D73FDB" w:rsidRDefault="00A04A61" w:rsidP="006D3810">
            <w:r w:rsidRPr="00662C9C">
              <w:t>(</w:t>
            </w:r>
            <w:r w:rsidR="00830558">
              <w:t>Pires</w:t>
            </w:r>
            <w:r w:rsidRPr="00662C9C">
              <w:t xml:space="preserve"> et al</w:t>
            </w:r>
            <w:r w:rsidR="00830558">
              <w:t>.</w:t>
            </w:r>
            <w:r w:rsidRPr="00662C9C">
              <w:t>, 2014)</w:t>
            </w:r>
          </w:p>
        </w:tc>
      </w:tr>
      <w:tr w:rsidR="00A04A61" w:rsidRPr="00D73FDB" w:rsidTr="006D3810">
        <w:tc>
          <w:tcPr>
            <w:tcW w:w="2245" w:type="dxa"/>
          </w:tcPr>
          <w:p w:rsidR="00A04A61" w:rsidRPr="00D73FDB" w:rsidRDefault="00A04A61" w:rsidP="006D3810">
            <w:proofErr w:type="spellStart"/>
            <w:r>
              <w:t>DynaMut</w:t>
            </w:r>
            <w:proofErr w:type="spellEnd"/>
          </w:p>
        </w:tc>
        <w:tc>
          <w:tcPr>
            <w:tcW w:w="2070" w:type="dxa"/>
          </w:tcPr>
          <w:p w:rsidR="00A04A61" w:rsidRPr="00D73FDB" w:rsidRDefault="008151E3" w:rsidP="006D3810">
            <w:r>
              <w:t>-0.151</w:t>
            </w:r>
          </w:p>
        </w:tc>
        <w:tc>
          <w:tcPr>
            <w:tcW w:w="2117" w:type="dxa"/>
          </w:tcPr>
          <w:p w:rsidR="00A04A61" w:rsidRPr="00D73FDB" w:rsidRDefault="002A11D3" w:rsidP="006D3810">
            <w:r>
              <w:t>Destabilizing</w:t>
            </w:r>
          </w:p>
        </w:tc>
        <w:tc>
          <w:tcPr>
            <w:tcW w:w="2062" w:type="dxa"/>
          </w:tcPr>
          <w:p w:rsidR="00A04A61" w:rsidRPr="00D73FDB" w:rsidRDefault="00A04A61" w:rsidP="006D3810">
            <w:r>
              <w:t>(Rodrigues, et al., 2018)</w:t>
            </w:r>
          </w:p>
        </w:tc>
      </w:tr>
      <w:tr w:rsidR="00A04A61" w:rsidRPr="00D73FDB" w:rsidTr="006D3810">
        <w:tc>
          <w:tcPr>
            <w:tcW w:w="2245" w:type="dxa"/>
          </w:tcPr>
          <w:p w:rsidR="00A04A61" w:rsidRDefault="00A04A61" w:rsidP="006D3810">
            <w:r>
              <w:t>INPS-</w:t>
            </w:r>
            <w:proofErr w:type="gramStart"/>
            <w:r>
              <w:t>MD(</w:t>
            </w:r>
            <w:proofErr w:type="gramEnd"/>
            <w:r>
              <w:t>sequence only)</w:t>
            </w:r>
          </w:p>
        </w:tc>
        <w:tc>
          <w:tcPr>
            <w:tcW w:w="2070" w:type="dxa"/>
          </w:tcPr>
          <w:p w:rsidR="00A04A61" w:rsidRDefault="00EA27A3" w:rsidP="006D3810">
            <w:r>
              <w:t>-0.733</w:t>
            </w:r>
          </w:p>
        </w:tc>
        <w:tc>
          <w:tcPr>
            <w:tcW w:w="2117" w:type="dxa"/>
          </w:tcPr>
          <w:p w:rsidR="00A04A61" w:rsidRDefault="00EA27A3" w:rsidP="006D3810">
            <w:r>
              <w:t>Destabilizing</w:t>
            </w:r>
          </w:p>
        </w:tc>
        <w:tc>
          <w:tcPr>
            <w:tcW w:w="2062" w:type="dxa"/>
          </w:tcPr>
          <w:p w:rsidR="00A04A61" w:rsidRPr="00D73FDB" w:rsidRDefault="00A04A61" w:rsidP="006D3810">
            <w:r>
              <w:t>(</w:t>
            </w:r>
            <w:proofErr w:type="spellStart"/>
            <w:r w:rsidRPr="006A2F6E">
              <w:t>Savojardo</w:t>
            </w:r>
            <w:proofErr w:type="spellEnd"/>
            <w:r>
              <w:t xml:space="preserve"> et al., 2016)</w:t>
            </w:r>
          </w:p>
        </w:tc>
      </w:tr>
      <w:tr w:rsidR="00A04A61" w:rsidRPr="00D73FDB" w:rsidTr="006D3810">
        <w:tc>
          <w:tcPr>
            <w:tcW w:w="2245" w:type="dxa"/>
          </w:tcPr>
          <w:p w:rsidR="00A04A61" w:rsidRPr="00D73FDB" w:rsidRDefault="00A04A61" w:rsidP="006D3810">
            <w:r>
              <w:t>INPS-</w:t>
            </w:r>
            <w:proofErr w:type="gramStart"/>
            <w:r>
              <w:t>MD(</w:t>
            </w:r>
            <w:proofErr w:type="gramEnd"/>
            <w:r>
              <w:t xml:space="preserve">With modelled </w:t>
            </w:r>
            <w:proofErr w:type="spellStart"/>
            <w:r>
              <w:t>structrue</w:t>
            </w:r>
            <w:proofErr w:type="spellEnd"/>
            <w:r>
              <w:t>)</w:t>
            </w:r>
          </w:p>
        </w:tc>
        <w:tc>
          <w:tcPr>
            <w:tcW w:w="2070" w:type="dxa"/>
          </w:tcPr>
          <w:p w:rsidR="00A04A61" w:rsidRPr="00D73FDB" w:rsidRDefault="00EA27A3" w:rsidP="006D3810">
            <w:r>
              <w:t>-0.975</w:t>
            </w:r>
          </w:p>
        </w:tc>
        <w:tc>
          <w:tcPr>
            <w:tcW w:w="2117" w:type="dxa"/>
          </w:tcPr>
          <w:p w:rsidR="00A04A61" w:rsidRPr="00D73FDB" w:rsidRDefault="00A04A61" w:rsidP="006D3810">
            <w:bookmarkStart w:id="5" w:name="OLE_LINK13"/>
            <w:bookmarkStart w:id="6" w:name="OLE_LINK14"/>
            <w:bookmarkStart w:id="7" w:name="OLE_LINK17"/>
            <w:r>
              <w:t>Destabilizing</w:t>
            </w:r>
            <w:bookmarkEnd w:id="5"/>
            <w:bookmarkEnd w:id="6"/>
            <w:bookmarkEnd w:id="7"/>
          </w:p>
        </w:tc>
        <w:tc>
          <w:tcPr>
            <w:tcW w:w="2062" w:type="dxa"/>
          </w:tcPr>
          <w:p w:rsidR="00A04A61" w:rsidRPr="00D73FDB" w:rsidRDefault="00A04A61" w:rsidP="006D3810">
            <w:r>
              <w:t>(</w:t>
            </w:r>
            <w:proofErr w:type="spellStart"/>
            <w:r w:rsidRPr="006A2F6E">
              <w:t>Savojardo</w:t>
            </w:r>
            <w:proofErr w:type="spellEnd"/>
            <w:r>
              <w:t xml:space="preserve"> et al., 2016)</w:t>
            </w:r>
          </w:p>
        </w:tc>
      </w:tr>
      <w:tr w:rsidR="00A04A61" w:rsidRPr="00D73FDB" w:rsidTr="006D3810">
        <w:tc>
          <w:tcPr>
            <w:tcW w:w="2245" w:type="dxa"/>
          </w:tcPr>
          <w:p w:rsidR="00A04A61" w:rsidRPr="00D73FDB" w:rsidRDefault="00A04A61" w:rsidP="006D3810">
            <w:proofErr w:type="spellStart"/>
            <w:r>
              <w:t>MAESTROweb</w:t>
            </w:r>
            <w:proofErr w:type="spellEnd"/>
          </w:p>
        </w:tc>
        <w:tc>
          <w:tcPr>
            <w:tcW w:w="2070" w:type="dxa"/>
          </w:tcPr>
          <w:p w:rsidR="00A04A61" w:rsidRPr="00D73FDB" w:rsidRDefault="00B32A44" w:rsidP="006D3810">
            <w:r>
              <w:t>-0.305</w:t>
            </w:r>
          </w:p>
        </w:tc>
        <w:tc>
          <w:tcPr>
            <w:tcW w:w="2117" w:type="dxa"/>
          </w:tcPr>
          <w:p w:rsidR="00A04A61" w:rsidRPr="00D73FDB" w:rsidRDefault="00A04A61" w:rsidP="006D3810">
            <w:r>
              <w:t>Destabilizing</w:t>
            </w:r>
          </w:p>
        </w:tc>
        <w:tc>
          <w:tcPr>
            <w:tcW w:w="2062" w:type="dxa"/>
          </w:tcPr>
          <w:p w:rsidR="00A04A61" w:rsidRPr="00D73FDB" w:rsidRDefault="00A04A61" w:rsidP="006D3810">
            <w:r>
              <w:t>(</w:t>
            </w:r>
            <w:proofErr w:type="spellStart"/>
            <w:r w:rsidRPr="006A2F6E">
              <w:t>Laimer</w:t>
            </w:r>
            <w:proofErr w:type="spellEnd"/>
            <w:r>
              <w:t>, et al., 2016)</w:t>
            </w:r>
          </w:p>
        </w:tc>
      </w:tr>
    </w:tbl>
    <w:p w:rsidR="00FC55F7" w:rsidRDefault="00843B1E"/>
    <w:p w:rsidR="003925E7" w:rsidRDefault="003925E7">
      <w:r>
        <w:t>Reference:</w:t>
      </w:r>
    </w:p>
    <w:p w:rsidR="00830558" w:rsidRDefault="00830558">
      <w:proofErr w:type="spellStart"/>
      <w:r>
        <w:t>Laimer</w:t>
      </w:r>
      <w:proofErr w:type="spellEnd"/>
      <w:r>
        <w:t xml:space="preserve">, J., </w:t>
      </w:r>
      <w:proofErr w:type="spellStart"/>
      <w:r>
        <w:t>Hiebl-Flach</w:t>
      </w:r>
      <w:proofErr w:type="spellEnd"/>
      <w:r>
        <w:t xml:space="preserve">, J., </w:t>
      </w:r>
      <w:proofErr w:type="spellStart"/>
      <w:r>
        <w:t>Lengauer</w:t>
      </w:r>
      <w:proofErr w:type="spellEnd"/>
      <w:r>
        <w:t xml:space="preserve">, D., &amp; Lackner, P. (2016). </w:t>
      </w:r>
      <w:proofErr w:type="spellStart"/>
      <w:r>
        <w:t>MAESTROweb</w:t>
      </w:r>
      <w:proofErr w:type="spellEnd"/>
      <w:r>
        <w:t>: a web server for structure-based protein stability prediction. Bioinformatics, 32(9), 1414-1416.</w:t>
      </w:r>
    </w:p>
    <w:p w:rsidR="00830558" w:rsidRDefault="00830558" w:rsidP="00830558">
      <w:proofErr w:type="spellStart"/>
      <w:r w:rsidRPr="00830558">
        <w:t>Pandurangan</w:t>
      </w:r>
      <w:proofErr w:type="spellEnd"/>
      <w:r w:rsidRPr="00830558">
        <w:t>, Arun Prasad, Bernardo Ochoa-</w:t>
      </w:r>
      <w:proofErr w:type="spellStart"/>
      <w:r w:rsidRPr="00830558">
        <w:t>Montaño</w:t>
      </w:r>
      <w:proofErr w:type="spellEnd"/>
      <w:r w:rsidRPr="00830558">
        <w:t>, David B. Ascher, and Tom L. Blundell. "SDM: a server for predicting effects of mutations on protein stability." Nucleic acids research 45, no. W1 (2017): W229-W235.</w:t>
      </w:r>
    </w:p>
    <w:p w:rsidR="00830558" w:rsidRDefault="00830558" w:rsidP="00830558">
      <w:bookmarkStart w:id="8" w:name="OLE_LINK3"/>
      <w:bookmarkStart w:id="9" w:name="OLE_LINK4"/>
      <w:bookmarkStart w:id="10" w:name="OLE_LINK5"/>
      <w:bookmarkStart w:id="11" w:name="OLE_LINK15"/>
      <w:r>
        <w:t>Pires</w:t>
      </w:r>
      <w:bookmarkEnd w:id="8"/>
      <w:bookmarkEnd w:id="9"/>
      <w:bookmarkEnd w:id="10"/>
      <w:bookmarkEnd w:id="11"/>
      <w:r>
        <w:t>, Douglas EV, David B. Ascher, and Tom L. Blundell. "</w:t>
      </w:r>
      <w:bookmarkStart w:id="12" w:name="OLE_LINK1"/>
      <w:bookmarkStart w:id="13" w:name="OLE_LINK2"/>
      <w:proofErr w:type="spellStart"/>
      <w:r>
        <w:t>mCSM</w:t>
      </w:r>
      <w:proofErr w:type="spellEnd"/>
      <w:r>
        <w:t>: predicting the effects of mutations in proteins using graph-based signatures</w:t>
      </w:r>
      <w:bookmarkEnd w:id="12"/>
      <w:bookmarkEnd w:id="13"/>
      <w:r>
        <w:t>." Bioinformatics 30, no. 3 (2013): 335-342.</w:t>
      </w:r>
    </w:p>
    <w:p w:rsidR="00830558" w:rsidRDefault="00830558">
      <w:r>
        <w:t>Pires, Douglas EV, David B. Ascher, and Tom L. Blundell. "DUET: a server for predicting effects of mutations on protein stability using an integrated computational approach." Nucleic acids research 42, no. W1 (2014): W314-W319.</w:t>
      </w:r>
    </w:p>
    <w:p w:rsidR="00830558" w:rsidRDefault="00830558" w:rsidP="00830558">
      <w:r>
        <w:t>Rodrigues, Carlos HM, Douglas EV Pires, and David B. Ascher. "</w:t>
      </w:r>
      <w:proofErr w:type="spellStart"/>
      <w:r>
        <w:t>DynaMut</w:t>
      </w:r>
      <w:proofErr w:type="spellEnd"/>
      <w:r>
        <w:t>: predicting the impact of mutations on protein conformation, flexibility and stability." Nucleic acids research (2018).</w:t>
      </w:r>
    </w:p>
    <w:p w:rsidR="00830558" w:rsidRDefault="00830558" w:rsidP="00830558">
      <w:proofErr w:type="spellStart"/>
      <w:r>
        <w:t>Savojardo</w:t>
      </w:r>
      <w:proofErr w:type="spellEnd"/>
      <w:r>
        <w:t xml:space="preserve"> C., </w:t>
      </w:r>
      <w:proofErr w:type="spellStart"/>
      <w:r>
        <w:t>Fariselli</w:t>
      </w:r>
      <w:proofErr w:type="spellEnd"/>
      <w:r>
        <w:t xml:space="preserve"> P., </w:t>
      </w:r>
      <w:proofErr w:type="spellStart"/>
      <w:r>
        <w:t>Martelli</w:t>
      </w:r>
      <w:proofErr w:type="spellEnd"/>
      <w:r>
        <w:t xml:space="preserve"> P.L., </w:t>
      </w:r>
      <w:proofErr w:type="spellStart"/>
      <w:r>
        <w:t>Casadio</w:t>
      </w:r>
      <w:proofErr w:type="spellEnd"/>
      <w:r>
        <w:t xml:space="preserve"> R. "INPS-MD: a web server to predict stability of protein variants from sequence and structure", Bioinformatics (2016).</w:t>
      </w:r>
    </w:p>
    <w:sectPr w:rsidR="0083055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1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04A61"/>
    <w:rsid w:val="002A11D3"/>
    <w:rsid w:val="00366013"/>
    <w:rsid w:val="003925E7"/>
    <w:rsid w:val="00425164"/>
    <w:rsid w:val="0044342A"/>
    <w:rsid w:val="006D3A7B"/>
    <w:rsid w:val="008151E3"/>
    <w:rsid w:val="00830558"/>
    <w:rsid w:val="00843B1E"/>
    <w:rsid w:val="00A04A61"/>
    <w:rsid w:val="00AB7BB9"/>
    <w:rsid w:val="00B32A44"/>
    <w:rsid w:val="00EA27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1271D71"/>
  <w15:chartTrackingRefBased/>
  <w15:docId w15:val="{05437017-1AA2-47A8-9478-9B2BD44FAD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n-US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A04A61"/>
    <w:pPr>
      <w:widowControl w:val="0"/>
      <w:spacing w:after="0" w:line="240" w:lineRule="auto"/>
      <w:jc w:val="both"/>
    </w:pPr>
    <w:rPr>
      <w:rFonts w:ascii="Times New Roman" w:eastAsia="MS Mincho" w:hAnsi="Times New Roman"/>
      <w:kern w:val="2"/>
      <w:sz w:val="24"/>
      <w:lang w:eastAsia="ja-JP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A04A61"/>
    <w:pPr>
      <w:spacing w:after="0" w:line="240" w:lineRule="auto"/>
    </w:pPr>
    <w:rPr>
      <w:rFonts w:ascii="Times New Roman" w:eastAsia="MS Mincho" w:hAnsi="Times New Roman"/>
      <w:kern w:val="2"/>
      <w:sz w:val="24"/>
      <w:lang w:eastAsia="ja-JP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259</Words>
  <Characters>1478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Kang, Jingqiong</dc:creator>
  <cp:keywords/>
  <dc:description/>
  <cp:lastModifiedBy>Kang, Jingqiong</cp:lastModifiedBy>
  <cp:revision>3</cp:revision>
  <dcterms:created xsi:type="dcterms:W3CDTF">2019-10-01T14:38:00Z</dcterms:created>
  <dcterms:modified xsi:type="dcterms:W3CDTF">2019-11-11T22:30:00Z</dcterms:modified>
</cp:coreProperties>
</file>