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5038" w:rsidRPr="00DA55A2" w:rsidRDefault="005A5038" w:rsidP="005A5038">
      <w:pPr>
        <w:spacing w:line="360" w:lineRule="auto"/>
        <w:jc w:val="both"/>
        <w:rPr>
          <w:rFonts w:ascii="Arial" w:hAnsi="Arial" w:cs="Arial"/>
          <w:b/>
          <w:sz w:val="22"/>
          <w:szCs w:val="22"/>
        </w:rPr>
      </w:pPr>
      <w:r w:rsidRPr="00DA55A2">
        <w:rPr>
          <w:rFonts w:ascii="Arial" w:hAnsi="Arial" w:cs="Arial"/>
          <w:b/>
          <w:sz w:val="22"/>
          <w:szCs w:val="22"/>
        </w:rPr>
        <w:t>Methods</w:t>
      </w:r>
    </w:p>
    <w:p w:rsidR="005A5038" w:rsidRPr="00DA55A2" w:rsidRDefault="005A5038" w:rsidP="005A5038">
      <w:pPr>
        <w:spacing w:line="360" w:lineRule="auto"/>
        <w:jc w:val="both"/>
        <w:rPr>
          <w:rFonts w:ascii="Arial" w:hAnsi="Arial" w:cs="Arial"/>
          <w:sz w:val="22"/>
          <w:szCs w:val="22"/>
        </w:rPr>
      </w:pPr>
      <w:r w:rsidRPr="00DA55A2">
        <w:rPr>
          <w:rFonts w:ascii="Arial" w:hAnsi="Arial" w:cs="Arial"/>
          <w:sz w:val="22"/>
          <w:szCs w:val="22"/>
        </w:rPr>
        <w:t>Mice</w:t>
      </w:r>
    </w:p>
    <w:p w:rsidR="005A5038" w:rsidRPr="00DA55A2" w:rsidRDefault="005A5038" w:rsidP="005A5038">
      <w:pPr>
        <w:spacing w:line="360" w:lineRule="auto"/>
        <w:jc w:val="both"/>
        <w:rPr>
          <w:rFonts w:ascii="Arial" w:hAnsi="Arial" w:cs="Arial"/>
          <w:sz w:val="22"/>
          <w:szCs w:val="22"/>
        </w:rPr>
      </w:pPr>
      <w:r w:rsidRPr="00DA55A2">
        <w:rPr>
          <w:rFonts w:ascii="Arial" w:hAnsi="Arial" w:cs="Arial"/>
          <w:color w:val="000000" w:themeColor="text1"/>
          <w:sz w:val="22"/>
          <w:szCs w:val="22"/>
        </w:rPr>
        <w:t xml:space="preserve">Inbred strain C57BL/6J (B6J; JAX #000664), </w:t>
      </w:r>
      <w:r w:rsidRPr="00DA55A2">
        <w:rPr>
          <w:rFonts w:ascii="Arial" w:hAnsi="Arial" w:cs="Arial"/>
          <w:sz w:val="22"/>
          <w:szCs w:val="22"/>
        </w:rPr>
        <w:t>Del(5</w:t>
      </w:r>
      <w:r w:rsidRPr="00DA55A2">
        <w:rPr>
          <w:rFonts w:ascii="Arial" w:hAnsi="Arial" w:cs="Arial"/>
          <w:i/>
          <w:sz w:val="22"/>
          <w:szCs w:val="22"/>
        </w:rPr>
        <w:t>Limk1</w:t>
      </w:r>
      <w:r w:rsidRPr="00DA55A2">
        <w:rPr>
          <w:rFonts w:ascii="Arial" w:hAnsi="Arial" w:cs="Arial"/>
          <w:sz w:val="22"/>
          <w:szCs w:val="22"/>
        </w:rPr>
        <w:t>-</w:t>
      </w:r>
      <w:r w:rsidRPr="00DA55A2">
        <w:rPr>
          <w:rFonts w:ascii="Arial" w:hAnsi="Arial" w:cs="Arial"/>
          <w:i/>
          <w:sz w:val="22"/>
          <w:szCs w:val="22"/>
        </w:rPr>
        <w:t>Trim50</w:t>
      </w:r>
      <w:r w:rsidRPr="00DA55A2">
        <w:rPr>
          <w:rFonts w:ascii="Arial" w:hAnsi="Arial" w:cs="Arial"/>
          <w:sz w:val="22"/>
          <w:szCs w:val="22"/>
        </w:rPr>
        <w:t>)2Uta/J (WBS (DD/+); JAX #023888), Del(5</w:t>
      </w:r>
      <w:r w:rsidRPr="00DA55A2">
        <w:rPr>
          <w:rFonts w:ascii="Arial" w:hAnsi="Arial" w:cs="Arial"/>
          <w:i/>
          <w:sz w:val="22"/>
          <w:szCs w:val="22"/>
        </w:rPr>
        <w:t>Gtf2i</w:t>
      </w:r>
      <w:r w:rsidRPr="00DA55A2">
        <w:rPr>
          <w:rFonts w:ascii="Arial" w:hAnsi="Arial" w:cs="Arial"/>
          <w:sz w:val="22"/>
          <w:szCs w:val="22"/>
        </w:rPr>
        <w:t>-</w:t>
      </w:r>
      <w:r w:rsidRPr="00DA55A2">
        <w:rPr>
          <w:rFonts w:ascii="Arial" w:hAnsi="Arial" w:cs="Arial"/>
          <w:i/>
          <w:sz w:val="22"/>
          <w:szCs w:val="22"/>
        </w:rPr>
        <w:t>Limk1</w:t>
      </w:r>
      <w:r w:rsidRPr="00DA55A2">
        <w:rPr>
          <w:rFonts w:ascii="Arial" w:hAnsi="Arial" w:cs="Arial"/>
          <w:sz w:val="22"/>
          <w:szCs w:val="22"/>
        </w:rPr>
        <w:t>)1Uta/J (WBS (PD/+); JAX #023885), B6.129S6-</w:t>
      </w:r>
      <w:r w:rsidRPr="00DA55A2">
        <w:rPr>
          <w:rFonts w:ascii="Arial" w:hAnsi="Arial" w:cs="Arial"/>
          <w:i/>
          <w:iCs/>
          <w:sz w:val="22"/>
          <w:szCs w:val="22"/>
        </w:rPr>
        <w:t>Mlxipl</w:t>
      </w:r>
      <w:r w:rsidRPr="00DA55A2">
        <w:rPr>
          <w:rFonts w:ascii="Arial" w:hAnsi="Arial" w:cs="Arial"/>
          <w:sz w:val="22"/>
          <w:szCs w:val="22"/>
          <w:vertAlign w:val="superscript"/>
        </w:rPr>
        <w:t>tm1Kuy</w:t>
      </w:r>
      <w:r w:rsidRPr="00DA55A2">
        <w:rPr>
          <w:rFonts w:ascii="Arial" w:hAnsi="Arial" w:cs="Arial"/>
          <w:sz w:val="22"/>
          <w:szCs w:val="22"/>
        </w:rPr>
        <w:t xml:space="preserve">/J (JAX #010537), and </w:t>
      </w:r>
      <w:r w:rsidRPr="00DA55A2">
        <w:rPr>
          <w:rFonts w:ascii="Arial" w:hAnsi="Arial" w:cs="Arial"/>
          <w:i/>
          <w:iCs/>
          <w:sz w:val="22"/>
          <w:szCs w:val="22"/>
        </w:rPr>
        <w:t>Stx1a</w:t>
      </w:r>
      <w:r w:rsidRPr="00DA55A2">
        <w:rPr>
          <w:rFonts w:ascii="Arial" w:hAnsi="Arial" w:cs="Arial"/>
          <w:sz w:val="22"/>
          <w:szCs w:val="22"/>
          <w:vertAlign w:val="superscript"/>
        </w:rPr>
        <w:t>tm1.1Sud</w:t>
      </w:r>
      <w:r w:rsidRPr="00DA55A2">
        <w:rPr>
          <w:rFonts w:ascii="Arial" w:hAnsi="Arial" w:cs="Arial"/>
          <w:sz w:val="22"/>
          <w:szCs w:val="22"/>
        </w:rPr>
        <w:t>/J (JAX #008137) mice</w:t>
      </w:r>
      <w:r w:rsidRPr="00DA55A2">
        <w:rPr>
          <w:rFonts w:ascii="Arial" w:hAnsi="Arial" w:cs="Arial"/>
          <w:color w:val="000000" w:themeColor="text1"/>
          <w:sz w:val="22"/>
          <w:szCs w:val="22"/>
        </w:rPr>
        <w:t xml:space="preserve"> were obtained from The Jackson Laboratory and bred in-house for experiments. </w:t>
      </w:r>
      <w:r w:rsidRPr="00DA55A2">
        <w:rPr>
          <w:rFonts w:ascii="Arial" w:hAnsi="Arial" w:cs="Arial"/>
          <w:sz w:val="22"/>
          <w:szCs w:val="22"/>
        </w:rPr>
        <w:t>C57BL/6N-</w:t>
      </w:r>
      <w:r w:rsidRPr="00DA55A2">
        <w:rPr>
          <w:rFonts w:ascii="Arial" w:hAnsi="Arial" w:cs="Arial"/>
          <w:i/>
          <w:iCs/>
          <w:sz w:val="22"/>
          <w:szCs w:val="22"/>
        </w:rPr>
        <w:t>Abhd11</w:t>
      </w:r>
      <w:r w:rsidRPr="00DA55A2">
        <w:rPr>
          <w:rFonts w:ascii="Arial" w:hAnsi="Arial" w:cs="Arial"/>
          <w:sz w:val="22"/>
          <w:szCs w:val="22"/>
          <w:vertAlign w:val="superscript"/>
        </w:rPr>
        <w:t>em1(IMPC)</w:t>
      </w:r>
      <w:proofErr w:type="spellStart"/>
      <w:r w:rsidRPr="00DA55A2">
        <w:rPr>
          <w:rFonts w:ascii="Arial" w:hAnsi="Arial" w:cs="Arial"/>
          <w:sz w:val="22"/>
          <w:szCs w:val="22"/>
          <w:vertAlign w:val="superscript"/>
        </w:rPr>
        <w:t>Mbp</w:t>
      </w:r>
      <w:proofErr w:type="spellEnd"/>
      <w:r w:rsidRPr="00DA55A2">
        <w:rPr>
          <w:rFonts w:ascii="Arial" w:hAnsi="Arial" w:cs="Arial"/>
          <w:sz w:val="22"/>
          <w:szCs w:val="22"/>
        </w:rPr>
        <w:t>/</w:t>
      </w:r>
      <w:proofErr w:type="spellStart"/>
      <w:r w:rsidRPr="00DA55A2">
        <w:rPr>
          <w:rFonts w:ascii="Arial" w:hAnsi="Arial" w:cs="Arial"/>
          <w:sz w:val="22"/>
          <w:szCs w:val="22"/>
        </w:rPr>
        <w:t>Mmucd</w:t>
      </w:r>
      <w:proofErr w:type="spellEnd"/>
      <w:r w:rsidRPr="00DA55A2">
        <w:rPr>
          <w:rFonts w:ascii="Arial" w:hAnsi="Arial" w:cs="Arial"/>
          <w:sz w:val="22"/>
          <w:szCs w:val="22"/>
        </w:rPr>
        <w:t xml:space="preserve"> (MMRRC #046419-UCD) strain was obtained from the MMRRC. Before behavioral experiments, mouse strains on a mixed genetic background were backcrossed for at least five generations to the wild-type C57BL/6J strain. Male mice aged 5-13 weeks were used for behavioral experiments. All experiments were performed between 12-6pm during the light cycle. </w:t>
      </w:r>
    </w:p>
    <w:p w:rsidR="005A5038" w:rsidRPr="00DA55A2" w:rsidRDefault="005A5038" w:rsidP="005A5038">
      <w:pPr>
        <w:spacing w:line="360" w:lineRule="auto"/>
        <w:jc w:val="both"/>
        <w:rPr>
          <w:rFonts w:ascii="Arial" w:hAnsi="Arial" w:cs="Arial"/>
          <w:sz w:val="22"/>
          <w:szCs w:val="22"/>
        </w:rPr>
      </w:pPr>
      <w:bookmarkStart w:id="0" w:name="_GoBack"/>
      <w:bookmarkEnd w:id="0"/>
    </w:p>
    <w:p w:rsidR="005A5038" w:rsidRPr="00DA55A2" w:rsidRDefault="005A5038" w:rsidP="005A5038">
      <w:pPr>
        <w:spacing w:line="360" w:lineRule="auto"/>
        <w:jc w:val="both"/>
        <w:rPr>
          <w:rFonts w:ascii="Arial" w:hAnsi="Arial" w:cs="Arial"/>
          <w:b/>
          <w:sz w:val="22"/>
          <w:szCs w:val="22"/>
        </w:rPr>
      </w:pPr>
      <w:r w:rsidRPr="00DA55A2">
        <w:rPr>
          <w:rFonts w:ascii="Arial" w:hAnsi="Arial" w:cs="Arial"/>
          <w:b/>
          <w:sz w:val="22"/>
          <w:szCs w:val="22"/>
        </w:rPr>
        <w:t>Behavior test</w:t>
      </w:r>
      <w:r w:rsidR="004E5781">
        <w:rPr>
          <w:rFonts w:ascii="Arial" w:hAnsi="Arial" w:cs="Arial"/>
          <w:b/>
          <w:sz w:val="22"/>
          <w:szCs w:val="22"/>
        </w:rPr>
        <w:t>s</w:t>
      </w:r>
    </w:p>
    <w:p w:rsidR="005A5038" w:rsidRPr="00DA55A2" w:rsidRDefault="005A5038" w:rsidP="005A5038">
      <w:pPr>
        <w:spacing w:line="360" w:lineRule="auto"/>
        <w:jc w:val="both"/>
        <w:rPr>
          <w:rFonts w:ascii="Arial" w:hAnsi="Arial" w:cs="Arial"/>
          <w:sz w:val="22"/>
          <w:szCs w:val="22"/>
        </w:rPr>
      </w:pPr>
      <w:r w:rsidRPr="00DA55A2">
        <w:rPr>
          <w:rFonts w:ascii="Arial" w:hAnsi="Arial" w:cs="Arial"/>
          <w:sz w:val="22"/>
          <w:szCs w:val="22"/>
        </w:rPr>
        <w:t xml:space="preserve">Mice were transferred in their home cage to the test room at least 30 minutes before the test. For each behavior test, naive mice were used that had never been tested. </w:t>
      </w:r>
    </w:p>
    <w:p w:rsidR="005A5038" w:rsidRPr="00DA55A2" w:rsidRDefault="005A5038" w:rsidP="005A5038">
      <w:pPr>
        <w:spacing w:line="360" w:lineRule="auto"/>
        <w:jc w:val="both"/>
        <w:rPr>
          <w:rFonts w:ascii="Arial" w:hAnsi="Arial" w:cs="Arial"/>
          <w:b/>
          <w:sz w:val="22"/>
          <w:szCs w:val="22"/>
        </w:rPr>
      </w:pPr>
      <w:r w:rsidRPr="00DA55A2">
        <w:rPr>
          <w:rFonts w:ascii="Arial" w:hAnsi="Arial" w:cs="Arial"/>
          <w:b/>
          <w:sz w:val="22"/>
          <w:szCs w:val="22"/>
        </w:rPr>
        <w:t>Observational fear conditioning</w:t>
      </w:r>
    </w:p>
    <w:p w:rsidR="007B5A62" w:rsidRPr="00364A0D" w:rsidRDefault="00264CD1" w:rsidP="005A5038">
      <w:pPr>
        <w:spacing w:line="360" w:lineRule="auto"/>
        <w:jc w:val="both"/>
        <w:rPr>
          <w:rFonts w:ascii="Arial" w:hAnsi="Arial" w:cs="Arial"/>
          <w:color w:val="0070C0"/>
          <w:sz w:val="22"/>
          <w:szCs w:val="22"/>
        </w:rPr>
      </w:pPr>
      <w:r w:rsidRPr="00264CD1">
        <w:rPr>
          <w:rFonts w:ascii="Arial" w:hAnsi="Arial" w:cs="Arial"/>
          <w:sz w:val="22"/>
          <w:szCs w:val="22"/>
        </w:rPr>
        <w:t xml:space="preserve">The observer and demonstrator mice were placed on each side of a chamber separated by a transparent partition </w:t>
      </w:r>
      <w:r w:rsidR="007B5A62" w:rsidRPr="007B5A62">
        <w:rPr>
          <w:rFonts w:ascii="Arial" w:hAnsi="Arial" w:cs="Arial"/>
          <w:sz w:val="22"/>
          <w:szCs w:val="22"/>
        </w:rPr>
        <w:t>perforated with holes to allow airflow</w:t>
      </w:r>
      <w:r w:rsidRPr="00264CD1">
        <w:rPr>
          <w:rFonts w:ascii="Arial" w:hAnsi="Arial" w:cs="Arial"/>
          <w:sz w:val="22"/>
          <w:szCs w:val="22"/>
        </w:rPr>
        <w:t xml:space="preserve">. </w:t>
      </w:r>
      <w:r w:rsidR="007B5A62" w:rsidRPr="007B5A62">
        <w:rPr>
          <w:rFonts w:ascii="Arial" w:hAnsi="Arial" w:cs="Arial"/>
          <w:sz w:val="22"/>
          <w:szCs w:val="22"/>
        </w:rPr>
        <w:t xml:space="preserve">Following a 5-min habituation period, the demonstrator received </w:t>
      </w:r>
      <w:proofErr w:type="gramStart"/>
      <w:r w:rsidR="007B5A62" w:rsidRPr="007B5A62">
        <w:rPr>
          <w:rFonts w:ascii="Arial" w:hAnsi="Arial" w:cs="Arial"/>
          <w:sz w:val="22"/>
          <w:szCs w:val="22"/>
        </w:rPr>
        <w:t>twenty foot</w:t>
      </w:r>
      <w:proofErr w:type="gramEnd"/>
      <w:r w:rsidR="007B5A62" w:rsidRPr="007B5A62">
        <w:rPr>
          <w:rFonts w:ascii="Arial" w:hAnsi="Arial" w:cs="Arial"/>
          <w:sz w:val="22"/>
          <w:szCs w:val="22"/>
        </w:rPr>
        <w:t xml:space="preserve"> shocks (1 mA, 2 s duration, 10 s inter-shock interval). One day later, the observer mouse was returned to the chamber alone to assess contextual memory. Freezing behavior was quantified during the observational </w:t>
      </w:r>
      <w:r w:rsidR="007B5A62">
        <w:rPr>
          <w:rFonts w:ascii="Arial" w:hAnsi="Arial" w:cs="Arial"/>
          <w:sz w:val="22"/>
          <w:szCs w:val="22"/>
        </w:rPr>
        <w:t xml:space="preserve">fear </w:t>
      </w:r>
      <w:r w:rsidR="007B5A62" w:rsidRPr="007B5A62">
        <w:rPr>
          <w:rFonts w:ascii="Arial" w:hAnsi="Arial" w:cs="Arial"/>
          <w:sz w:val="22"/>
          <w:szCs w:val="22"/>
        </w:rPr>
        <w:t xml:space="preserve">session (9 min total, including habituation and conditioning) and during the contextual memory test (4 min), and was defined as immobility lasting longer than 0.75 s, automatically scored using </w:t>
      </w:r>
      <w:proofErr w:type="spellStart"/>
      <w:r w:rsidR="007B5A62" w:rsidRPr="007B5A62">
        <w:rPr>
          <w:rFonts w:ascii="Arial" w:hAnsi="Arial" w:cs="Arial"/>
          <w:sz w:val="22"/>
          <w:szCs w:val="22"/>
        </w:rPr>
        <w:t>FreezeFrame</w:t>
      </w:r>
      <w:proofErr w:type="spellEnd"/>
      <w:r w:rsidR="007B5A62" w:rsidRPr="007B5A62">
        <w:rPr>
          <w:rFonts w:ascii="Arial" w:hAnsi="Arial" w:cs="Arial"/>
          <w:sz w:val="22"/>
          <w:szCs w:val="22"/>
        </w:rPr>
        <w:t xml:space="preserve"> software (ACTIMETRICS).</w:t>
      </w:r>
      <w:r w:rsidR="007B5A62">
        <w:rPr>
          <w:rFonts w:ascii="Arial" w:hAnsi="Arial" w:cs="Arial"/>
          <w:sz w:val="22"/>
          <w:szCs w:val="22"/>
        </w:rPr>
        <w:t xml:space="preserve"> </w:t>
      </w:r>
      <w:r w:rsidR="007B5A62" w:rsidRPr="00364A0D">
        <w:rPr>
          <w:rFonts w:ascii="Arial" w:hAnsi="Arial" w:cs="Arial"/>
          <w:color w:val="0070C0"/>
          <w:sz w:val="22"/>
          <w:szCs w:val="22"/>
        </w:rPr>
        <w:t xml:space="preserve">To ensure adequate statistical power, we conducted an a priori power analysis based on observational freezing data obtained from more than 30 wild-type C57BL/6J mice </w:t>
      </w:r>
      <w:r w:rsidR="007B5A62" w:rsidRPr="00364A0D">
        <w:rPr>
          <w:rFonts w:ascii="Arial" w:hAnsi="Arial" w:cs="Arial"/>
          <w:color w:val="0070C0"/>
          <w:sz w:val="22"/>
          <w:szCs w:val="22"/>
        </w:rPr>
        <w:fldChar w:fldCharType="begin">
          <w:fldData xml:space="preserve">PEVuZE5vdGU+PENpdGU+PEF1dGhvcj5LZXVtPC9BdXRob3I+PFllYXI+MjAxODwvWWVhcj48UmVj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</w:fldData>
        </w:fldChar>
      </w:r>
      <w:r w:rsidR="007B5A62" w:rsidRPr="00364A0D">
        <w:rPr>
          <w:rFonts w:ascii="Arial" w:hAnsi="Arial" w:cs="Arial"/>
          <w:color w:val="0070C0"/>
          <w:sz w:val="22"/>
          <w:szCs w:val="22"/>
        </w:rPr>
        <w:instrText xml:space="preserve"> ADDIN EN.CITE </w:instrText>
      </w:r>
      <w:r w:rsidR="007B5A62" w:rsidRPr="00364A0D">
        <w:rPr>
          <w:rFonts w:ascii="Arial" w:hAnsi="Arial" w:cs="Arial"/>
          <w:color w:val="0070C0"/>
          <w:sz w:val="22"/>
          <w:szCs w:val="22"/>
        </w:rPr>
        <w:fldChar w:fldCharType="begin">
          <w:fldData xml:space="preserve">PEVuZE5vdGU+PENpdGU+PEF1dGhvcj5LZXVtPC9BdXRob3I+PFllYXI+MjAxODwvWWVhcj48UmVj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</w:fldData>
        </w:fldChar>
      </w:r>
      <w:r w:rsidR="007B5A62" w:rsidRPr="00364A0D">
        <w:rPr>
          <w:rFonts w:ascii="Arial" w:hAnsi="Arial" w:cs="Arial"/>
          <w:color w:val="0070C0"/>
          <w:sz w:val="22"/>
          <w:szCs w:val="22"/>
        </w:rPr>
        <w:instrText xml:space="preserve"> ADDIN EN.CITE.DATA </w:instrText>
      </w:r>
      <w:r w:rsidR="007B5A62" w:rsidRPr="00364A0D">
        <w:rPr>
          <w:rFonts w:ascii="Arial" w:hAnsi="Arial" w:cs="Arial"/>
          <w:color w:val="0070C0"/>
          <w:sz w:val="22"/>
          <w:szCs w:val="22"/>
        </w:rPr>
      </w:r>
      <w:r w:rsidR="007B5A62" w:rsidRPr="00364A0D">
        <w:rPr>
          <w:rFonts w:ascii="Arial" w:hAnsi="Arial" w:cs="Arial"/>
          <w:color w:val="0070C0"/>
          <w:sz w:val="22"/>
          <w:szCs w:val="22"/>
        </w:rPr>
        <w:fldChar w:fldCharType="end"/>
      </w:r>
      <w:r w:rsidR="007B5A62" w:rsidRPr="00364A0D">
        <w:rPr>
          <w:rFonts w:ascii="Arial" w:hAnsi="Arial" w:cs="Arial"/>
          <w:color w:val="0070C0"/>
          <w:sz w:val="22"/>
          <w:szCs w:val="22"/>
        </w:rPr>
        <w:fldChar w:fldCharType="separate"/>
      </w:r>
      <w:r w:rsidR="007B5A62" w:rsidRPr="00364A0D">
        <w:rPr>
          <w:rFonts w:ascii="Arial" w:hAnsi="Arial" w:cs="Arial"/>
          <w:noProof/>
          <w:color w:val="0070C0"/>
          <w:sz w:val="22"/>
          <w:szCs w:val="22"/>
        </w:rPr>
        <w:t>[1, 2]</w:t>
      </w:r>
      <w:r w:rsidR="007B5A62" w:rsidRPr="00364A0D">
        <w:rPr>
          <w:rFonts w:ascii="Arial" w:hAnsi="Arial" w:cs="Arial"/>
          <w:color w:val="0070C0"/>
          <w:sz w:val="22"/>
          <w:szCs w:val="22"/>
        </w:rPr>
        <w:fldChar w:fldCharType="end"/>
      </w:r>
      <w:r w:rsidR="007B5A62" w:rsidRPr="00364A0D">
        <w:rPr>
          <w:rFonts w:ascii="Arial" w:hAnsi="Arial" w:cs="Arial"/>
          <w:color w:val="0070C0"/>
          <w:sz w:val="22"/>
          <w:szCs w:val="22"/>
        </w:rPr>
        <w:t>. This analysis indicated a large effect size for the increase in freezing from habituation to conditioning (Cohen’s d ≈ 1), such that a sample size of 7–8 animals per genotype was sufficient to achieve 80% power at a significance level of α = 0.05.</w:t>
      </w:r>
    </w:p>
    <w:p w:rsidR="007B5A62" w:rsidRDefault="007B5A62" w:rsidP="005A5038">
      <w:pPr>
        <w:spacing w:line="360" w:lineRule="auto"/>
        <w:jc w:val="both"/>
        <w:rPr>
          <w:rFonts w:ascii="Arial" w:hAnsi="Arial" w:cs="Arial"/>
          <w:b/>
          <w:bCs/>
          <w:sz w:val="22"/>
          <w:szCs w:val="22"/>
        </w:rPr>
      </w:pPr>
    </w:p>
    <w:p w:rsidR="005A5038" w:rsidRPr="00DA55A2" w:rsidRDefault="005A5038" w:rsidP="005A5038">
      <w:pPr>
        <w:spacing w:line="360" w:lineRule="auto"/>
        <w:jc w:val="both"/>
        <w:rPr>
          <w:rFonts w:ascii="Arial" w:hAnsi="Arial" w:cs="Arial"/>
          <w:b/>
          <w:bCs/>
          <w:sz w:val="22"/>
          <w:szCs w:val="22"/>
        </w:rPr>
      </w:pPr>
      <w:r w:rsidRPr="00DA55A2">
        <w:rPr>
          <w:rFonts w:ascii="Arial" w:hAnsi="Arial" w:cs="Arial"/>
          <w:b/>
          <w:bCs/>
          <w:sz w:val="22"/>
          <w:szCs w:val="22"/>
        </w:rPr>
        <w:t>Allogrooming affiliative touch behavior</w:t>
      </w:r>
    </w:p>
    <w:p w:rsidR="005A5038" w:rsidRPr="00DA55A2" w:rsidRDefault="005A5038" w:rsidP="005A5038">
      <w:pPr>
        <w:spacing w:line="360" w:lineRule="auto"/>
        <w:jc w:val="both"/>
        <w:rPr>
          <w:rFonts w:ascii="Arial" w:hAnsi="Arial" w:cs="Arial"/>
          <w:sz w:val="22"/>
          <w:szCs w:val="22"/>
        </w:rPr>
      </w:pPr>
      <w:r w:rsidRPr="00DA55A2">
        <w:rPr>
          <w:rFonts w:ascii="Arial" w:hAnsi="Arial" w:cs="Arial"/>
          <w:sz w:val="22"/>
          <w:szCs w:val="22"/>
        </w:rPr>
        <w:lastRenderedPageBreak/>
        <w:t xml:space="preserve">Male pairs were housed together for more than 5 weeks. In each pair, one mouse was assigned as the subject and the other as the stressed partner. The stressed partner received 20 shocks at 0.75mA for 1 second, with random intervals of 20 or 40 seconds between shocks. During this time, the subject mouse stayed in the home cage inside a sound-proof chamber. After receiving shocks, the stressed partner returned to the home cage and freely interacted with the subject for 10 minutes. In the control condition, the subject was reunited with a partner that had been separated but had not received foot shocks. Allogrooming behavior was counted manually when the subject mouse held the stressed partner with </w:t>
      </w:r>
      <w:r w:rsidR="00264CD1">
        <w:rPr>
          <w:rFonts w:ascii="Arial" w:hAnsi="Arial" w:cs="Arial"/>
          <w:sz w:val="22"/>
          <w:szCs w:val="22"/>
        </w:rPr>
        <w:t xml:space="preserve">its </w:t>
      </w:r>
      <w:r w:rsidRPr="00DA55A2">
        <w:rPr>
          <w:rFonts w:ascii="Arial" w:hAnsi="Arial" w:cs="Arial"/>
          <w:sz w:val="22"/>
          <w:szCs w:val="22"/>
        </w:rPr>
        <w:t>front paws and licked fur.</w:t>
      </w:r>
    </w:p>
    <w:p w:rsidR="005A5038" w:rsidRPr="00DA55A2" w:rsidRDefault="005A5038" w:rsidP="005A5038">
      <w:pPr>
        <w:spacing w:line="360" w:lineRule="auto"/>
        <w:jc w:val="both"/>
        <w:rPr>
          <w:rFonts w:ascii="Arial" w:hAnsi="Arial" w:cs="Arial"/>
          <w:sz w:val="22"/>
          <w:szCs w:val="22"/>
        </w:rPr>
      </w:pPr>
    </w:p>
    <w:p w:rsidR="005A5038" w:rsidRPr="00DA55A2" w:rsidRDefault="005A5038" w:rsidP="005A5038">
      <w:pPr>
        <w:spacing w:line="360" w:lineRule="auto"/>
        <w:jc w:val="both"/>
        <w:rPr>
          <w:rFonts w:ascii="Arial" w:hAnsi="Arial" w:cs="Arial"/>
          <w:b/>
          <w:bCs/>
          <w:sz w:val="22"/>
          <w:szCs w:val="22"/>
        </w:rPr>
      </w:pPr>
      <w:r w:rsidRPr="00DA55A2">
        <w:rPr>
          <w:rFonts w:ascii="Arial" w:hAnsi="Arial" w:cs="Arial"/>
          <w:b/>
          <w:bCs/>
          <w:sz w:val="22"/>
          <w:szCs w:val="22"/>
        </w:rPr>
        <w:t xml:space="preserve">Generation of </w:t>
      </w:r>
      <w:r w:rsidRPr="00DA55A2">
        <w:rPr>
          <w:rFonts w:ascii="Arial" w:hAnsi="Arial" w:cs="Arial"/>
          <w:b/>
          <w:bCs/>
          <w:i/>
          <w:sz w:val="22"/>
          <w:szCs w:val="22"/>
        </w:rPr>
        <w:t>Limk1</w:t>
      </w:r>
      <w:r w:rsidRPr="00DA55A2">
        <w:rPr>
          <w:rFonts w:ascii="Arial" w:hAnsi="Arial" w:cs="Arial"/>
          <w:b/>
          <w:bCs/>
          <w:sz w:val="22"/>
          <w:szCs w:val="22"/>
        </w:rPr>
        <w:t xml:space="preserve"> knockout (KO) mice</w:t>
      </w:r>
    </w:p>
    <w:p w:rsidR="005A5038" w:rsidRPr="00DA55A2" w:rsidRDefault="005A5038" w:rsidP="005A5038">
      <w:pPr>
        <w:spacing w:line="360" w:lineRule="auto"/>
        <w:jc w:val="both"/>
        <w:rPr>
          <w:rFonts w:ascii="Arial" w:hAnsi="Arial" w:cs="Arial"/>
          <w:b/>
          <w:sz w:val="22"/>
          <w:szCs w:val="22"/>
        </w:rPr>
      </w:pPr>
      <w:r w:rsidRPr="00DA55A2">
        <w:rPr>
          <w:rFonts w:ascii="Arial" w:hAnsi="Arial" w:cs="Arial"/>
          <w:sz w:val="22"/>
          <w:szCs w:val="22"/>
        </w:rPr>
        <w:t xml:space="preserve">CRISPR/Cas9 technology was utilized to generate a null allele of the </w:t>
      </w:r>
      <w:r w:rsidRPr="00DA55A2">
        <w:rPr>
          <w:rFonts w:ascii="Arial" w:hAnsi="Arial" w:cs="Arial"/>
          <w:i/>
          <w:iCs/>
          <w:sz w:val="22"/>
          <w:szCs w:val="22"/>
        </w:rPr>
        <w:t>Limk1</w:t>
      </w:r>
      <w:r w:rsidRPr="00DA55A2">
        <w:rPr>
          <w:rFonts w:ascii="Arial" w:hAnsi="Arial" w:cs="Arial"/>
          <w:sz w:val="22"/>
          <w:szCs w:val="22"/>
        </w:rPr>
        <w:t xml:space="preserve"> gene (NCBI Reference Sequence: Gene ID 16885). The </w:t>
      </w:r>
      <w:r w:rsidRPr="00DA55A2">
        <w:rPr>
          <w:rFonts w:ascii="Arial" w:hAnsi="Arial" w:cs="Arial"/>
          <w:i/>
          <w:iCs/>
          <w:sz w:val="22"/>
          <w:szCs w:val="22"/>
        </w:rPr>
        <w:t>Limk1</w:t>
      </w:r>
      <w:r w:rsidRPr="00DA55A2">
        <w:rPr>
          <w:rFonts w:ascii="Arial" w:hAnsi="Arial" w:cs="Arial"/>
          <w:sz w:val="22"/>
          <w:szCs w:val="22"/>
        </w:rPr>
        <w:t xml:space="preserve"> KO mouse was designed by deleting 144 bp from exon 3 (ENSMUSE00001306814) and 232 bp from intron 3 within the </w:t>
      </w:r>
      <w:r w:rsidRPr="00DA55A2">
        <w:rPr>
          <w:rFonts w:ascii="Arial" w:hAnsi="Arial" w:cs="Arial"/>
          <w:i/>
          <w:iCs/>
          <w:sz w:val="22"/>
          <w:szCs w:val="22"/>
        </w:rPr>
        <w:t>Limk1</w:t>
      </w:r>
      <w:r w:rsidRPr="00DA55A2">
        <w:rPr>
          <w:rFonts w:ascii="Arial" w:hAnsi="Arial" w:cs="Arial"/>
          <w:sz w:val="22"/>
          <w:szCs w:val="22"/>
        </w:rPr>
        <w:t xml:space="preserve"> gene (Supplementary Fig. 1). The 376 bp deletion was confirmed by Sanger DNA sequencing after cloning the PCR product from positive F0 generation </w:t>
      </w:r>
      <w:r w:rsidRPr="00DA55A2">
        <w:rPr>
          <w:rFonts w:ascii="Arial" w:hAnsi="Arial" w:cs="Arial"/>
          <w:i/>
          <w:iCs/>
          <w:sz w:val="22"/>
          <w:szCs w:val="22"/>
        </w:rPr>
        <w:t>Limk1</w:t>
      </w:r>
      <w:r w:rsidRPr="00DA55A2">
        <w:rPr>
          <w:rFonts w:ascii="Arial" w:hAnsi="Arial" w:cs="Arial"/>
          <w:sz w:val="22"/>
          <w:szCs w:val="22"/>
        </w:rPr>
        <w:t xml:space="preserve"> mouse. A positive F0 mouse was bred with C57BL/6J mice for three generations before intercrossing heterozygous </w:t>
      </w:r>
      <w:r w:rsidRPr="00DA55A2">
        <w:rPr>
          <w:rFonts w:ascii="Arial" w:hAnsi="Arial" w:cs="Arial"/>
          <w:i/>
          <w:iCs/>
          <w:sz w:val="22"/>
          <w:szCs w:val="22"/>
        </w:rPr>
        <w:t>Limk1</w:t>
      </w:r>
      <w:r w:rsidRPr="00DA55A2">
        <w:rPr>
          <w:rFonts w:ascii="Arial" w:hAnsi="Arial" w:cs="Arial"/>
          <w:sz w:val="22"/>
          <w:szCs w:val="22"/>
        </w:rPr>
        <w:t xml:space="preserve">+/- mice to produce homozygous </w:t>
      </w:r>
      <w:r w:rsidRPr="00DA55A2">
        <w:rPr>
          <w:rFonts w:ascii="Arial" w:hAnsi="Arial" w:cs="Arial"/>
          <w:i/>
          <w:iCs/>
          <w:sz w:val="22"/>
          <w:szCs w:val="22"/>
        </w:rPr>
        <w:t>Limk1</w:t>
      </w:r>
      <w:r w:rsidRPr="00DA55A2">
        <w:rPr>
          <w:rFonts w:ascii="Arial" w:hAnsi="Arial" w:cs="Arial"/>
          <w:sz w:val="22"/>
          <w:szCs w:val="22"/>
        </w:rPr>
        <w:t xml:space="preserve"> KO animals. Genotyping of the </w:t>
      </w:r>
      <w:r w:rsidRPr="00DA55A2">
        <w:rPr>
          <w:rFonts w:ascii="Arial" w:hAnsi="Arial" w:cs="Arial"/>
          <w:i/>
          <w:iCs/>
          <w:sz w:val="22"/>
          <w:szCs w:val="22"/>
        </w:rPr>
        <w:t>Limk1</w:t>
      </w:r>
      <w:r w:rsidRPr="00DA55A2">
        <w:rPr>
          <w:rFonts w:ascii="Arial" w:hAnsi="Arial" w:cs="Arial"/>
          <w:sz w:val="22"/>
          <w:szCs w:val="22"/>
        </w:rPr>
        <w:t xml:space="preserve"> gene was performed using standard PCR conditions (94°C for 2 min; 30 cycles of 94°C for 30 s, 60°C for 30 s, 72°C for 30 s). The genotyping primer set (forward primer: 5’-agggaccgtacacacatgataa-3’; reverse primer: 5’-ctggcctggagctcactata-3’) amplifies a 376-bp PCR product from the KO allele and a 742-bp PCR product from the WT allele.</w:t>
      </w:r>
    </w:p>
    <w:p w:rsidR="005A5038" w:rsidRPr="00DA55A2" w:rsidRDefault="005A5038" w:rsidP="005A5038">
      <w:pPr>
        <w:spacing w:line="360" w:lineRule="auto"/>
        <w:jc w:val="both"/>
        <w:rPr>
          <w:rFonts w:ascii="Arial" w:hAnsi="Arial" w:cs="Arial"/>
          <w:sz w:val="22"/>
          <w:szCs w:val="22"/>
        </w:rPr>
      </w:pPr>
    </w:p>
    <w:p w:rsidR="005A5038" w:rsidRPr="00DA55A2" w:rsidRDefault="005A5038" w:rsidP="005A5038">
      <w:pPr>
        <w:spacing w:line="360" w:lineRule="auto"/>
        <w:jc w:val="both"/>
        <w:rPr>
          <w:rFonts w:ascii="Arial" w:hAnsi="Arial" w:cs="Arial"/>
          <w:b/>
          <w:sz w:val="22"/>
          <w:szCs w:val="22"/>
        </w:rPr>
      </w:pPr>
      <w:r w:rsidRPr="00DA55A2">
        <w:rPr>
          <w:rFonts w:ascii="Arial" w:hAnsi="Arial" w:cs="Arial"/>
          <w:b/>
          <w:sz w:val="22"/>
          <w:szCs w:val="22"/>
        </w:rPr>
        <w:t>Western blot</w:t>
      </w:r>
    </w:p>
    <w:p w:rsidR="005A5038" w:rsidRPr="00DA55A2" w:rsidRDefault="005A5038" w:rsidP="005A5038">
      <w:pPr>
        <w:spacing w:line="360" w:lineRule="auto"/>
        <w:jc w:val="both"/>
        <w:rPr>
          <w:rFonts w:ascii="Arial" w:hAnsi="Arial" w:cs="Arial"/>
          <w:sz w:val="22"/>
          <w:szCs w:val="22"/>
        </w:rPr>
      </w:pPr>
      <w:r w:rsidRPr="00DA55A2">
        <w:rPr>
          <w:rFonts w:ascii="Arial" w:hAnsi="Arial" w:cs="Arial"/>
          <w:sz w:val="22"/>
          <w:szCs w:val="22"/>
        </w:rPr>
        <w:t>Mice were anesthetized with isoflurane and decapitated for brain extraction. The brain sample was isolated on ice and acutely homogenized with ice-cold brain homogenization buffer (0.32M sucrose, 10mM HEPES, 2mM EDTA, 2mM EGTA, protease inhibitors, and phosphatase inhibitors, pH 7.4). Proteins were separated by electrophoresis on 10% Tris-Glycine gels and resolved proteins were transferred to nitrocellulose membranes. Membranes were incubated with LIMK1 (Abcam #ab217690, 1: 1,000) and GAPDH (</w:t>
      </w:r>
      <w:r w:rsidRPr="00DA55A2">
        <w:rPr>
          <w:rFonts w:ascii="Arial" w:hAnsi="Arial" w:cs="Arial" w:hint="eastAsia"/>
          <w:sz w:val="22"/>
          <w:szCs w:val="22"/>
        </w:rPr>
        <w:t>S</w:t>
      </w:r>
      <w:r w:rsidRPr="00DA55A2">
        <w:rPr>
          <w:rFonts w:ascii="Arial" w:hAnsi="Arial" w:cs="Arial"/>
          <w:sz w:val="22"/>
          <w:szCs w:val="22"/>
        </w:rPr>
        <w:t xml:space="preserve">anta Cruz #sc-365062, 1:1,000) antibodies overnight at 4°C. HRP-conjugated secondary antibody signals were visualized using </w:t>
      </w:r>
      <w:proofErr w:type="spellStart"/>
      <w:r w:rsidRPr="00DA55A2">
        <w:rPr>
          <w:rFonts w:ascii="Arial" w:hAnsi="Arial" w:cs="Arial"/>
          <w:sz w:val="22"/>
          <w:szCs w:val="22"/>
        </w:rPr>
        <w:t>ChemiDoc</w:t>
      </w:r>
      <w:proofErr w:type="spellEnd"/>
      <w:r w:rsidRPr="00DA55A2">
        <w:rPr>
          <w:rFonts w:ascii="Arial" w:hAnsi="Arial" w:cs="Arial"/>
          <w:sz w:val="22"/>
          <w:szCs w:val="22"/>
        </w:rPr>
        <w:t xml:space="preserve"> </w:t>
      </w:r>
      <w:r w:rsidRPr="00DA55A2">
        <w:rPr>
          <w:rFonts w:ascii="Arial" w:hAnsi="Arial" w:cs="Arial"/>
          <w:sz w:val="22"/>
          <w:szCs w:val="22"/>
        </w:rPr>
        <w:lastRenderedPageBreak/>
        <w:t>XRS+ imaging system (</w:t>
      </w:r>
      <w:proofErr w:type="spellStart"/>
      <w:r w:rsidRPr="00DA55A2">
        <w:rPr>
          <w:rFonts w:ascii="Arial" w:hAnsi="Arial" w:cs="Arial"/>
          <w:sz w:val="22"/>
          <w:szCs w:val="22"/>
        </w:rPr>
        <w:t>BioRad</w:t>
      </w:r>
      <w:proofErr w:type="spellEnd"/>
      <w:r w:rsidRPr="00DA55A2">
        <w:rPr>
          <w:rFonts w:ascii="Arial" w:hAnsi="Arial" w:cs="Arial"/>
          <w:sz w:val="22"/>
          <w:szCs w:val="22"/>
        </w:rPr>
        <w:t>, USA) and immunoblot signals were quantified using ImageJ software</w:t>
      </w:r>
      <w:r w:rsidRPr="00DA55A2">
        <w:rPr>
          <w:rFonts w:ascii="Times New Roman" w:hAnsi="Times New Roman" w:cs="Times New Roman"/>
          <w:i/>
          <w:iCs/>
          <w:kern w:val="0"/>
          <w:sz w:val="17"/>
          <w:szCs w:val="17"/>
        </w:rPr>
        <w:t xml:space="preserve">. </w:t>
      </w:r>
    </w:p>
    <w:p w:rsidR="005A5038" w:rsidRPr="00DA55A2" w:rsidRDefault="005A5038" w:rsidP="005A5038">
      <w:pPr>
        <w:spacing w:line="360" w:lineRule="auto"/>
        <w:jc w:val="both"/>
        <w:rPr>
          <w:rFonts w:ascii="Arial" w:hAnsi="Arial" w:cs="Arial"/>
          <w:sz w:val="22"/>
          <w:szCs w:val="22"/>
        </w:rPr>
      </w:pPr>
    </w:p>
    <w:p w:rsidR="005A5038" w:rsidRPr="007B5A62" w:rsidRDefault="005A5038" w:rsidP="005A5038">
      <w:pPr>
        <w:spacing w:line="360" w:lineRule="auto"/>
        <w:jc w:val="both"/>
        <w:rPr>
          <w:rFonts w:ascii="Arial" w:hAnsi="Arial" w:cs="Arial"/>
          <w:b/>
          <w:sz w:val="22"/>
          <w:szCs w:val="22"/>
        </w:rPr>
      </w:pPr>
      <w:r w:rsidRPr="007B5A62">
        <w:rPr>
          <w:rFonts w:ascii="Arial" w:hAnsi="Arial" w:cs="Arial"/>
          <w:b/>
          <w:sz w:val="22"/>
          <w:szCs w:val="22"/>
        </w:rPr>
        <w:t xml:space="preserve">Statistical analysis </w:t>
      </w:r>
    </w:p>
    <w:p w:rsidR="00A14F5F" w:rsidRDefault="00F9704E" w:rsidP="00F9704E">
      <w:pPr>
        <w:spacing w:line="360" w:lineRule="auto"/>
        <w:jc w:val="both"/>
        <w:rPr>
          <w:rFonts w:ascii="Arial" w:hAnsi="Arial" w:cs="Arial"/>
          <w:sz w:val="22"/>
          <w:szCs w:val="22"/>
        </w:rPr>
      </w:pPr>
      <w:r w:rsidRPr="007B5A62">
        <w:rPr>
          <w:rFonts w:ascii="Arial" w:hAnsi="Arial" w:cs="Arial"/>
          <w:sz w:val="22"/>
          <w:szCs w:val="22"/>
        </w:rPr>
        <w:t>Statistical analyses were performed using GraphPad Prism 10, and all data are presented as mean ± standard error of the mean (SEM). Normality of data distributions was assessed using the Shapiro–Wilk test. For comparisons between two groups, unpaired two-tailed t-tests were applied when data met assumptions of normality; otherwise, the nonparametric Mann–Whitney U test was used. Results with p ≥ 0.05 are reported as not significant (ns), whereas * and ** denote p &lt; 0.05 and p &lt; 0.01, respectively. The statistical test used, exact sample sizes, and levels of statistical significance are specified in each figure legend.</w:t>
      </w:r>
    </w:p>
    <w:p w:rsidR="007B5A62" w:rsidRDefault="007B5A62" w:rsidP="00F9704E">
      <w:pPr>
        <w:spacing w:line="360" w:lineRule="auto"/>
        <w:jc w:val="both"/>
      </w:pPr>
    </w:p>
    <w:p w:rsidR="007B5A62" w:rsidRPr="007B5A62" w:rsidRDefault="007B5A62" w:rsidP="007B5A62">
      <w:pPr>
        <w:spacing w:line="360" w:lineRule="auto"/>
        <w:jc w:val="both"/>
        <w:rPr>
          <w:rFonts w:ascii="Arial" w:hAnsi="Arial" w:cs="Arial"/>
          <w:b/>
          <w:sz w:val="22"/>
          <w:szCs w:val="22"/>
        </w:rPr>
      </w:pPr>
      <w:r>
        <w:rPr>
          <w:rFonts w:ascii="Arial" w:hAnsi="Arial" w:cs="Arial"/>
          <w:b/>
          <w:sz w:val="22"/>
          <w:szCs w:val="22"/>
        </w:rPr>
        <w:t>Reference</w:t>
      </w:r>
    </w:p>
    <w:p w:rsidR="007B5A62" w:rsidRPr="005D0E53" w:rsidRDefault="007B5A62" w:rsidP="005D0E53">
      <w:pPr>
        <w:pStyle w:val="EndNoteBibliography"/>
        <w:spacing w:after="0" w:line="360" w:lineRule="auto"/>
        <w:ind w:left="720" w:hanging="720"/>
        <w:rPr>
          <w:rFonts w:ascii="Arial" w:hAnsi="Arial" w:cs="Arial"/>
          <w:sz w:val="22"/>
          <w:szCs w:val="22"/>
        </w:rPr>
      </w:pPr>
      <w:r w:rsidRPr="005D0E53">
        <w:rPr>
          <w:rFonts w:ascii="Arial" w:hAnsi="Arial" w:cs="Arial"/>
          <w:sz w:val="22"/>
          <w:szCs w:val="22"/>
        </w:rPr>
        <w:fldChar w:fldCharType="begin"/>
      </w:r>
      <w:r w:rsidRPr="005D0E53">
        <w:rPr>
          <w:rFonts w:ascii="Arial" w:hAnsi="Arial" w:cs="Arial"/>
          <w:sz w:val="22"/>
          <w:szCs w:val="22"/>
        </w:rPr>
        <w:instrText xml:space="preserve"> ADDIN EN.REFLIST </w:instrText>
      </w:r>
      <w:r w:rsidRPr="005D0E53">
        <w:rPr>
          <w:rFonts w:ascii="Arial" w:hAnsi="Arial" w:cs="Arial"/>
          <w:sz w:val="22"/>
          <w:szCs w:val="22"/>
        </w:rPr>
        <w:fldChar w:fldCharType="separate"/>
      </w:r>
      <w:r w:rsidRPr="005D0E53">
        <w:rPr>
          <w:rFonts w:ascii="Arial" w:hAnsi="Arial" w:cs="Arial"/>
          <w:sz w:val="22"/>
          <w:szCs w:val="22"/>
        </w:rPr>
        <w:t>1.</w:t>
      </w:r>
      <w:r w:rsidRPr="005D0E53">
        <w:rPr>
          <w:rFonts w:ascii="Arial" w:hAnsi="Arial" w:cs="Arial"/>
          <w:sz w:val="22"/>
          <w:szCs w:val="22"/>
        </w:rPr>
        <w:tab/>
        <w:t>Keum S, Kim A, Shin JJ, Kim JH, Park J, Shin HS</w:t>
      </w:r>
      <w:r w:rsidR="005D0E53">
        <w:rPr>
          <w:rFonts w:ascii="Arial" w:hAnsi="Arial" w:cs="Arial"/>
          <w:sz w:val="22"/>
          <w:szCs w:val="22"/>
        </w:rPr>
        <w:t>.</w:t>
      </w:r>
      <w:r w:rsidRPr="005D0E53">
        <w:rPr>
          <w:rFonts w:ascii="Arial" w:hAnsi="Arial" w:cs="Arial"/>
          <w:sz w:val="22"/>
          <w:szCs w:val="22"/>
        </w:rPr>
        <w:t xml:space="preserve"> A Missense Variant at the Nrxn3 Locus Enhances Empathy Fear in the Mouse. Neuron 2018, 98(3):588-601 e585.</w:t>
      </w:r>
    </w:p>
    <w:p w:rsidR="007B5A62" w:rsidRPr="005D0E53" w:rsidRDefault="007B5A62" w:rsidP="005D0E53">
      <w:pPr>
        <w:pStyle w:val="EndNoteBibliography"/>
        <w:spacing w:line="360" w:lineRule="auto"/>
        <w:ind w:left="720" w:hanging="720"/>
        <w:rPr>
          <w:rFonts w:ascii="Arial" w:hAnsi="Arial" w:cs="Arial"/>
          <w:sz w:val="22"/>
          <w:szCs w:val="22"/>
        </w:rPr>
      </w:pPr>
      <w:r w:rsidRPr="005D0E53">
        <w:rPr>
          <w:rFonts w:ascii="Arial" w:hAnsi="Arial" w:cs="Arial"/>
          <w:sz w:val="22"/>
          <w:szCs w:val="22"/>
        </w:rPr>
        <w:t>2.</w:t>
      </w:r>
      <w:r w:rsidRPr="005D0E53">
        <w:rPr>
          <w:rFonts w:ascii="Arial" w:hAnsi="Arial" w:cs="Arial"/>
          <w:sz w:val="22"/>
          <w:szCs w:val="22"/>
        </w:rPr>
        <w:tab/>
        <w:t>Keum S, Park J, Kim A, Park J, Kim KK, Jeong J, Shin HS</w:t>
      </w:r>
      <w:r w:rsidR="005D0E53">
        <w:rPr>
          <w:rFonts w:ascii="Arial" w:hAnsi="Arial" w:cs="Arial"/>
          <w:sz w:val="22"/>
          <w:szCs w:val="22"/>
        </w:rPr>
        <w:t>.</w:t>
      </w:r>
      <w:r w:rsidRPr="005D0E53">
        <w:rPr>
          <w:rFonts w:ascii="Arial" w:hAnsi="Arial" w:cs="Arial"/>
          <w:sz w:val="22"/>
          <w:szCs w:val="22"/>
        </w:rPr>
        <w:t xml:space="preserve"> Variability in empathic fear response among 11 inbred strains of mice. Genes Brain Behav 2016, 15(2):231-242.</w:t>
      </w:r>
      <w:r w:rsidRPr="005D0E53">
        <w:rPr>
          <w:rFonts w:ascii="Arial" w:hAnsi="Arial" w:cs="Arial"/>
          <w:sz w:val="22"/>
          <w:szCs w:val="22"/>
        </w:rPr>
        <w:fldChar w:fldCharType="end"/>
      </w:r>
    </w:p>
    <w:sectPr w:rsidR="007B5A62" w:rsidRPr="005D0E53" w:rsidSect="005A5038">
      <w:pgSz w:w="12240" w:h="15840"/>
      <w:pgMar w:top="170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70A6" w:rsidRDefault="000570A6" w:rsidP="00F9704E">
      <w:pPr>
        <w:spacing w:after="0" w:line="240" w:lineRule="auto"/>
      </w:pPr>
      <w:r>
        <w:separator/>
      </w:r>
    </w:p>
  </w:endnote>
  <w:endnote w:type="continuationSeparator" w:id="0">
    <w:p w:rsidR="000570A6" w:rsidRDefault="000570A6" w:rsidP="00F97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70A6" w:rsidRDefault="000570A6" w:rsidP="00F9704E">
      <w:pPr>
        <w:spacing w:after="0" w:line="240" w:lineRule="auto"/>
      </w:pPr>
      <w:r>
        <w:separator/>
      </w:r>
    </w:p>
  </w:footnote>
  <w:footnote w:type="continuationSeparator" w:id="0">
    <w:p w:rsidR="000570A6" w:rsidRDefault="000570A6" w:rsidP="00F970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Molecular Biology&lt;/Style&gt;&lt;LeftDelim&gt;{&lt;/LeftDelim&gt;&lt;RightDelim&gt;}&lt;/RightDelim&gt;&lt;FontName&gt;맑은 고딕&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t2wvvwwmart06ervp7xsxfi0s0x95s5rt20&quot;&gt;Observation fear_Endnote 20190902-Converted&lt;record-ids&gt;&lt;item&gt;35&lt;/item&gt;&lt;item&gt;1007&lt;/item&gt;&lt;/record-ids&gt;&lt;/item&gt;&lt;/Libraries&gt;"/>
  </w:docVars>
  <w:rsids>
    <w:rsidRoot w:val="005A5038"/>
    <w:rsid w:val="000570A6"/>
    <w:rsid w:val="00081FCD"/>
    <w:rsid w:val="00264CD1"/>
    <w:rsid w:val="002F1248"/>
    <w:rsid w:val="003330EA"/>
    <w:rsid w:val="00364A0D"/>
    <w:rsid w:val="004E5781"/>
    <w:rsid w:val="005A5038"/>
    <w:rsid w:val="005D0E53"/>
    <w:rsid w:val="005E19A6"/>
    <w:rsid w:val="007048EE"/>
    <w:rsid w:val="007B5A62"/>
    <w:rsid w:val="00805E2D"/>
    <w:rsid w:val="00A14F5F"/>
    <w:rsid w:val="00B7448E"/>
    <w:rsid w:val="00B76F7B"/>
    <w:rsid w:val="00B8779F"/>
    <w:rsid w:val="00BA22ED"/>
    <w:rsid w:val="00C47CC3"/>
    <w:rsid w:val="00DA55A2"/>
    <w:rsid w:val="00DD3B3B"/>
    <w:rsid w:val="00F40C4A"/>
    <w:rsid w:val="00F9704E"/>
    <w:rsid w:val="00FD72C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251EE6"/>
  <w15:chartTrackingRefBased/>
  <w15:docId w15:val="{E783E4E1-0448-4041-8470-C874F3F82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A5038"/>
    <w:pPr>
      <w:spacing w:line="278" w:lineRule="auto"/>
      <w:jc w:val="left"/>
    </w:pPr>
    <w:rPr>
      <w:sz w:val="24"/>
      <w:szCs w:val="24"/>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5A5038"/>
  </w:style>
  <w:style w:type="paragraph" w:styleId="a4">
    <w:name w:val="header"/>
    <w:basedOn w:val="a"/>
    <w:link w:val="Char"/>
    <w:uiPriority w:val="99"/>
    <w:unhideWhenUsed/>
    <w:rsid w:val="00F9704E"/>
    <w:pPr>
      <w:tabs>
        <w:tab w:val="center" w:pos="4513"/>
        <w:tab w:val="right" w:pos="9026"/>
      </w:tabs>
      <w:spacing w:after="0" w:line="240" w:lineRule="auto"/>
    </w:pPr>
  </w:style>
  <w:style w:type="character" w:customStyle="1" w:styleId="Char">
    <w:name w:val="머리글 Char"/>
    <w:basedOn w:val="a0"/>
    <w:link w:val="a4"/>
    <w:uiPriority w:val="99"/>
    <w:rsid w:val="00F9704E"/>
    <w:rPr>
      <w:sz w:val="24"/>
      <w:szCs w:val="24"/>
      <w14:ligatures w14:val="standardContextual"/>
    </w:rPr>
  </w:style>
  <w:style w:type="paragraph" w:styleId="a5">
    <w:name w:val="footer"/>
    <w:basedOn w:val="a"/>
    <w:link w:val="Char0"/>
    <w:uiPriority w:val="99"/>
    <w:unhideWhenUsed/>
    <w:rsid w:val="00F9704E"/>
    <w:pPr>
      <w:tabs>
        <w:tab w:val="center" w:pos="4513"/>
        <w:tab w:val="right" w:pos="9026"/>
      </w:tabs>
      <w:spacing w:after="0" w:line="240" w:lineRule="auto"/>
    </w:pPr>
  </w:style>
  <w:style w:type="character" w:customStyle="1" w:styleId="Char0">
    <w:name w:val="바닥글 Char"/>
    <w:basedOn w:val="a0"/>
    <w:link w:val="a5"/>
    <w:uiPriority w:val="99"/>
    <w:rsid w:val="00F9704E"/>
    <w:rPr>
      <w:sz w:val="24"/>
      <w:szCs w:val="24"/>
      <w14:ligatures w14:val="standardContextual"/>
    </w:rPr>
  </w:style>
  <w:style w:type="paragraph" w:customStyle="1" w:styleId="EndNoteBibliographyTitle">
    <w:name w:val="EndNote Bibliography Title"/>
    <w:basedOn w:val="a"/>
    <w:link w:val="EndNoteBibliographyTitleChar"/>
    <w:rsid w:val="007B5A62"/>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7B5A62"/>
    <w:rPr>
      <w:rFonts w:ascii="맑은 고딕" w:eastAsia="맑은 고딕" w:hAnsi="맑은 고딕"/>
      <w:noProof/>
      <w:sz w:val="24"/>
      <w:szCs w:val="24"/>
      <w14:ligatures w14:val="standardContextual"/>
    </w:rPr>
  </w:style>
  <w:style w:type="paragraph" w:customStyle="1" w:styleId="EndNoteBibliography">
    <w:name w:val="EndNote Bibliography"/>
    <w:basedOn w:val="a"/>
    <w:link w:val="EndNoteBibliographyChar"/>
    <w:rsid w:val="007B5A62"/>
    <w:pPr>
      <w:spacing w:line="240" w:lineRule="auto"/>
      <w:jc w:val="both"/>
    </w:pPr>
    <w:rPr>
      <w:rFonts w:ascii="맑은 고딕" w:eastAsia="맑은 고딕" w:hAnsi="맑은 고딕"/>
      <w:noProof/>
    </w:rPr>
  </w:style>
  <w:style w:type="character" w:customStyle="1" w:styleId="EndNoteBibliographyChar">
    <w:name w:val="EndNote Bibliography Char"/>
    <w:basedOn w:val="a0"/>
    <w:link w:val="EndNoteBibliography"/>
    <w:rsid w:val="007B5A62"/>
    <w:rPr>
      <w:rFonts w:ascii="맑은 고딕" w:eastAsia="맑은 고딕" w:hAnsi="맑은 고딕"/>
      <w:noProof/>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827</Words>
  <Characters>4715</Characters>
  <Application>Microsoft Office Word</Application>
  <DocSecurity>0</DocSecurity>
  <Lines>39</Lines>
  <Paragraphs>11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Keum Sehoon</dc:creator>
  <cp:keywords/>
  <dc:description/>
  <cp:lastModifiedBy>Keum Sehoon</cp:lastModifiedBy>
  <cp:revision>2</cp:revision>
  <dcterms:created xsi:type="dcterms:W3CDTF">2026-01-20T08:11:00Z</dcterms:created>
  <dcterms:modified xsi:type="dcterms:W3CDTF">2026-01-20T08:11:00Z</dcterms:modified>
</cp:coreProperties>
</file>