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A16" w:rsidRDefault="00D90A16" w:rsidP="00D90A16">
      <w:pPr>
        <w:rPr>
          <w:rFonts w:ascii="TimesNewRomanPS-BoldMT" w:eastAsiaTheme="minorEastAsia" w:hAnsi="TimesNewRomanPS-BoldMT" w:cs="TimesNewRomanPS-BoldMT"/>
          <w:b/>
          <w:sz w:val="24"/>
          <w:szCs w:val="24"/>
          <w:lang w:eastAsia="fr-FR"/>
        </w:rPr>
      </w:pPr>
      <w:r>
        <w:rPr>
          <w:rFonts w:ascii="TimesNewRomanPS-BoldMT" w:eastAsiaTheme="minorEastAsia" w:hAnsi="TimesNewRomanPS-BoldMT" w:cs="TimesNewRomanPS-BoldMT"/>
          <w:b/>
          <w:sz w:val="24"/>
          <w:szCs w:val="24"/>
          <w:lang w:eastAsia="fr-FR"/>
        </w:rPr>
        <w:t xml:space="preserve">Additional File </w:t>
      </w:r>
      <w:bookmarkStart w:id="0" w:name="_GoBack"/>
      <w:bookmarkEnd w:id="0"/>
      <w:r w:rsidR="0012696A">
        <w:rPr>
          <w:rFonts w:ascii="TimesNewRomanPS-BoldMT" w:eastAsiaTheme="minorEastAsia" w:hAnsi="TimesNewRomanPS-BoldMT" w:cs="TimesNewRomanPS-BoldMT"/>
          <w:b/>
          <w:sz w:val="24"/>
          <w:szCs w:val="24"/>
          <w:lang w:eastAsia="fr-FR"/>
        </w:rPr>
        <w:t>6</w:t>
      </w:r>
    </w:p>
    <w:p w:rsidR="00D90A16" w:rsidRDefault="00D90A16" w:rsidP="00D90A16">
      <w:pPr>
        <w:rPr>
          <w:rFonts w:ascii="TimesNewRomanPS-BoldMT" w:eastAsiaTheme="minorEastAsia" w:hAnsi="TimesNewRomanPS-BoldMT" w:cs="TimesNewRomanPS-BoldMT"/>
          <w:b/>
          <w:sz w:val="24"/>
          <w:szCs w:val="24"/>
          <w:lang w:eastAsia="fr-FR"/>
        </w:rPr>
      </w:pPr>
      <w:r>
        <w:rPr>
          <w:rFonts w:ascii="TimesNewRomanPS-BoldMT" w:eastAsiaTheme="minorEastAsia" w:hAnsi="TimesNewRomanPS-BoldMT" w:cs="TimesNewRomanPS-BoldMT"/>
          <w:b/>
          <w:sz w:val="24"/>
          <w:szCs w:val="24"/>
          <w:lang w:eastAsia="fr-FR"/>
        </w:rPr>
        <w:t>Additivity of bortezomib and KNK-347 co-treatment on MM primary samples</w:t>
      </w:r>
    </w:p>
    <w:tbl>
      <w:tblPr>
        <w:tblStyle w:val="LightShading"/>
        <w:tblW w:w="0" w:type="auto"/>
        <w:jc w:val="center"/>
        <w:tblLook w:val="04A0"/>
      </w:tblPr>
      <w:tblGrid>
        <w:gridCol w:w="1840"/>
        <w:gridCol w:w="1387"/>
        <w:gridCol w:w="1417"/>
        <w:gridCol w:w="1701"/>
        <w:gridCol w:w="2127"/>
      </w:tblGrid>
      <w:tr w:rsidR="00D90A16" w:rsidRPr="003752C1" w:rsidTr="00454407">
        <w:trPr>
          <w:cnfStyle w:val="100000000000"/>
          <w:jc w:val="center"/>
        </w:trPr>
        <w:tc>
          <w:tcPr>
            <w:cnfStyle w:val="001000000000"/>
            <w:tcW w:w="1840" w:type="dxa"/>
          </w:tcPr>
          <w:p w:rsidR="00D90A16" w:rsidRPr="003752C1" w:rsidRDefault="00D90A16" w:rsidP="00454407">
            <w:pPr>
              <w:spacing w:after="0" w:line="240" w:lineRule="auto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Sample #</w:t>
            </w:r>
          </w:p>
        </w:tc>
        <w:tc>
          <w:tcPr>
            <w:tcW w:w="1387" w:type="dxa"/>
          </w:tcPr>
          <w:p w:rsidR="00D90A16" w:rsidRPr="003752C1" w:rsidRDefault="00D90A16" w:rsidP="00454407">
            <w:pPr>
              <w:spacing w:after="0" w:line="240" w:lineRule="auto"/>
              <w:cnfStyle w:val="1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Bort 5</w:t>
            </w:r>
          </w:p>
        </w:tc>
        <w:tc>
          <w:tcPr>
            <w:tcW w:w="1417" w:type="dxa"/>
          </w:tcPr>
          <w:p w:rsidR="00D90A16" w:rsidRPr="003752C1" w:rsidRDefault="00D90A16" w:rsidP="00454407">
            <w:pPr>
              <w:spacing w:after="0" w:line="240" w:lineRule="auto"/>
              <w:cnfStyle w:val="1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KNK 10</w:t>
            </w:r>
          </w:p>
        </w:tc>
        <w:tc>
          <w:tcPr>
            <w:tcW w:w="1701" w:type="dxa"/>
          </w:tcPr>
          <w:p w:rsidR="00D90A16" w:rsidRPr="003752C1" w:rsidRDefault="00D90A16" w:rsidP="00454407">
            <w:pPr>
              <w:spacing w:after="0" w:line="240" w:lineRule="auto"/>
              <w:cnfStyle w:val="1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Bort+KNK</w:t>
            </w:r>
          </w:p>
        </w:tc>
        <w:tc>
          <w:tcPr>
            <w:tcW w:w="2127" w:type="dxa"/>
          </w:tcPr>
          <w:p w:rsidR="00D90A16" w:rsidRPr="003752C1" w:rsidRDefault="00D90A16" w:rsidP="00454407">
            <w:pPr>
              <w:spacing w:after="0" w:line="240" w:lineRule="auto"/>
              <w:cnfStyle w:val="1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Expected value</w:t>
            </w:r>
          </w:p>
        </w:tc>
      </w:tr>
      <w:tr w:rsidR="00D90A16" w:rsidRPr="003752C1" w:rsidTr="00454407">
        <w:trPr>
          <w:cnfStyle w:val="000000100000"/>
          <w:jc w:val="center"/>
        </w:trPr>
        <w:tc>
          <w:tcPr>
            <w:cnfStyle w:val="001000000000"/>
            <w:tcW w:w="1840" w:type="dxa"/>
          </w:tcPr>
          <w:p w:rsidR="00D90A16" w:rsidRPr="003752C1" w:rsidRDefault="00D90A16" w:rsidP="00454407">
            <w:pPr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387" w:type="dxa"/>
          </w:tcPr>
          <w:p w:rsidR="00D90A16" w:rsidRPr="003752C1" w:rsidRDefault="00D90A16" w:rsidP="00454407">
            <w:pPr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16%</w:t>
            </w:r>
          </w:p>
        </w:tc>
        <w:tc>
          <w:tcPr>
            <w:tcW w:w="1417" w:type="dxa"/>
          </w:tcPr>
          <w:p w:rsidR="00D90A16" w:rsidRPr="003752C1" w:rsidRDefault="00D90A16" w:rsidP="00454407">
            <w:pPr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5%</w:t>
            </w:r>
          </w:p>
        </w:tc>
        <w:tc>
          <w:tcPr>
            <w:tcW w:w="1701" w:type="dxa"/>
          </w:tcPr>
          <w:p w:rsidR="00D90A16" w:rsidRPr="003752C1" w:rsidRDefault="00D90A16" w:rsidP="00454407">
            <w:pPr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15%</w:t>
            </w:r>
          </w:p>
        </w:tc>
        <w:tc>
          <w:tcPr>
            <w:tcW w:w="2127" w:type="dxa"/>
          </w:tcPr>
          <w:p w:rsidR="00D90A16" w:rsidRPr="003752C1" w:rsidRDefault="00D90A16" w:rsidP="00454407">
            <w:pPr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21%</w:t>
            </w:r>
          </w:p>
        </w:tc>
      </w:tr>
      <w:tr w:rsidR="00D90A16" w:rsidRPr="003752C1" w:rsidTr="00454407">
        <w:trPr>
          <w:jc w:val="center"/>
        </w:trPr>
        <w:tc>
          <w:tcPr>
            <w:cnfStyle w:val="001000000000"/>
            <w:tcW w:w="1840" w:type="dxa"/>
          </w:tcPr>
          <w:p w:rsidR="00D90A16" w:rsidRPr="003752C1" w:rsidRDefault="00D90A16" w:rsidP="00454407">
            <w:pPr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387" w:type="dxa"/>
          </w:tcPr>
          <w:p w:rsidR="00D90A16" w:rsidRPr="003752C1" w:rsidRDefault="00D90A16" w:rsidP="00454407">
            <w:pPr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19%</w:t>
            </w:r>
          </w:p>
        </w:tc>
        <w:tc>
          <w:tcPr>
            <w:tcW w:w="1417" w:type="dxa"/>
          </w:tcPr>
          <w:p w:rsidR="00D90A16" w:rsidRPr="003752C1" w:rsidRDefault="00D90A16" w:rsidP="00454407">
            <w:pPr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8%</w:t>
            </w:r>
          </w:p>
        </w:tc>
        <w:tc>
          <w:tcPr>
            <w:tcW w:w="1701" w:type="dxa"/>
          </w:tcPr>
          <w:p w:rsidR="00D90A16" w:rsidRPr="003752C1" w:rsidRDefault="00D90A16" w:rsidP="00454407">
            <w:pPr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63%</w:t>
            </w:r>
          </w:p>
        </w:tc>
        <w:tc>
          <w:tcPr>
            <w:tcW w:w="2127" w:type="dxa"/>
          </w:tcPr>
          <w:p w:rsidR="00D90A16" w:rsidRPr="003752C1" w:rsidRDefault="00D90A16" w:rsidP="00454407">
            <w:pPr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27%</w:t>
            </w:r>
          </w:p>
        </w:tc>
      </w:tr>
      <w:tr w:rsidR="00D90A16" w:rsidRPr="003752C1" w:rsidTr="00454407">
        <w:trPr>
          <w:cnfStyle w:val="000000100000"/>
          <w:jc w:val="center"/>
        </w:trPr>
        <w:tc>
          <w:tcPr>
            <w:cnfStyle w:val="001000000000"/>
            <w:tcW w:w="1840" w:type="dxa"/>
          </w:tcPr>
          <w:p w:rsidR="00D90A16" w:rsidRPr="003752C1" w:rsidRDefault="00D90A16" w:rsidP="00454407">
            <w:pPr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387" w:type="dxa"/>
          </w:tcPr>
          <w:p w:rsidR="00D90A16" w:rsidRPr="003752C1" w:rsidRDefault="00D90A16" w:rsidP="00454407">
            <w:pPr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39%</w:t>
            </w:r>
          </w:p>
        </w:tc>
        <w:tc>
          <w:tcPr>
            <w:tcW w:w="1417" w:type="dxa"/>
          </w:tcPr>
          <w:p w:rsidR="00D90A16" w:rsidRPr="003752C1" w:rsidRDefault="00D90A16" w:rsidP="00454407">
            <w:pPr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2%</w:t>
            </w:r>
          </w:p>
        </w:tc>
        <w:tc>
          <w:tcPr>
            <w:tcW w:w="1701" w:type="dxa"/>
          </w:tcPr>
          <w:p w:rsidR="00D90A16" w:rsidRPr="003752C1" w:rsidRDefault="00D90A16" w:rsidP="00454407">
            <w:pPr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51%</w:t>
            </w:r>
          </w:p>
        </w:tc>
        <w:tc>
          <w:tcPr>
            <w:tcW w:w="2127" w:type="dxa"/>
          </w:tcPr>
          <w:p w:rsidR="00D90A16" w:rsidRPr="003752C1" w:rsidRDefault="00D90A16" w:rsidP="00454407">
            <w:pPr>
              <w:spacing w:after="0" w:line="240" w:lineRule="auto"/>
              <w:cnfStyle w:val="0000001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41%</w:t>
            </w:r>
          </w:p>
        </w:tc>
      </w:tr>
      <w:tr w:rsidR="00D90A16" w:rsidRPr="003752C1" w:rsidTr="00454407">
        <w:trPr>
          <w:jc w:val="center"/>
        </w:trPr>
        <w:tc>
          <w:tcPr>
            <w:cnfStyle w:val="001000000000"/>
            <w:tcW w:w="1840" w:type="dxa"/>
          </w:tcPr>
          <w:p w:rsidR="00D90A16" w:rsidRPr="003752C1" w:rsidRDefault="00D90A16" w:rsidP="00454407">
            <w:pPr>
              <w:spacing w:after="0" w:line="240" w:lineRule="auto"/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b w:val="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387" w:type="dxa"/>
          </w:tcPr>
          <w:p w:rsidR="00D90A16" w:rsidRPr="003752C1" w:rsidRDefault="00D90A16" w:rsidP="00454407">
            <w:pPr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23%</w:t>
            </w:r>
          </w:p>
        </w:tc>
        <w:tc>
          <w:tcPr>
            <w:tcW w:w="1417" w:type="dxa"/>
          </w:tcPr>
          <w:p w:rsidR="00D90A16" w:rsidRPr="003752C1" w:rsidRDefault="00D90A16" w:rsidP="00454407">
            <w:pPr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2%</w:t>
            </w:r>
          </w:p>
        </w:tc>
        <w:tc>
          <w:tcPr>
            <w:tcW w:w="1701" w:type="dxa"/>
          </w:tcPr>
          <w:p w:rsidR="00D90A16" w:rsidRPr="003752C1" w:rsidRDefault="00D90A16" w:rsidP="00454407">
            <w:pPr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51%</w:t>
            </w:r>
          </w:p>
        </w:tc>
        <w:tc>
          <w:tcPr>
            <w:tcW w:w="2127" w:type="dxa"/>
          </w:tcPr>
          <w:p w:rsidR="00D90A16" w:rsidRPr="003752C1" w:rsidRDefault="00D90A16" w:rsidP="00454407">
            <w:pPr>
              <w:spacing w:after="0" w:line="240" w:lineRule="auto"/>
              <w:cnfStyle w:val="000000000000"/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</w:pPr>
            <w:r w:rsidRPr="003752C1">
              <w:rPr>
                <w:rFonts w:ascii="TimesNewRomanPS-BoldMT" w:eastAsiaTheme="minorEastAsia" w:hAnsi="TimesNewRomanPS-BoldMT" w:cs="TimesNewRomanPS-BoldMT"/>
                <w:sz w:val="24"/>
                <w:szCs w:val="24"/>
                <w:lang w:eastAsia="fr-FR"/>
              </w:rPr>
              <w:t>41%</w:t>
            </w:r>
          </w:p>
        </w:tc>
      </w:tr>
    </w:tbl>
    <w:p w:rsidR="00D90A16" w:rsidRPr="00691728" w:rsidRDefault="00D90A16" w:rsidP="00D90A16">
      <w:pPr>
        <w:widowControl w:val="0"/>
        <w:autoSpaceDE w:val="0"/>
        <w:autoSpaceDN w:val="0"/>
        <w:adjustRightInd w:val="0"/>
        <w:spacing w:after="0" w:line="240" w:lineRule="auto"/>
        <w:rPr>
          <w:rFonts w:ascii="TimesNewRomanPSMT" w:eastAsiaTheme="minorEastAsia" w:hAnsi="TimesNewRomanPSMT" w:cs="TimesNewRomanPSMT"/>
          <w:sz w:val="24"/>
          <w:szCs w:val="24"/>
          <w:lang w:eastAsia="fr-FR"/>
        </w:rPr>
      </w:pPr>
      <w:r w:rsidRPr="0033190C">
        <w:rPr>
          <w:rFonts w:ascii="TimesNewRomanPSMT" w:eastAsiaTheme="minorEastAsia" w:hAnsi="TimesNewRomanPSMT" w:cs="TimesNewRomanPSMT"/>
          <w:sz w:val="24"/>
          <w:szCs w:val="24"/>
          <w:lang w:eastAsia="fr-FR"/>
        </w:rPr>
        <w:t>Primary cells were obtained from patients with MM or PCL. Purified CD13+ cells were cultured for 24 h then treated with 5 nM bortezomib alone or in combination with 10 μM KNK-437. Cell death was determined as the percentage</w:t>
      </w:r>
      <w:r>
        <w:rPr>
          <w:rFonts w:ascii="TimesNewRomanPSMT" w:eastAsiaTheme="minorEastAsia" w:hAnsi="TimesNewRomanPSMT" w:cs="TimesNewRomanPSMT"/>
          <w:sz w:val="24"/>
          <w:szCs w:val="24"/>
          <w:lang w:eastAsia="fr-FR"/>
        </w:rPr>
        <w:t xml:space="preserve"> </w:t>
      </w:r>
      <w:r w:rsidRPr="0033190C">
        <w:rPr>
          <w:rFonts w:ascii="TimesNewRomanPSMT" w:eastAsiaTheme="minorEastAsia" w:hAnsi="TimesNewRomanPSMT" w:cs="TimesNewRomanPSMT"/>
          <w:sz w:val="24"/>
          <w:szCs w:val="24"/>
          <w:lang w:eastAsia="fr-FR"/>
        </w:rPr>
        <w:t>of CD138+ cells that have lost CD138. The percentage of dead cells directly measured</w:t>
      </w:r>
      <w:r>
        <w:rPr>
          <w:rFonts w:ascii="TimesNewRomanPSMT" w:eastAsiaTheme="minorEastAsia" w:hAnsi="TimesNewRomanPSMT" w:cs="TimesNewRomanPSMT"/>
          <w:sz w:val="24"/>
          <w:szCs w:val="24"/>
          <w:lang w:eastAsia="fr-FR"/>
        </w:rPr>
        <w:t xml:space="preserve"> (</w:t>
      </w:r>
      <w:r w:rsidRPr="0033190C">
        <w:rPr>
          <w:rFonts w:ascii="TimesNewRomanPSMT" w:eastAsiaTheme="minorEastAsia" w:hAnsi="TimesNewRomanPSMT" w:cs="TimesNewRomanPSMT"/>
          <w:sz w:val="24"/>
          <w:szCs w:val="24"/>
          <w:lang w:eastAsia="fr-FR"/>
        </w:rPr>
        <w:t>observed) and the percentage of dead cells calculated for an additive effect (expected) were</w:t>
      </w:r>
      <w:r>
        <w:rPr>
          <w:rFonts w:ascii="TimesNewRomanPSMT" w:eastAsiaTheme="minorEastAsia" w:hAnsi="TimesNewRomanPSMT" w:cs="TimesNewRomanPSMT"/>
          <w:sz w:val="24"/>
          <w:szCs w:val="24"/>
          <w:lang w:eastAsia="fr-FR"/>
        </w:rPr>
        <w:t xml:space="preserve"> </w:t>
      </w:r>
      <w:r w:rsidRPr="0033190C">
        <w:rPr>
          <w:rFonts w:ascii="TimesNewRomanPSMT" w:eastAsiaTheme="minorEastAsia" w:hAnsi="TimesNewRomanPSMT" w:cs="TimesNewRomanPSMT"/>
          <w:sz w:val="24"/>
          <w:szCs w:val="24"/>
          <w:lang w:eastAsia="fr-FR"/>
        </w:rPr>
        <w:t>not significantly different (p = 0.37, Wilcoxon matched-pairs signed-rank test). This signifies</w:t>
      </w:r>
      <w:r>
        <w:rPr>
          <w:rFonts w:ascii="TimesNewRomanPSMT" w:eastAsiaTheme="minorEastAsia" w:hAnsi="TimesNewRomanPSMT" w:cs="TimesNewRomanPSMT"/>
          <w:sz w:val="24"/>
          <w:szCs w:val="24"/>
          <w:lang w:eastAsia="fr-FR"/>
        </w:rPr>
        <w:t xml:space="preserve"> </w:t>
      </w:r>
      <w:r w:rsidRPr="0033190C">
        <w:rPr>
          <w:rFonts w:ascii="TimesNewRomanPSMT" w:eastAsiaTheme="minorEastAsia" w:hAnsi="TimesNewRomanPSMT" w:cs="TimesNewRomanPSMT"/>
          <w:sz w:val="24"/>
          <w:szCs w:val="24"/>
          <w:lang w:eastAsia="fr-FR"/>
        </w:rPr>
        <w:t>hat the effect of the combination of both drugs was indeed additive.</w:t>
      </w:r>
    </w:p>
    <w:p w:rsidR="00A30A83" w:rsidRDefault="00A30A83"/>
    <w:sectPr w:rsidR="00A30A83" w:rsidSect="004C0354">
      <w:footerReference w:type="even" r:id="rId6"/>
      <w:footerReference w:type="default" r:id="rId7"/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206" w:rsidRDefault="005E4206">
      <w:pPr>
        <w:spacing w:after="0" w:line="240" w:lineRule="auto"/>
      </w:pPr>
      <w:r>
        <w:separator/>
      </w:r>
    </w:p>
  </w:endnote>
  <w:endnote w:type="continuationSeparator" w:id="0">
    <w:p w:rsidR="005E4206" w:rsidRDefault="005E4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F5" w:rsidRDefault="00157916" w:rsidP="00900C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90A1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363F5" w:rsidRDefault="005E4206" w:rsidP="006A4B5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F5" w:rsidRDefault="00157916" w:rsidP="00900CB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90A1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696A">
      <w:rPr>
        <w:rStyle w:val="PageNumber"/>
        <w:noProof/>
      </w:rPr>
      <w:t>1</w:t>
    </w:r>
    <w:r>
      <w:rPr>
        <w:rStyle w:val="PageNumber"/>
      </w:rPr>
      <w:fldChar w:fldCharType="end"/>
    </w:r>
  </w:p>
  <w:p w:rsidR="00F363F5" w:rsidRDefault="005E4206" w:rsidP="006A4B5E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206" w:rsidRDefault="005E4206">
      <w:pPr>
        <w:spacing w:after="0" w:line="240" w:lineRule="auto"/>
      </w:pPr>
      <w:r>
        <w:separator/>
      </w:r>
    </w:p>
  </w:footnote>
  <w:footnote w:type="continuationSeparator" w:id="0">
    <w:p w:rsidR="005E4206" w:rsidRDefault="005E42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90A16"/>
    <w:rsid w:val="0012696A"/>
    <w:rsid w:val="00157916"/>
    <w:rsid w:val="00254CFB"/>
    <w:rsid w:val="00277058"/>
    <w:rsid w:val="004C0354"/>
    <w:rsid w:val="005416E2"/>
    <w:rsid w:val="005E4206"/>
    <w:rsid w:val="00A30A83"/>
    <w:rsid w:val="00B01476"/>
    <w:rsid w:val="00D90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A16"/>
    <w:pPr>
      <w:spacing w:after="200" w:line="276" w:lineRule="auto"/>
    </w:pPr>
    <w:rPr>
      <w:rFonts w:ascii="Cambria" w:eastAsia="Cambria" w:hAnsi="Cambria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D90A1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Footer">
    <w:name w:val="footer"/>
    <w:basedOn w:val="Normal"/>
    <w:link w:val="FooterChar"/>
    <w:uiPriority w:val="99"/>
    <w:unhideWhenUsed/>
    <w:rsid w:val="00D90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A16"/>
    <w:rPr>
      <w:rFonts w:ascii="Cambria" w:eastAsia="Cambria" w:hAnsi="Cambria" w:cs="Times New Roman"/>
      <w:sz w:val="22"/>
      <w:szCs w:val="22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D90A1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A16"/>
    <w:pPr>
      <w:spacing w:after="200" w:line="276" w:lineRule="auto"/>
    </w:pPr>
    <w:rPr>
      <w:rFonts w:ascii="Cambria" w:eastAsia="Cambria" w:hAnsi="Cambria" w:cs="Times New Roman"/>
      <w:sz w:val="22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Ombrageclair">
    <w:name w:val="Light Shading"/>
    <w:basedOn w:val="TableauNormal"/>
    <w:uiPriority w:val="60"/>
    <w:rsid w:val="00D90A16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ieddepage">
    <w:name w:val="footer"/>
    <w:basedOn w:val="Normal"/>
    <w:link w:val="PieddepageCar"/>
    <w:uiPriority w:val="99"/>
    <w:unhideWhenUsed/>
    <w:rsid w:val="00D90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90A16"/>
    <w:rPr>
      <w:rFonts w:ascii="Cambria" w:eastAsia="Cambria" w:hAnsi="Cambria" w:cs="Times New Roman"/>
      <w:sz w:val="22"/>
      <w:szCs w:val="22"/>
      <w:lang w:val="en-US" w:eastAsia="en-US"/>
    </w:rPr>
  </w:style>
  <w:style w:type="character" w:styleId="Numrodepage">
    <w:name w:val="page number"/>
    <w:basedOn w:val="Policepardfaut"/>
    <w:uiPriority w:val="99"/>
    <w:semiHidden/>
    <w:unhideWhenUsed/>
    <w:rsid w:val="00D90A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Sola</dc:creator>
  <cp:keywords/>
  <dc:description/>
  <cp:lastModifiedBy>copyeditor</cp:lastModifiedBy>
  <cp:revision>3</cp:revision>
  <dcterms:created xsi:type="dcterms:W3CDTF">2015-02-27T08:15:00Z</dcterms:created>
  <dcterms:modified xsi:type="dcterms:W3CDTF">2015-04-17T08:14:00Z</dcterms:modified>
</cp:coreProperties>
</file>