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EB9" w:rsidRPr="006C5975" w:rsidRDefault="00080EB9" w:rsidP="00303C50">
      <w:pPr>
        <w:spacing w:line="360" w:lineRule="auto"/>
        <w:jc w:val="center"/>
        <w:rPr>
          <w:rFonts w:ascii="Times New Roman" w:hAnsi="Times New Roman"/>
          <w:b/>
          <w:bCs/>
          <w:sz w:val="24"/>
          <w:szCs w:val="24"/>
        </w:rPr>
      </w:pPr>
      <w:r w:rsidRPr="006C5975">
        <w:rPr>
          <w:rFonts w:ascii="Times New Roman" w:hAnsi="Times New Roman"/>
          <w:b/>
          <w:bCs/>
          <w:sz w:val="24"/>
          <w:szCs w:val="24"/>
        </w:rPr>
        <w:t>Clinical Trial Protocol</w:t>
      </w:r>
    </w:p>
    <w:p w:rsidR="00080EB9" w:rsidRPr="006C5975" w:rsidRDefault="00080EB9" w:rsidP="00303C50">
      <w:pPr>
        <w:spacing w:line="360" w:lineRule="auto"/>
        <w:jc w:val="center"/>
        <w:rPr>
          <w:rFonts w:ascii="Times New Roman" w:hAnsi="Times New Roman"/>
          <w:b/>
          <w:bCs/>
          <w:sz w:val="24"/>
          <w:szCs w:val="24"/>
        </w:rPr>
      </w:pPr>
    </w:p>
    <w:tbl>
      <w:tblPr>
        <w:tblW w:w="5000" w:type="pct"/>
        <w:tblLook w:val="01E0" w:firstRow="1" w:lastRow="1" w:firstColumn="1" w:lastColumn="1" w:noHBand="0" w:noVBand="0"/>
      </w:tblPr>
      <w:tblGrid>
        <w:gridCol w:w="2579"/>
        <w:gridCol w:w="6663"/>
      </w:tblGrid>
      <w:tr w:rsidR="00080EB9" w:rsidRPr="006C5975" w:rsidTr="00707C08">
        <w:trPr>
          <w:trHeight w:val="422"/>
        </w:trPr>
        <w:tc>
          <w:tcPr>
            <w:tcW w:w="1395" w:type="pct"/>
          </w:tcPr>
          <w:p w:rsidR="00080EB9" w:rsidRPr="006C5975" w:rsidRDefault="00080EB9" w:rsidP="00164875">
            <w:pPr>
              <w:spacing w:line="360" w:lineRule="auto"/>
              <w:jc w:val="left"/>
              <w:rPr>
                <w:rFonts w:ascii="Times New Roman" w:hAnsi="Times New Roman"/>
                <w:b/>
                <w:sz w:val="24"/>
                <w:szCs w:val="24"/>
              </w:rPr>
            </w:pPr>
            <w:r w:rsidRPr="006C5975">
              <w:rPr>
                <w:rFonts w:ascii="Times New Roman" w:hAnsi="Times New Roman"/>
                <w:b/>
                <w:sz w:val="24"/>
                <w:szCs w:val="24"/>
              </w:rPr>
              <w:t>Title</w:t>
            </w:r>
          </w:p>
        </w:tc>
        <w:tc>
          <w:tcPr>
            <w:tcW w:w="3605" w:type="pct"/>
          </w:tcPr>
          <w:p w:rsidR="00080EB9" w:rsidRPr="006C5975" w:rsidRDefault="00080EB9" w:rsidP="00164875">
            <w:pPr>
              <w:spacing w:line="360" w:lineRule="auto"/>
              <w:jc w:val="left"/>
              <w:rPr>
                <w:rFonts w:ascii="Times New Roman" w:hAnsi="Times New Roman"/>
                <w:b/>
                <w:sz w:val="24"/>
                <w:szCs w:val="24"/>
              </w:rPr>
            </w:pPr>
            <w:r w:rsidRPr="006C5975">
              <w:rPr>
                <w:rFonts w:ascii="Times New Roman" w:hAnsi="Times New Roman"/>
                <w:b/>
                <w:sz w:val="24"/>
                <w:szCs w:val="24"/>
              </w:rPr>
              <w:t>A randomized, controlled phase II/III trial to evaluate the efficacy of elortinib vs gefitinib in advanced non-small-cell lung cancer with EGFR exon 19 or 21 mutations</w:t>
            </w:r>
          </w:p>
        </w:tc>
      </w:tr>
      <w:tr w:rsidR="00080EB9" w:rsidRPr="006C5975" w:rsidTr="00707C08">
        <w:tc>
          <w:tcPr>
            <w:tcW w:w="1395" w:type="pct"/>
          </w:tcPr>
          <w:p w:rsidR="00080EB9" w:rsidRPr="006C5975" w:rsidRDefault="00080EB9" w:rsidP="00303C50">
            <w:pPr>
              <w:spacing w:line="360" w:lineRule="auto"/>
              <w:jc w:val="left"/>
              <w:rPr>
                <w:rFonts w:ascii="Times New Roman" w:hAnsi="Times New Roman"/>
                <w:b/>
                <w:sz w:val="24"/>
                <w:szCs w:val="24"/>
              </w:rPr>
            </w:pPr>
            <w:r w:rsidRPr="006C5975">
              <w:rPr>
                <w:rFonts w:ascii="Times New Roman" w:hAnsi="Times New Roman"/>
                <w:b/>
                <w:bCs/>
                <w:sz w:val="24"/>
                <w:szCs w:val="24"/>
              </w:rPr>
              <w:t>Protocol ID</w:t>
            </w:r>
          </w:p>
        </w:tc>
        <w:tc>
          <w:tcPr>
            <w:tcW w:w="3605" w:type="pct"/>
          </w:tcPr>
          <w:p w:rsidR="00080EB9" w:rsidRPr="006C5975" w:rsidRDefault="00080EB9" w:rsidP="00303C50">
            <w:pPr>
              <w:spacing w:line="360" w:lineRule="auto"/>
              <w:jc w:val="left"/>
              <w:rPr>
                <w:rFonts w:ascii="Times New Roman" w:hAnsi="Times New Roman"/>
                <w:b/>
                <w:sz w:val="24"/>
                <w:szCs w:val="24"/>
              </w:rPr>
            </w:pPr>
            <w:r w:rsidRPr="006C5975">
              <w:rPr>
                <w:rFonts w:ascii="Times New Roman" w:hAnsi="Times New Roman"/>
                <w:b/>
                <w:sz w:val="24"/>
                <w:szCs w:val="24"/>
              </w:rPr>
              <w:t>CTONG0901</w:t>
            </w:r>
          </w:p>
        </w:tc>
      </w:tr>
      <w:tr w:rsidR="00080EB9" w:rsidRPr="006C5975" w:rsidTr="00707C08">
        <w:tc>
          <w:tcPr>
            <w:tcW w:w="1395" w:type="pct"/>
          </w:tcPr>
          <w:p w:rsidR="00080EB9" w:rsidRPr="006C5975" w:rsidRDefault="00080EB9" w:rsidP="00303C50">
            <w:pPr>
              <w:spacing w:line="360" w:lineRule="auto"/>
              <w:jc w:val="left"/>
              <w:rPr>
                <w:rFonts w:ascii="Times New Roman" w:hAnsi="Times New Roman"/>
                <w:b/>
                <w:bCs/>
                <w:sz w:val="24"/>
                <w:szCs w:val="24"/>
              </w:rPr>
            </w:pPr>
            <w:r w:rsidRPr="006C5975">
              <w:rPr>
                <w:rFonts w:ascii="Times New Roman" w:hAnsi="Times New Roman"/>
                <w:b/>
                <w:sz w:val="24"/>
                <w:szCs w:val="24"/>
              </w:rPr>
              <w:t>Principal Investigator</w:t>
            </w:r>
          </w:p>
        </w:tc>
        <w:tc>
          <w:tcPr>
            <w:tcW w:w="3605" w:type="pct"/>
          </w:tcPr>
          <w:p w:rsidR="00080EB9" w:rsidRPr="006C5975" w:rsidRDefault="00080EB9" w:rsidP="005E68A5">
            <w:pPr>
              <w:spacing w:line="360" w:lineRule="auto"/>
              <w:jc w:val="left"/>
              <w:rPr>
                <w:rFonts w:ascii="Times New Roman" w:hAnsi="Times New Roman"/>
                <w:b/>
                <w:bCs/>
                <w:sz w:val="24"/>
                <w:szCs w:val="24"/>
              </w:rPr>
            </w:pPr>
            <w:r w:rsidRPr="006C5975">
              <w:rPr>
                <w:rFonts w:ascii="Times New Roman" w:hAnsi="Times New Roman"/>
                <w:b/>
                <w:bCs/>
                <w:sz w:val="24"/>
                <w:szCs w:val="24"/>
              </w:rPr>
              <w:t>Dr. Yi</w:t>
            </w:r>
            <w:r w:rsidR="005E68A5">
              <w:rPr>
                <w:rFonts w:ascii="Times New Roman" w:hAnsi="Times New Roman" w:hint="eastAsia"/>
                <w:b/>
                <w:bCs/>
                <w:sz w:val="24"/>
                <w:szCs w:val="24"/>
              </w:rPr>
              <w:t>-L</w:t>
            </w:r>
            <w:r w:rsidRPr="006C5975">
              <w:rPr>
                <w:rFonts w:ascii="Times New Roman" w:hAnsi="Times New Roman"/>
                <w:b/>
                <w:bCs/>
                <w:sz w:val="24"/>
                <w:szCs w:val="24"/>
              </w:rPr>
              <w:t>ong Wu</w:t>
            </w:r>
          </w:p>
        </w:tc>
      </w:tr>
      <w:tr w:rsidR="00080EB9" w:rsidRPr="006C5975" w:rsidTr="00707C08">
        <w:tc>
          <w:tcPr>
            <w:tcW w:w="1395" w:type="pct"/>
          </w:tcPr>
          <w:p w:rsidR="00080EB9" w:rsidRPr="006C5975" w:rsidRDefault="00080EB9" w:rsidP="00303C50">
            <w:pPr>
              <w:spacing w:line="360" w:lineRule="auto"/>
              <w:jc w:val="left"/>
              <w:rPr>
                <w:rFonts w:ascii="Times New Roman" w:hAnsi="Times New Roman"/>
                <w:b/>
                <w:bCs/>
                <w:sz w:val="24"/>
                <w:szCs w:val="24"/>
              </w:rPr>
            </w:pPr>
            <w:r w:rsidRPr="006C5975">
              <w:rPr>
                <w:rFonts w:ascii="Times New Roman" w:hAnsi="Times New Roman"/>
                <w:b/>
                <w:sz w:val="24"/>
                <w:szCs w:val="24"/>
              </w:rPr>
              <w:t>Study Site</w:t>
            </w:r>
          </w:p>
        </w:tc>
        <w:tc>
          <w:tcPr>
            <w:tcW w:w="3605" w:type="pct"/>
          </w:tcPr>
          <w:p w:rsidR="00080EB9" w:rsidRPr="006C5975" w:rsidRDefault="00080EB9" w:rsidP="00337D69">
            <w:pPr>
              <w:spacing w:line="360" w:lineRule="auto"/>
              <w:jc w:val="left"/>
              <w:rPr>
                <w:rFonts w:ascii="Times New Roman" w:hAnsi="Times New Roman"/>
                <w:b/>
                <w:bCs/>
                <w:sz w:val="24"/>
                <w:szCs w:val="24"/>
              </w:rPr>
            </w:pPr>
            <w:r w:rsidRPr="006C5975">
              <w:rPr>
                <w:rFonts w:ascii="Times New Roman" w:hAnsi="Times New Roman"/>
                <w:b/>
                <w:bCs/>
                <w:sz w:val="24"/>
                <w:szCs w:val="24"/>
              </w:rPr>
              <w:t>Guangdong General Hospital Cancer Center</w:t>
            </w:r>
          </w:p>
        </w:tc>
      </w:tr>
      <w:tr w:rsidR="00080EB9" w:rsidRPr="006C5975" w:rsidTr="00707C08">
        <w:tc>
          <w:tcPr>
            <w:tcW w:w="1395" w:type="pct"/>
          </w:tcPr>
          <w:p w:rsidR="00080EB9" w:rsidRPr="006C5975" w:rsidRDefault="00080EB9" w:rsidP="00303C50">
            <w:pPr>
              <w:spacing w:line="360" w:lineRule="auto"/>
              <w:jc w:val="left"/>
              <w:rPr>
                <w:rFonts w:ascii="Times New Roman" w:hAnsi="Times New Roman"/>
                <w:b/>
                <w:sz w:val="24"/>
                <w:szCs w:val="24"/>
              </w:rPr>
            </w:pPr>
            <w:r w:rsidRPr="006C5975">
              <w:rPr>
                <w:rFonts w:ascii="Times New Roman" w:hAnsi="Times New Roman"/>
                <w:b/>
                <w:sz w:val="24"/>
                <w:szCs w:val="24"/>
              </w:rPr>
              <w:t>Contact Information</w:t>
            </w:r>
          </w:p>
        </w:tc>
        <w:tc>
          <w:tcPr>
            <w:tcW w:w="3605" w:type="pct"/>
          </w:tcPr>
          <w:p w:rsidR="00080EB9" w:rsidRPr="006C5975" w:rsidRDefault="00080EB9" w:rsidP="006909DD">
            <w:pPr>
              <w:spacing w:line="360" w:lineRule="auto"/>
              <w:jc w:val="left"/>
              <w:rPr>
                <w:rFonts w:ascii="Times New Roman" w:hAnsi="Times New Roman"/>
                <w:b/>
                <w:bCs/>
                <w:sz w:val="24"/>
                <w:szCs w:val="24"/>
              </w:rPr>
            </w:pPr>
            <w:r w:rsidRPr="006C5975">
              <w:rPr>
                <w:rFonts w:ascii="Times New Roman" w:hAnsi="Times New Roman"/>
                <w:b/>
                <w:bCs/>
                <w:sz w:val="24"/>
                <w:szCs w:val="24"/>
              </w:rPr>
              <w:t>Address: Guangdong General Hospital Cancer Center, 106 Zhongshan 2</w:t>
            </w:r>
            <w:r w:rsidRPr="006C5975">
              <w:rPr>
                <w:rFonts w:ascii="Times New Roman" w:hAnsi="Times New Roman"/>
                <w:b/>
                <w:bCs/>
                <w:sz w:val="24"/>
                <w:szCs w:val="24"/>
                <w:vertAlign w:val="superscript"/>
              </w:rPr>
              <w:t>nd</w:t>
            </w:r>
            <w:r w:rsidRPr="006C5975">
              <w:rPr>
                <w:rFonts w:ascii="Times New Roman" w:hAnsi="Times New Roman"/>
                <w:b/>
                <w:bCs/>
                <w:sz w:val="24"/>
                <w:szCs w:val="24"/>
              </w:rPr>
              <w:t xml:space="preserve"> Road, Guanghzou (510080)</w:t>
            </w:r>
          </w:p>
          <w:p w:rsidR="00080EB9" w:rsidRPr="006C5975" w:rsidRDefault="00080EB9" w:rsidP="00303C50">
            <w:pPr>
              <w:spacing w:line="360" w:lineRule="auto"/>
              <w:jc w:val="left"/>
              <w:rPr>
                <w:rFonts w:ascii="Times New Roman" w:hAnsi="Times New Roman"/>
                <w:b/>
                <w:bCs/>
                <w:sz w:val="24"/>
                <w:szCs w:val="24"/>
              </w:rPr>
            </w:pPr>
            <w:r w:rsidRPr="006C5975">
              <w:rPr>
                <w:rFonts w:ascii="Times New Roman" w:hAnsi="Times New Roman"/>
                <w:b/>
                <w:bCs/>
                <w:sz w:val="24"/>
                <w:szCs w:val="24"/>
              </w:rPr>
              <w:t>Tel</w:t>
            </w:r>
            <w:r w:rsidRPr="006C5975">
              <w:rPr>
                <w:rFonts w:ascii="Times New Roman" w:hAnsi="Times New Roman"/>
                <w:b/>
                <w:bCs/>
                <w:sz w:val="24"/>
                <w:szCs w:val="24"/>
                <w:lang w:val="en-GB"/>
              </w:rPr>
              <w:t xml:space="preserve">: </w:t>
            </w:r>
            <w:r w:rsidRPr="006C5975">
              <w:rPr>
                <w:rFonts w:ascii="Times New Roman" w:hAnsi="Times New Roman"/>
                <w:b/>
                <w:bCs/>
                <w:sz w:val="24"/>
                <w:szCs w:val="24"/>
              </w:rPr>
              <w:t>+8620</w:t>
            </w:r>
            <w:r w:rsidRPr="006C5975">
              <w:rPr>
                <w:rFonts w:ascii="Times New Roman" w:hAnsi="Times New Roman"/>
                <w:b/>
                <w:bCs/>
                <w:sz w:val="24"/>
                <w:szCs w:val="24"/>
                <w:lang w:val="en-GB"/>
              </w:rPr>
              <w:t xml:space="preserve">, </w:t>
            </w:r>
            <w:r w:rsidRPr="006C5975">
              <w:rPr>
                <w:rFonts w:ascii="Times New Roman" w:hAnsi="Times New Roman"/>
                <w:b/>
                <w:bCs/>
                <w:sz w:val="24"/>
                <w:szCs w:val="24"/>
              </w:rPr>
              <w:t>83877557</w:t>
            </w:r>
          </w:p>
          <w:p w:rsidR="00080EB9" w:rsidRPr="006C5975" w:rsidRDefault="00080EB9" w:rsidP="00303C50">
            <w:pPr>
              <w:spacing w:line="360" w:lineRule="auto"/>
              <w:jc w:val="left"/>
              <w:rPr>
                <w:rFonts w:ascii="Times New Roman" w:hAnsi="Times New Roman"/>
                <w:b/>
                <w:bCs/>
                <w:sz w:val="24"/>
                <w:szCs w:val="24"/>
              </w:rPr>
            </w:pPr>
            <w:r w:rsidRPr="006C5975">
              <w:rPr>
                <w:rFonts w:ascii="Times New Roman" w:hAnsi="Times New Roman"/>
                <w:b/>
                <w:bCs/>
                <w:sz w:val="24"/>
                <w:szCs w:val="24"/>
              </w:rPr>
              <w:t>Fax</w:t>
            </w:r>
            <w:r w:rsidRPr="006C5975">
              <w:rPr>
                <w:rFonts w:ascii="Times New Roman" w:hAnsi="Times New Roman"/>
                <w:b/>
                <w:bCs/>
                <w:sz w:val="24"/>
                <w:szCs w:val="24"/>
                <w:lang w:val="en-GB"/>
              </w:rPr>
              <w:t xml:space="preserve">: </w:t>
            </w:r>
            <w:r w:rsidRPr="006C5975">
              <w:rPr>
                <w:rFonts w:ascii="Times New Roman" w:hAnsi="Times New Roman"/>
                <w:b/>
                <w:bCs/>
                <w:sz w:val="24"/>
                <w:szCs w:val="24"/>
              </w:rPr>
              <w:t>+8620</w:t>
            </w:r>
            <w:r w:rsidRPr="006C5975">
              <w:rPr>
                <w:rFonts w:ascii="Times New Roman" w:hAnsi="Times New Roman"/>
                <w:b/>
                <w:bCs/>
                <w:sz w:val="24"/>
                <w:szCs w:val="24"/>
                <w:lang w:val="en-GB"/>
              </w:rPr>
              <w:t xml:space="preserve">, </w:t>
            </w:r>
            <w:r w:rsidRPr="006C5975">
              <w:rPr>
                <w:rFonts w:ascii="Times New Roman" w:hAnsi="Times New Roman"/>
                <w:b/>
                <w:bCs/>
                <w:sz w:val="24"/>
                <w:szCs w:val="24"/>
              </w:rPr>
              <w:t>83800372</w:t>
            </w:r>
          </w:p>
          <w:p w:rsidR="00080EB9" w:rsidRPr="006C5975" w:rsidRDefault="00080EB9" w:rsidP="006909DD">
            <w:pPr>
              <w:spacing w:line="360" w:lineRule="auto"/>
              <w:jc w:val="left"/>
              <w:rPr>
                <w:rFonts w:ascii="Times New Roman" w:hAnsi="Times New Roman"/>
                <w:b/>
                <w:sz w:val="24"/>
                <w:szCs w:val="24"/>
              </w:rPr>
            </w:pPr>
            <w:r w:rsidRPr="006C5975">
              <w:rPr>
                <w:rFonts w:ascii="Times New Roman" w:hAnsi="Times New Roman"/>
                <w:b/>
                <w:bCs/>
                <w:sz w:val="24"/>
                <w:szCs w:val="24"/>
              </w:rPr>
              <w:t>E-mail: syylwu@live.cn</w:t>
            </w:r>
          </w:p>
        </w:tc>
      </w:tr>
    </w:tbl>
    <w:p w:rsidR="00080EB9" w:rsidRPr="006C5975" w:rsidRDefault="00080EB9" w:rsidP="00303C50">
      <w:pPr>
        <w:spacing w:line="360" w:lineRule="auto"/>
        <w:rPr>
          <w:rFonts w:ascii="Times New Roman" w:hAnsi="Times New Roman"/>
          <w:sz w:val="24"/>
          <w:szCs w:val="24"/>
        </w:rPr>
      </w:pPr>
    </w:p>
    <w:p w:rsidR="00080EB9" w:rsidRPr="00A31B94" w:rsidRDefault="00080EB9" w:rsidP="00390559">
      <w:pPr>
        <w:pStyle w:val="1"/>
        <w:spacing w:before="120" w:after="120" w:line="360" w:lineRule="auto"/>
        <w:ind w:left="880" w:hangingChars="200" w:hanging="880"/>
        <w:rPr>
          <w:sz w:val="24"/>
          <w:szCs w:val="24"/>
        </w:rPr>
      </w:pPr>
      <w:r w:rsidRPr="006C5975">
        <w:rPr>
          <w:b w:val="0"/>
        </w:rPr>
        <w:br w:type="page"/>
      </w:r>
      <w:bookmarkStart w:id="0" w:name="_Toc437617682"/>
      <w:r w:rsidRPr="00A31B94">
        <w:rPr>
          <w:sz w:val="24"/>
          <w:szCs w:val="24"/>
        </w:rPr>
        <w:lastRenderedPageBreak/>
        <w:t>Study Design</w:t>
      </w:r>
      <w:bookmarkEnd w:id="0"/>
    </w:p>
    <w:p w:rsidR="00080EB9" w:rsidRPr="006C5975" w:rsidRDefault="00080EB9" w:rsidP="006A5753">
      <w:pPr>
        <w:spacing w:line="360" w:lineRule="auto"/>
        <w:rPr>
          <w:rFonts w:ascii="Times New Roman" w:hAnsi="Times New Roman"/>
          <w:b/>
          <w:sz w:val="24"/>
          <w:szCs w:val="24"/>
        </w:rPr>
      </w:pPr>
      <w:r w:rsidRPr="006C5975">
        <w:rPr>
          <w:rFonts w:ascii="Times New Roman" w:hAnsi="Times New Roman"/>
          <w:b/>
          <w:sz w:val="24"/>
          <w:szCs w:val="24"/>
        </w:rPr>
        <w:t>Part 1 (Phase II)</w:t>
      </w:r>
    </w:p>
    <w:p w:rsidR="00080EB9" w:rsidRPr="006C5975" w:rsidRDefault="00080EB9" w:rsidP="006A5753">
      <w:pPr>
        <w:spacing w:line="360" w:lineRule="auto"/>
        <w:rPr>
          <w:rFonts w:ascii="Times New Roman" w:hAnsi="Times New Roman"/>
          <w:sz w:val="24"/>
          <w:szCs w:val="24"/>
        </w:rPr>
      </w:pPr>
    </w:p>
    <w:p w:rsidR="00080EB9" w:rsidRPr="006C5975" w:rsidRDefault="00080EB9" w:rsidP="006A5753">
      <w:pPr>
        <w:spacing w:line="360" w:lineRule="auto"/>
        <w:rPr>
          <w:rFonts w:ascii="Times New Roman" w:hAnsi="Times New Roman"/>
          <w:sz w:val="24"/>
          <w:szCs w:val="24"/>
        </w:rPr>
      </w:pPr>
    </w:p>
    <w:p w:rsidR="00080EB9" w:rsidRPr="006C5975" w:rsidRDefault="00125838" w:rsidP="006A5753">
      <w:pPr>
        <w:spacing w:line="360" w:lineRule="auto"/>
        <w:rPr>
          <w:rFonts w:ascii="Times New Roman" w:hAnsi="Times New Roman"/>
          <w:sz w:val="24"/>
          <w:szCs w:val="24"/>
        </w:rPr>
      </w:pPr>
      <w:r>
        <w:rPr>
          <w:noProof/>
        </w:rPr>
        <w:pict>
          <v:group id="_x0000_s1026" style="position:absolute;left:0;text-align:left;margin-left:0;margin-top:22.7pt;width:450pt;height:414.65pt;z-index:3" coordorigin="1440,3112" coordsize="9000,9585">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33" o:spid="_x0000_s1027" type="#_x0000_t176" style="position:absolute;left:1440;top:3493;width:1620;height:4212;visibility:visible">
              <v:textbox style="mso-next-textbox:#流程图: 可选过程 33" inset="0,0,0,0">
                <w:txbxContent>
                  <w:p w:rsidR="009170E2" w:rsidRPr="00A471E2" w:rsidRDefault="009170E2" w:rsidP="00164875">
                    <w:pPr>
                      <w:jc w:val="left"/>
                      <w:rPr>
                        <w:rFonts w:ascii="Times New Roman" w:hAnsi="Times New Roman"/>
                        <w:szCs w:val="21"/>
                      </w:rPr>
                    </w:pPr>
                    <w:r w:rsidRPr="00A471E2">
                      <w:rPr>
                        <w:rFonts w:ascii="Times New Roman" w:hAnsi="Times New Roman"/>
                        <w:szCs w:val="21"/>
                      </w:rPr>
                      <w:t>Patients with advanced NSCLC that has not been treated or has progressed despite anti-cancer therapy</w:t>
                    </w:r>
                  </w:p>
                </w:txbxContent>
              </v:textbox>
            </v:shape>
            <v:shape id="流程图: 可选过程 32" o:spid="_x0000_s1028" type="#_x0000_t176" style="position:absolute;left:4500;top:3493;width:1080;height:4212;visibility:visible">
              <v:textbox style="mso-next-textbox:#流程图: 可选过程 32" inset="0,0,0,0">
                <w:txbxContent>
                  <w:p w:rsidR="009170E2" w:rsidRPr="00A471E2" w:rsidRDefault="009170E2" w:rsidP="00164875">
                    <w:pPr>
                      <w:jc w:val="left"/>
                      <w:rPr>
                        <w:rFonts w:ascii="Times New Roman" w:hAnsi="Times New Roman"/>
                        <w:szCs w:val="21"/>
                      </w:rPr>
                    </w:pPr>
                    <w:r w:rsidRPr="00A471E2">
                      <w:rPr>
                        <w:rFonts w:ascii="Times New Roman" w:hAnsi="Times New Roman"/>
                        <w:szCs w:val="21"/>
                      </w:rPr>
                      <w:t>Collect tissue specimens for EGFR test</w:t>
                    </w:r>
                  </w:p>
                </w:txbxContent>
              </v:textbox>
            </v:shape>
            <v:roundrect id="圆角矩形 35" o:spid="_x0000_s1029" style="position:absolute;left:6480;top:3112;width:2340;height:1785;flip:x;visibility:visible" arcsize="10923f">
              <v:textbox style="mso-next-textbox:#圆角矩形 35" inset="0,0,0,0">
                <w:txbxContent>
                  <w:p w:rsidR="009170E2" w:rsidRPr="00A471E2" w:rsidRDefault="009170E2" w:rsidP="000A18A3">
                    <w:pPr>
                      <w:jc w:val="center"/>
                      <w:rPr>
                        <w:rFonts w:ascii="Times New Roman" w:hAnsi="Times New Roman"/>
                        <w:szCs w:val="21"/>
                      </w:rPr>
                    </w:pPr>
                    <w:r w:rsidRPr="00A471E2">
                      <w:rPr>
                        <w:rFonts w:ascii="Times New Roman" w:hAnsi="Times New Roman"/>
                        <w:szCs w:val="21"/>
                      </w:rPr>
                      <w:t>No mutation or exon19 mutation</w:t>
                    </w:r>
                  </w:p>
                </w:txbxContent>
              </v:textbox>
            </v:roundrect>
            <v:roundrect id="圆角矩形 34" o:spid="_x0000_s1030" style="position:absolute;left:9360;top:3188;width:870;height:2028;visibility:visible" arcsize="10923f">
              <v:textbox style="layout-flow:vertical;mso-next-textbox:#圆角矩形 34" inset="0,0,0,0">
                <w:txbxContent>
                  <w:p w:rsidR="009170E2" w:rsidRPr="00A471E2" w:rsidRDefault="009170E2" w:rsidP="000A18A3">
                    <w:pPr>
                      <w:jc w:val="center"/>
                      <w:rPr>
                        <w:rFonts w:ascii="Times New Roman" w:hAnsi="Times New Roman"/>
                        <w:szCs w:val="21"/>
                      </w:rPr>
                    </w:pPr>
                    <w:r>
                      <w:rPr>
                        <w:rFonts w:ascii="Times New Roman" w:hAnsi="Times New Roman"/>
                        <w:szCs w:val="21"/>
                      </w:rPr>
                      <w:t>Exclusion</w:t>
                    </w:r>
                  </w:p>
                </w:txbxContent>
              </v:textbox>
            </v:roundrect>
            <v:roundrect id="圆角矩形 28" o:spid="_x0000_s1031" style="position:absolute;left:1620;top:9793;width:900;height:2601;visibility:visible" arcsize="10923f">
              <v:textbox style="layout-flow:vertical;mso-layout-flow-alt:bottom-to-top;mso-next-textbox:#圆角矩形 28" inset="0,0,0,0">
                <w:txbxContent>
                  <w:p w:rsidR="009170E2" w:rsidRPr="00164875" w:rsidRDefault="009170E2" w:rsidP="00164875">
                    <w:pPr>
                      <w:jc w:val="center"/>
                      <w:rPr>
                        <w:rFonts w:ascii="Times New Roman" w:hAnsi="Times New Roman"/>
                        <w:szCs w:val="21"/>
                      </w:rPr>
                    </w:pPr>
                    <w:r w:rsidRPr="00164875">
                      <w:rPr>
                        <w:rFonts w:ascii="Times New Roman" w:hAnsi="Times New Roman"/>
                        <w:szCs w:val="21"/>
                      </w:rPr>
                      <w:t>Randomization</w:t>
                    </w:r>
                  </w:p>
                </w:txbxContent>
              </v:textbox>
            </v:roundrect>
            <v:roundrect id="圆角矩形 29" o:spid="_x0000_s1032" style="position:absolute;left:4140;top:9793;width:2880;height:840;visibility:visible" arcsize="10923f">
              <v:textbox style="mso-next-textbox:#圆角矩形 29" inset="0,0,0,0">
                <w:txbxContent>
                  <w:p w:rsidR="009170E2" w:rsidRPr="00A471E2" w:rsidRDefault="009170E2" w:rsidP="00164875">
                    <w:pPr>
                      <w:jc w:val="left"/>
                      <w:rPr>
                        <w:rFonts w:ascii="Times New Roman" w:hAnsi="Times New Roman"/>
                        <w:szCs w:val="21"/>
                      </w:rPr>
                    </w:pPr>
                    <w:r w:rsidRPr="00A471E2">
                      <w:rPr>
                        <w:rFonts w:ascii="Times New Roman" w:hAnsi="Times New Roman"/>
                        <w:szCs w:val="21"/>
                      </w:rPr>
                      <w:t>Elorinib 150mg qd</w:t>
                    </w:r>
                  </w:p>
                </w:txbxContent>
              </v:textbox>
            </v:roundrect>
            <v:roundrect id="圆角矩形 30" o:spid="_x0000_s1033" style="position:absolute;left:9000;top:9637;width:1440;height:3060;visibility:visible" arcsize="10923f">
              <v:textbox style="mso-next-textbox:#圆角矩形 30" inset="0,0,0,0">
                <w:txbxContent>
                  <w:p w:rsidR="009170E2" w:rsidRPr="000A2F22" w:rsidRDefault="009170E2" w:rsidP="00164875">
                    <w:pPr>
                      <w:jc w:val="left"/>
                      <w:rPr>
                        <w:szCs w:val="21"/>
                      </w:rPr>
                    </w:pPr>
                    <w:r w:rsidRPr="00A471E2">
                      <w:rPr>
                        <w:rFonts w:ascii="Times New Roman" w:hAnsi="Times New Roman"/>
                        <w:szCs w:val="21"/>
                      </w:rPr>
                      <w:t>Efficacy and survival follow-u</w:t>
                    </w:r>
                    <w:r>
                      <w:rPr>
                        <w:szCs w:val="21"/>
                      </w:rPr>
                      <w:t>p</w:t>
                    </w:r>
                  </w:p>
                </w:txbxContent>
              </v:textbox>
            </v:roundrect>
          </v:group>
        </w:pict>
      </w:r>
    </w:p>
    <w:p w:rsidR="00080EB9" w:rsidRPr="006C5975" w:rsidRDefault="00080EB9" w:rsidP="006A5753">
      <w:pPr>
        <w:spacing w:line="360" w:lineRule="auto"/>
        <w:rPr>
          <w:rFonts w:ascii="Times New Roman" w:hAnsi="Times New Roman"/>
          <w:sz w:val="24"/>
          <w:szCs w:val="24"/>
        </w:rPr>
      </w:pPr>
    </w:p>
    <w:p w:rsidR="00080EB9" w:rsidRPr="006C5975" w:rsidRDefault="00125838" w:rsidP="006A5753">
      <w:pPr>
        <w:spacing w:line="360" w:lineRule="auto"/>
        <w:rPr>
          <w:rFonts w:ascii="Times New Roman" w:hAnsi="Times New Roman"/>
          <w:sz w:val="24"/>
          <w:szCs w:val="24"/>
        </w:rPr>
      </w:pPr>
      <w:r>
        <w:rPr>
          <w:noProof/>
        </w:rPr>
        <w:pict>
          <v:line id="直接连接符 31" o:spid="_x0000_s1034" style="position:absolute;left:0;text-align:left;z-index:2;visibility:visible;mso-wrap-distance-top:-3e-5mm;mso-wrap-distance-bottom:-3e-5mm" from="367.5pt,22.7pt" to="394.5pt,22.7pt">
            <v:stroke endarrow="block"/>
          </v:line>
        </w:pict>
      </w:r>
    </w:p>
    <w:p w:rsidR="00080EB9" w:rsidRPr="006C5975" w:rsidRDefault="00125838" w:rsidP="006A5753">
      <w:pPr>
        <w:spacing w:line="360" w:lineRule="auto"/>
        <w:rPr>
          <w:rFonts w:ascii="Times New Roman" w:eastAsia="Times New Roman" w:hAnsi="Times New Roman"/>
          <w:sz w:val="24"/>
          <w:szCs w:val="24"/>
        </w:rPr>
      </w:pPr>
      <w:r>
        <w:pict>
          <v:group id="画布 27" o:spid="_x0000_s1035" editas="canvas" style="width:414pt;height:452.4pt;mso-position-horizontal-relative:char;mso-position-vertical-relative:line" coordsize="52578,574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2578;height:57454;visibility:visible">
              <v:fill o:detectmouseclick="t"/>
              <v:path o:connecttype="none"/>
            </v:shape>
            <v:line id="Line 4" o:spid="_x0000_s1037" style="position:absolute;visibility:visible" from="26289,4950" to="32006,7924" o:connectortype="straight">
              <v:stroke endarrow="block"/>
            </v:line>
            <v:line id="Line 5" o:spid="_x0000_s1038" style="position:absolute;visibility:visible" from="10289,5941" to="17146,5948" o:connectortype="straight">
              <v:stroke endarrow="block"/>
            </v:line>
            <v:roundrect id="AutoShape 6" o:spid="_x0000_s1039" style="position:absolute;left:32006;top:4950;width:14854;height:8916;visibility:visible" arcsize="10923f">
              <v:textbox style="mso-next-textbox:#AutoShape 6">
                <w:txbxContent>
                  <w:p w:rsidR="009170E2" w:rsidRPr="00A471E2" w:rsidRDefault="009170E2" w:rsidP="000A18A3">
                    <w:pPr>
                      <w:jc w:val="center"/>
                      <w:rPr>
                        <w:rFonts w:ascii="Times New Roman" w:hAnsi="Times New Roman"/>
                        <w:szCs w:val="21"/>
                      </w:rPr>
                    </w:pPr>
                    <w:r w:rsidRPr="00A471E2">
                      <w:rPr>
                        <w:rFonts w:ascii="Times New Roman" w:hAnsi="Times New Roman"/>
                        <w:szCs w:val="21"/>
                      </w:rPr>
                      <w:t>Exon21 mutation</w:t>
                    </w:r>
                  </w:p>
                </w:txbxContent>
              </v:textbox>
            </v:roundrect>
            <v:line id="Line 7" o:spid="_x0000_s1040" style="position:absolute;visibility:visible" from="48006,8916" to="52578,8923" o:connectortype="straight">
              <v:stroke endarrow="block"/>
            </v:line>
            <v:line id="Line 8" o:spid="_x0000_s1041" style="position:absolute;flip:y;visibility:visible" from="26289,0" to="32006,4950" o:connectortype="straight">
              <v:stroke endarrow="block"/>
            </v:line>
            <v:roundrect id="AutoShape 9" o:spid="_x0000_s1042" style="position:absolute;left:17146;top:40614;width:18285;height:4950;visibility:visible" arcsize="10923f">
              <v:textbox style="mso-next-textbox:#AutoShape 9">
                <w:txbxContent>
                  <w:p w:rsidR="009170E2" w:rsidRPr="00A471E2" w:rsidRDefault="009170E2" w:rsidP="00164875">
                    <w:pPr>
                      <w:jc w:val="left"/>
                      <w:rPr>
                        <w:rFonts w:ascii="Times New Roman" w:hAnsi="Times New Roman"/>
                        <w:szCs w:val="21"/>
                      </w:rPr>
                    </w:pPr>
                    <w:r w:rsidRPr="00A471E2">
                      <w:rPr>
                        <w:rFonts w:ascii="Times New Roman" w:hAnsi="Times New Roman"/>
                        <w:szCs w:val="21"/>
                      </w:rPr>
                      <w:t>Gefitinib 250mg qd</w:t>
                    </w:r>
                  </w:p>
                </w:txbxContent>
              </v:textbox>
            </v:roundrect>
            <v:line id="Line 10" o:spid="_x0000_s1043" style="position:absolute;flip:y;visibility:visible" from="6857,29715" to="17146,34679" o:connectortype="straight">
              <v:stroke endarrow="block"/>
            </v:line>
            <v:line id="Line 11" o:spid="_x0000_s1044" style="position:absolute;visibility:visible" from="6857,34672" to="17146,41605" o:connectortype="straight">
              <v:stroke endarrow="block"/>
            </v:line>
            <v:line id="Line 12" o:spid="_x0000_s1045" style="position:absolute;flip:y;visibility:visible" from="35431,30706" to="48006,30714" o:connectortype="straight">
              <v:stroke endarrow="block"/>
            </v:line>
            <v:line id="Line 13" o:spid="_x0000_s1046" style="position:absolute;flip:y;visibility:visible" from="35431,42597" to="48006,42604" o:connectortype="straight">
              <v:stroke endarrow="block"/>
            </v:line>
            <w10:anchorlock/>
          </v:group>
        </w:pict>
      </w:r>
    </w:p>
    <w:p w:rsidR="00080EB9" w:rsidRPr="006C5975" w:rsidRDefault="00080EB9" w:rsidP="006A5753">
      <w:pPr>
        <w:spacing w:line="360" w:lineRule="auto"/>
        <w:rPr>
          <w:rFonts w:ascii="Times New Roman" w:hAnsi="Times New Roman"/>
          <w:sz w:val="24"/>
          <w:szCs w:val="24"/>
        </w:rPr>
      </w:pPr>
    </w:p>
    <w:p w:rsidR="00080EB9" w:rsidRPr="006C5975" w:rsidRDefault="00080EB9" w:rsidP="006A5753">
      <w:pPr>
        <w:spacing w:line="360" w:lineRule="auto"/>
        <w:rPr>
          <w:rFonts w:ascii="Times New Roman" w:hAnsi="Times New Roman"/>
          <w:b/>
          <w:sz w:val="24"/>
          <w:szCs w:val="24"/>
        </w:rPr>
      </w:pPr>
      <w:r w:rsidRPr="006C5975">
        <w:rPr>
          <w:rFonts w:ascii="Times New Roman" w:hAnsi="Times New Roman"/>
          <w:sz w:val="24"/>
          <w:szCs w:val="24"/>
        </w:rPr>
        <w:br w:type="page"/>
      </w:r>
      <w:r w:rsidRPr="006C5975">
        <w:rPr>
          <w:rFonts w:ascii="Times New Roman" w:hAnsi="Times New Roman"/>
          <w:b/>
          <w:sz w:val="24"/>
          <w:szCs w:val="24"/>
        </w:rPr>
        <w:lastRenderedPageBreak/>
        <w:t>Part 2 (Phase III)</w:t>
      </w:r>
    </w:p>
    <w:p w:rsidR="00080EB9" w:rsidRPr="006C5975" w:rsidRDefault="00080EB9" w:rsidP="006A5753">
      <w:pPr>
        <w:spacing w:line="360" w:lineRule="auto"/>
        <w:rPr>
          <w:rFonts w:ascii="Times New Roman" w:hAnsi="Times New Roman"/>
          <w:sz w:val="24"/>
          <w:szCs w:val="24"/>
        </w:rPr>
      </w:pPr>
    </w:p>
    <w:p w:rsidR="00080EB9" w:rsidRPr="006C5975" w:rsidRDefault="00125838" w:rsidP="006A5753">
      <w:pPr>
        <w:spacing w:line="360" w:lineRule="auto"/>
        <w:rPr>
          <w:rFonts w:ascii="Times New Roman" w:hAnsi="Times New Roman"/>
          <w:b/>
          <w:bCs/>
          <w:sz w:val="24"/>
          <w:szCs w:val="24"/>
        </w:rPr>
      </w:pPr>
      <w:r>
        <w:rPr>
          <w:noProof/>
        </w:rPr>
        <w:pict>
          <v:shape id="流程图: 可选过程 15" o:spid="_x0000_s1047" type="#_x0000_t176" style="position:absolute;left:0;text-align:left;margin-left:0;margin-top:12.2pt;width:81pt;height:165.4pt;z-index:4;visibility:visible">
            <v:textbox inset="0,0,0,0">
              <w:txbxContent>
                <w:p w:rsidR="009170E2" w:rsidRPr="00A471E2" w:rsidRDefault="009170E2" w:rsidP="00A31B94">
                  <w:pPr>
                    <w:jc w:val="left"/>
                    <w:rPr>
                      <w:rFonts w:ascii="Times New Roman" w:hAnsi="Times New Roman"/>
                      <w:szCs w:val="21"/>
                    </w:rPr>
                  </w:pPr>
                  <w:r w:rsidRPr="00A471E2">
                    <w:rPr>
                      <w:rFonts w:ascii="Times New Roman" w:hAnsi="Times New Roman"/>
                      <w:szCs w:val="21"/>
                    </w:rPr>
                    <w:t>Advanced NSCLC patients with histologically confirmed EGFR</w:t>
                  </w:r>
                </w:p>
                <w:p w:rsidR="009170E2" w:rsidRPr="00A471E2" w:rsidRDefault="009170E2" w:rsidP="00A31B94">
                  <w:pPr>
                    <w:jc w:val="left"/>
                    <w:rPr>
                      <w:rFonts w:ascii="Times New Roman" w:hAnsi="Times New Roman"/>
                      <w:szCs w:val="21"/>
                    </w:rPr>
                  </w:pPr>
                  <w:r w:rsidRPr="00A471E2">
                    <w:rPr>
                      <w:rFonts w:ascii="Times New Roman" w:hAnsi="Times New Roman"/>
                      <w:szCs w:val="21"/>
                    </w:rPr>
                    <w:t>exon19 or exon21 mutations</w:t>
                  </w:r>
                </w:p>
              </w:txbxContent>
            </v:textbox>
          </v:shape>
        </w:pict>
      </w:r>
      <w:r>
        <w:rPr>
          <w:noProof/>
        </w:rPr>
        <w:pict>
          <v:roundrect id="圆角矩形 13" o:spid="_x0000_s1048" style="position:absolute;left:0;text-align:left;margin-left:117pt;margin-top:27.8pt;width:99pt;height:70.2pt;flip:x;z-index:7;visibility:visible" arcsize="10923f">
            <v:textbox inset="0,0,0,0">
              <w:txbxContent>
                <w:p w:rsidR="009170E2" w:rsidRDefault="009170E2" w:rsidP="00A31B94">
                  <w:pPr>
                    <w:jc w:val="center"/>
                    <w:rPr>
                      <w:rFonts w:ascii="Times New Roman" w:hAnsi="Times New Roman"/>
                      <w:szCs w:val="21"/>
                    </w:rPr>
                  </w:pPr>
                  <w:r w:rsidRPr="000A2F22">
                    <w:rPr>
                      <w:rFonts w:ascii="Times New Roman" w:hAnsi="Times New Roman"/>
                      <w:szCs w:val="21"/>
                    </w:rPr>
                    <w:t>exon19</w:t>
                  </w:r>
                  <w:r>
                    <w:rPr>
                      <w:rFonts w:ascii="Times New Roman" w:hAnsi="Times New Roman"/>
                      <w:szCs w:val="21"/>
                    </w:rPr>
                    <w:t xml:space="preserve"> mutation</w:t>
                  </w:r>
                </w:p>
                <w:p w:rsidR="009170E2" w:rsidRPr="000A2F22" w:rsidRDefault="009170E2" w:rsidP="00A31B94">
                  <w:pPr>
                    <w:jc w:val="center"/>
                    <w:rPr>
                      <w:rFonts w:ascii="Times New Roman" w:hAnsi="Times New Roman"/>
                      <w:szCs w:val="21"/>
                    </w:rPr>
                  </w:pPr>
                  <w:r>
                    <w:rPr>
                      <w:rFonts w:ascii="Times New Roman" w:hAnsi="Times New Roman"/>
                      <w:szCs w:val="21"/>
                    </w:rPr>
                    <w:t>(newly enrolled)</w:t>
                  </w:r>
                </w:p>
              </w:txbxContent>
            </v:textbox>
          </v:roundrect>
        </w:pict>
      </w:r>
    </w:p>
    <w:p w:rsidR="00080EB9" w:rsidRPr="006C5975" w:rsidRDefault="00125838" w:rsidP="006A5753">
      <w:pPr>
        <w:spacing w:line="360" w:lineRule="auto"/>
        <w:rPr>
          <w:rFonts w:ascii="Times New Roman" w:hAnsi="Times New Roman"/>
          <w:b/>
          <w:bCs/>
          <w:sz w:val="24"/>
          <w:szCs w:val="24"/>
        </w:rPr>
      </w:pPr>
      <w:r>
        <w:rPr>
          <w:noProof/>
        </w:rPr>
        <w:pict>
          <v:roundrect id="圆角矩形 14" o:spid="_x0000_s1049" style="position:absolute;left:0;text-align:left;margin-left:360.75pt;margin-top:12.2pt;width:2in;height:39pt;z-index:13;visibility:visible" arcsize="10923f">
            <v:textbox inset="0,0,0,0">
              <w:txbxContent>
                <w:p w:rsidR="009170E2" w:rsidRPr="000A2F22" w:rsidRDefault="009170E2" w:rsidP="00A31B94">
                  <w:pPr>
                    <w:rPr>
                      <w:rFonts w:ascii="Times New Roman" w:hAnsi="Times New Roman"/>
                      <w:szCs w:val="21"/>
                    </w:rPr>
                  </w:pPr>
                  <w:r w:rsidRPr="000A2F22">
                    <w:rPr>
                      <w:rFonts w:ascii="Times New Roman" w:hAnsi="Times New Roman"/>
                      <w:szCs w:val="21"/>
                    </w:rPr>
                    <w:t>Elorinib150mg qd</w:t>
                  </w:r>
                </w:p>
              </w:txbxContent>
            </v:textbox>
          </v:roundrect>
        </w:pict>
      </w:r>
      <w:r>
        <w:rPr>
          <w:noProof/>
        </w:rPr>
        <w:pict>
          <v:roundrect id="圆角矩形 12" o:spid="_x0000_s1050" style="position:absolute;left:0;text-align:left;margin-left:261.75pt;margin-top:12.2pt;width:45pt;height:149.8pt;z-index:17;visibility:visible" arcsize="10923f">
            <v:textbox style="layout-flow:vertical;mso-layout-flow-alt:bottom-to-top" inset="0,0,0,0">
              <w:txbxContent>
                <w:p w:rsidR="009170E2" w:rsidRPr="000A2F22" w:rsidRDefault="009170E2" w:rsidP="00A31B94">
                  <w:pPr>
                    <w:jc w:val="center"/>
                    <w:rPr>
                      <w:rFonts w:ascii="Times New Roman" w:hAnsi="Times New Roman"/>
                      <w:szCs w:val="21"/>
                    </w:rPr>
                  </w:pPr>
                  <w:r>
                    <w:rPr>
                      <w:rFonts w:ascii="Times New Roman" w:hAnsi="宋体"/>
                      <w:szCs w:val="21"/>
                    </w:rPr>
                    <w:t>Randomization</w:t>
                  </w:r>
                </w:p>
              </w:txbxContent>
            </v:textbox>
          </v:roundrect>
        </w:pict>
      </w:r>
      <w:r>
        <w:rPr>
          <w:noProof/>
        </w:rPr>
        <w:pict>
          <v:line id="直接连接符 11" o:spid="_x0000_s1051" style="position:absolute;left:0;text-align:left;flip:y;z-index:9;visibility:visible;mso-wrap-distance-top:-3e-5mm;mso-wrap-distance-bottom:-3e-5mm" from="3in,27.8pt" to="261pt,27.8pt">
            <v:stroke endarrow="block"/>
          </v:line>
        </w:pict>
      </w:r>
      <w:r>
        <w:rPr>
          <w:noProof/>
        </w:rPr>
        <w:pict>
          <v:line id="直接连接符 10" o:spid="_x0000_s1052" style="position:absolute;left:0;text-align:left;flip:y;z-index:5;visibility:visible" from="81pt,20pt" to="116.85pt,43.45pt">
            <v:stroke endarrow="block"/>
          </v:line>
        </w:pict>
      </w:r>
    </w:p>
    <w:p w:rsidR="00080EB9" w:rsidRPr="006C5975" w:rsidRDefault="00125838" w:rsidP="006A5753">
      <w:pPr>
        <w:spacing w:line="360" w:lineRule="auto"/>
        <w:rPr>
          <w:rFonts w:ascii="Times New Roman" w:hAnsi="Times New Roman"/>
          <w:b/>
          <w:bCs/>
          <w:sz w:val="24"/>
          <w:szCs w:val="24"/>
        </w:rPr>
      </w:pPr>
      <w:r>
        <w:rPr>
          <w:noProof/>
        </w:rPr>
        <w:pict>
          <v:line id="直接连接符 9" o:spid="_x0000_s1053" style="position:absolute;left:0;text-align:left;flip:y;z-index:11;visibility:visible" from="306.75pt,4.4pt" to="360.75pt,74.6pt">
            <v:stroke endarrow="block"/>
          </v:line>
        </w:pict>
      </w:r>
    </w:p>
    <w:p w:rsidR="00080EB9" w:rsidRPr="006C5975" w:rsidRDefault="00080EB9" w:rsidP="006A5753">
      <w:pPr>
        <w:spacing w:line="360" w:lineRule="auto"/>
        <w:rPr>
          <w:rFonts w:ascii="Times New Roman" w:hAnsi="Times New Roman"/>
          <w:b/>
          <w:bCs/>
          <w:sz w:val="24"/>
          <w:szCs w:val="24"/>
        </w:rPr>
      </w:pPr>
    </w:p>
    <w:p w:rsidR="00080EB9" w:rsidRPr="006C5975" w:rsidRDefault="00125838" w:rsidP="006A5753">
      <w:pPr>
        <w:spacing w:line="360" w:lineRule="auto"/>
        <w:rPr>
          <w:rFonts w:ascii="Times New Roman" w:hAnsi="Times New Roman"/>
          <w:b/>
          <w:bCs/>
          <w:sz w:val="24"/>
          <w:szCs w:val="24"/>
        </w:rPr>
      </w:pPr>
      <w:r>
        <w:rPr>
          <w:noProof/>
        </w:rPr>
        <w:pict>
          <v:line id="直接连接符 8" o:spid="_x0000_s1054" style="position:absolute;left:0;text-align:left;z-index:12;visibility:visible" from="306.75pt,12.2pt" to="360.75pt,74.6pt">
            <v:stroke endarrow="block"/>
          </v:line>
        </w:pict>
      </w:r>
    </w:p>
    <w:p w:rsidR="00080EB9" w:rsidRPr="006C5975" w:rsidRDefault="00125838" w:rsidP="006A5753">
      <w:pPr>
        <w:spacing w:line="360" w:lineRule="auto"/>
        <w:rPr>
          <w:rFonts w:ascii="Times New Roman" w:hAnsi="Times New Roman"/>
          <w:b/>
          <w:bCs/>
          <w:sz w:val="24"/>
          <w:szCs w:val="24"/>
        </w:rPr>
      </w:pPr>
      <w:r>
        <w:rPr>
          <w:noProof/>
        </w:rPr>
        <w:pict>
          <v:roundrect id="圆角矩形 7" o:spid="_x0000_s1055" style="position:absolute;left:0;text-align:left;margin-left:117pt;margin-top:20pt;width:99pt;height:78pt;flip:x;z-index:8;visibility:visible" arcsize="10923f">
            <v:textbox inset="0,0,0,0">
              <w:txbxContent>
                <w:p w:rsidR="009170E2" w:rsidRDefault="009170E2" w:rsidP="00A31B94">
                  <w:pPr>
                    <w:jc w:val="center"/>
                    <w:rPr>
                      <w:rFonts w:ascii="Times New Roman" w:hAnsi="Times New Roman"/>
                      <w:szCs w:val="21"/>
                    </w:rPr>
                  </w:pPr>
                  <w:r w:rsidRPr="000A2F22">
                    <w:rPr>
                      <w:rFonts w:ascii="Times New Roman" w:hAnsi="Times New Roman"/>
                      <w:szCs w:val="21"/>
                    </w:rPr>
                    <w:t>exon21</w:t>
                  </w:r>
                  <w:r>
                    <w:rPr>
                      <w:rFonts w:ascii="Times New Roman" w:hAnsi="Times New Roman"/>
                      <w:szCs w:val="21"/>
                    </w:rPr>
                    <w:t xml:space="preserve"> mutation</w:t>
                  </w:r>
                </w:p>
                <w:p w:rsidR="009170E2" w:rsidRPr="000A2F22" w:rsidRDefault="009170E2" w:rsidP="00A31B94">
                  <w:pPr>
                    <w:jc w:val="center"/>
                    <w:rPr>
                      <w:rFonts w:ascii="Times New Roman" w:hAnsi="Times New Roman"/>
                      <w:szCs w:val="21"/>
                    </w:rPr>
                  </w:pPr>
                  <w:r>
                    <w:rPr>
                      <w:rFonts w:ascii="Times New Roman" w:hAnsi="Times New Roman"/>
                      <w:szCs w:val="21"/>
                    </w:rPr>
                    <w:t>(extensively enrolled)</w:t>
                  </w:r>
                </w:p>
              </w:txbxContent>
            </v:textbox>
          </v:roundrect>
        </w:pict>
      </w:r>
      <w:r>
        <w:rPr>
          <w:noProof/>
        </w:rPr>
        <w:pict>
          <v:line id="直接连接符 6" o:spid="_x0000_s1056" style="position:absolute;left:0;text-align:left;z-index:6;visibility:visible" from="81pt,27.8pt" to="116.75pt,51.15pt">
            <v:stroke endarrow="block"/>
          </v:line>
        </w:pict>
      </w:r>
    </w:p>
    <w:p w:rsidR="00080EB9" w:rsidRPr="006C5975" w:rsidRDefault="00125838" w:rsidP="006A5753">
      <w:pPr>
        <w:spacing w:line="360" w:lineRule="auto"/>
        <w:rPr>
          <w:rFonts w:ascii="Times New Roman" w:hAnsi="Times New Roman"/>
          <w:b/>
          <w:bCs/>
          <w:sz w:val="24"/>
          <w:szCs w:val="24"/>
        </w:rPr>
      </w:pPr>
      <w:r>
        <w:rPr>
          <w:noProof/>
        </w:rPr>
        <w:pict>
          <v:roundrect id="圆角矩形 5" o:spid="_x0000_s1057" style="position:absolute;left:0;text-align:left;margin-left:360.75pt;margin-top:12.2pt;width:2in;height:40.05pt;z-index:14;visibility:visible" arcsize="10923f">
            <v:textbox inset="0,0,0,0">
              <w:txbxContent>
                <w:p w:rsidR="009170E2" w:rsidRPr="000A2F22" w:rsidRDefault="009170E2" w:rsidP="00A31B94">
                  <w:pPr>
                    <w:rPr>
                      <w:rFonts w:ascii="Times New Roman" w:hAnsi="Times New Roman"/>
                      <w:szCs w:val="21"/>
                    </w:rPr>
                  </w:pPr>
                  <w:r w:rsidRPr="000A2F22">
                    <w:rPr>
                      <w:rFonts w:ascii="Times New Roman" w:hAnsi="Times New Roman"/>
                      <w:szCs w:val="21"/>
                    </w:rPr>
                    <w:t>Gefitinib 250mg qd</w:t>
                  </w:r>
                </w:p>
              </w:txbxContent>
            </v:textbox>
          </v:roundrect>
        </w:pict>
      </w:r>
      <w:r>
        <w:rPr>
          <w:noProof/>
        </w:rPr>
        <w:pict>
          <v:line id="直接连接符 4" o:spid="_x0000_s1058" style="position:absolute;left:0;text-align:left;flip:y;z-index:10;visibility:visible;mso-wrap-distance-top:-3e-5mm;mso-wrap-distance-bottom:-3e-5mm" from="3in,20pt" to="261pt,20pt">
            <v:stroke endarrow="block"/>
          </v:line>
        </w:pict>
      </w:r>
    </w:p>
    <w:p w:rsidR="00080EB9" w:rsidRPr="006C5975" w:rsidRDefault="00080EB9" w:rsidP="006A5753">
      <w:pPr>
        <w:spacing w:line="360" w:lineRule="auto"/>
        <w:rPr>
          <w:rFonts w:ascii="Times New Roman" w:hAnsi="Times New Roman"/>
          <w:b/>
          <w:bCs/>
          <w:sz w:val="24"/>
          <w:szCs w:val="24"/>
        </w:rPr>
      </w:pPr>
    </w:p>
    <w:p w:rsidR="00080EB9" w:rsidRPr="006C5975" w:rsidRDefault="00080EB9" w:rsidP="006A5753">
      <w:pPr>
        <w:spacing w:line="360" w:lineRule="auto"/>
        <w:rPr>
          <w:rFonts w:ascii="Times New Roman" w:hAnsi="Times New Roman"/>
          <w:b/>
          <w:bCs/>
          <w:sz w:val="24"/>
          <w:szCs w:val="24"/>
        </w:rPr>
      </w:pPr>
    </w:p>
    <w:p w:rsidR="00080EB9" w:rsidRPr="006C5975" w:rsidRDefault="00080EB9" w:rsidP="006A5753">
      <w:pPr>
        <w:spacing w:line="360" w:lineRule="auto"/>
        <w:rPr>
          <w:rFonts w:ascii="Times New Roman" w:hAnsi="Times New Roman"/>
          <w:b/>
          <w:bCs/>
          <w:sz w:val="24"/>
          <w:szCs w:val="24"/>
        </w:rPr>
      </w:pPr>
    </w:p>
    <w:p w:rsidR="00080EB9" w:rsidRPr="006C5975" w:rsidRDefault="00125838" w:rsidP="006A5753">
      <w:pPr>
        <w:spacing w:line="360" w:lineRule="auto"/>
        <w:rPr>
          <w:rFonts w:ascii="Times New Roman" w:hAnsi="Times New Roman"/>
          <w:b/>
          <w:bCs/>
          <w:sz w:val="24"/>
          <w:szCs w:val="24"/>
        </w:rPr>
      </w:pPr>
      <w:r>
        <w:rPr>
          <w:noProof/>
        </w:rPr>
        <w:pict>
          <v:roundrect id="圆角矩形 3" o:spid="_x0000_s1059" style="position:absolute;left:0;text-align:left;margin-left:99pt;margin-top:27.8pt;width:1in;height:124.8pt;z-index:16;visibility:visible" arcsize="10923f">
            <v:textbox inset="0,0,0,0">
              <w:txbxContent>
                <w:p w:rsidR="009170E2" w:rsidRPr="00A471E2" w:rsidRDefault="009170E2" w:rsidP="00A31B94">
                  <w:pPr>
                    <w:jc w:val="center"/>
                    <w:rPr>
                      <w:rFonts w:ascii="Times New Roman" w:hAnsi="Times New Roman"/>
                      <w:szCs w:val="21"/>
                    </w:rPr>
                  </w:pPr>
                  <w:r w:rsidRPr="00A471E2">
                    <w:rPr>
                      <w:rFonts w:ascii="Times New Roman" w:hAnsi="Times New Roman"/>
                      <w:szCs w:val="21"/>
                    </w:rPr>
                    <w:t>Efficacy and survival follow-up</w:t>
                  </w:r>
                </w:p>
              </w:txbxContent>
            </v:textbox>
          </v:roundrect>
        </w:pict>
      </w:r>
    </w:p>
    <w:p w:rsidR="00080EB9" w:rsidRPr="006C5975" w:rsidRDefault="00080EB9" w:rsidP="006A5753">
      <w:pPr>
        <w:spacing w:line="360" w:lineRule="auto"/>
        <w:rPr>
          <w:rFonts w:ascii="Times New Roman" w:hAnsi="Times New Roman"/>
          <w:b/>
          <w:bCs/>
          <w:sz w:val="24"/>
          <w:szCs w:val="24"/>
        </w:rPr>
      </w:pPr>
    </w:p>
    <w:p w:rsidR="00080EB9" w:rsidRPr="006C5975" w:rsidRDefault="00125838" w:rsidP="006A5753">
      <w:pPr>
        <w:spacing w:line="360" w:lineRule="auto"/>
        <w:rPr>
          <w:rFonts w:ascii="Times New Roman" w:hAnsi="Times New Roman"/>
          <w:b/>
          <w:bCs/>
          <w:sz w:val="24"/>
          <w:szCs w:val="24"/>
        </w:rPr>
      </w:pPr>
      <w:r>
        <w:rPr>
          <w:noProof/>
        </w:rPr>
        <w:pict>
          <v:line id="直接连接符 2" o:spid="_x0000_s1060" style="position:absolute;left:0;text-align:left;z-index:15;visibility:visible;mso-wrap-distance-top:-3e-5mm;mso-wrap-distance-bottom:-3e-5mm" from="27pt,27.8pt" to="99pt,27.8pt">
            <v:stroke endarrow="block"/>
          </v:line>
        </w:pict>
      </w:r>
    </w:p>
    <w:p w:rsidR="00080EB9" w:rsidRPr="006C5975" w:rsidRDefault="00080EB9" w:rsidP="006A5753">
      <w:pPr>
        <w:spacing w:line="360" w:lineRule="auto"/>
        <w:rPr>
          <w:rFonts w:ascii="Times New Roman" w:hAnsi="Times New Roman"/>
          <w:b/>
          <w:bCs/>
          <w:sz w:val="24"/>
          <w:szCs w:val="24"/>
        </w:rPr>
      </w:pPr>
    </w:p>
    <w:p w:rsidR="00080EB9" w:rsidRPr="006C5975" w:rsidRDefault="00080EB9" w:rsidP="006A5753">
      <w:pPr>
        <w:spacing w:line="360" w:lineRule="auto"/>
        <w:rPr>
          <w:rFonts w:ascii="Times New Roman" w:hAnsi="Times New Roman"/>
          <w:b/>
          <w:bCs/>
          <w:sz w:val="24"/>
          <w:szCs w:val="24"/>
        </w:rPr>
      </w:pPr>
    </w:p>
    <w:p w:rsidR="00080EB9" w:rsidRPr="006C5975" w:rsidRDefault="00080EB9" w:rsidP="006A5753">
      <w:pPr>
        <w:spacing w:line="360" w:lineRule="auto"/>
        <w:rPr>
          <w:rFonts w:ascii="Times New Roman" w:hAnsi="Times New Roman"/>
          <w:b/>
          <w:bCs/>
          <w:sz w:val="24"/>
          <w:szCs w:val="24"/>
        </w:rPr>
      </w:pPr>
    </w:p>
    <w:p w:rsidR="00080EB9" w:rsidRPr="006C5975" w:rsidRDefault="00080EB9" w:rsidP="006A5753">
      <w:pPr>
        <w:spacing w:line="360" w:lineRule="auto"/>
        <w:jc w:val="center"/>
        <w:rPr>
          <w:rFonts w:ascii="Times New Roman" w:hAnsi="Times New Roman"/>
          <w:b/>
          <w:bCs/>
          <w:sz w:val="24"/>
          <w:szCs w:val="24"/>
        </w:rPr>
      </w:pPr>
      <w:r w:rsidRPr="006C5975">
        <w:rPr>
          <w:rFonts w:ascii="Times New Roman" w:hAnsi="Times New Roman"/>
          <w:b/>
          <w:bCs/>
          <w:sz w:val="24"/>
          <w:szCs w:val="24"/>
        </w:rPr>
        <w:br w:type="page"/>
      </w:r>
      <w:r>
        <w:rPr>
          <w:rFonts w:ascii="Times New Roman" w:hAnsi="Times New Roman"/>
          <w:b/>
          <w:bCs/>
          <w:sz w:val="24"/>
          <w:szCs w:val="24"/>
        </w:rPr>
        <w:lastRenderedPageBreak/>
        <w:t>Table of Contents</w:t>
      </w:r>
    </w:p>
    <w:p w:rsidR="00235C52" w:rsidRPr="00424047" w:rsidRDefault="00080EB9">
      <w:pPr>
        <w:pStyle w:val="10"/>
        <w:rPr>
          <w:rFonts w:ascii="Calibri" w:hAnsi="Calibri"/>
          <w:noProof/>
          <w:szCs w:val="22"/>
        </w:rPr>
      </w:pPr>
      <w:r w:rsidRPr="006C5975">
        <w:rPr>
          <w:b/>
          <w:sz w:val="22"/>
          <w:szCs w:val="22"/>
        </w:rPr>
        <w:fldChar w:fldCharType="begin"/>
      </w:r>
      <w:r w:rsidRPr="006C5975">
        <w:rPr>
          <w:b/>
          <w:sz w:val="22"/>
          <w:szCs w:val="22"/>
        </w:rPr>
        <w:instrText xml:space="preserve"> TOC \o "1-2" \h \z \u </w:instrText>
      </w:r>
      <w:r w:rsidRPr="006C5975">
        <w:rPr>
          <w:b/>
          <w:sz w:val="22"/>
          <w:szCs w:val="22"/>
        </w:rPr>
        <w:fldChar w:fldCharType="separate"/>
      </w:r>
      <w:hyperlink w:anchor="_Toc437617682" w:history="1">
        <w:r w:rsidR="00235C52" w:rsidRPr="00621CA4">
          <w:rPr>
            <w:rStyle w:val="a5"/>
            <w:noProof/>
          </w:rPr>
          <w:t>Study Design</w:t>
        </w:r>
        <w:r w:rsidR="00235C52">
          <w:rPr>
            <w:noProof/>
            <w:webHidden/>
          </w:rPr>
          <w:tab/>
        </w:r>
        <w:r w:rsidR="00235C52">
          <w:rPr>
            <w:noProof/>
            <w:webHidden/>
          </w:rPr>
          <w:fldChar w:fldCharType="begin"/>
        </w:r>
        <w:r w:rsidR="00235C52">
          <w:rPr>
            <w:noProof/>
            <w:webHidden/>
          </w:rPr>
          <w:instrText xml:space="preserve"> PAGEREF _Toc437617682 \h </w:instrText>
        </w:r>
        <w:r w:rsidR="00235C52">
          <w:rPr>
            <w:noProof/>
            <w:webHidden/>
          </w:rPr>
        </w:r>
        <w:r w:rsidR="00235C52">
          <w:rPr>
            <w:noProof/>
            <w:webHidden/>
          </w:rPr>
          <w:fldChar w:fldCharType="separate"/>
        </w:r>
        <w:r w:rsidR="00235C52">
          <w:rPr>
            <w:noProof/>
            <w:webHidden/>
          </w:rPr>
          <w:t>2</w:t>
        </w:r>
        <w:r w:rsidR="00235C52">
          <w:rPr>
            <w:noProof/>
            <w:webHidden/>
          </w:rPr>
          <w:fldChar w:fldCharType="end"/>
        </w:r>
      </w:hyperlink>
    </w:p>
    <w:p w:rsidR="00235C52" w:rsidRPr="00424047" w:rsidRDefault="00125838">
      <w:pPr>
        <w:pStyle w:val="10"/>
        <w:rPr>
          <w:rFonts w:ascii="Calibri" w:hAnsi="Calibri"/>
          <w:noProof/>
          <w:szCs w:val="22"/>
        </w:rPr>
      </w:pPr>
      <w:hyperlink w:anchor="_Toc437617683" w:history="1">
        <w:r w:rsidR="00235C52" w:rsidRPr="00621CA4">
          <w:rPr>
            <w:rStyle w:val="a5"/>
            <w:noProof/>
          </w:rPr>
          <w:t>1. Background</w:t>
        </w:r>
        <w:r w:rsidR="00235C52">
          <w:rPr>
            <w:noProof/>
            <w:webHidden/>
          </w:rPr>
          <w:tab/>
        </w:r>
        <w:r w:rsidR="00235C52">
          <w:rPr>
            <w:noProof/>
            <w:webHidden/>
          </w:rPr>
          <w:fldChar w:fldCharType="begin"/>
        </w:r>
        <w:r w:rsidR="00235C52">
          <w:rPr>
            <w:noProof/>
            <w:webHidden/>
          </w:rPr>
          <w:instrText xml:space="preserve"> PAGEREF _Toc437617683 \h </w:instrText>
        </w:r>
        <w:r w:rsidR="00235C52">
          <w:rPr>
            <w:noProof/>
            <w:webHidden/>
          </w:rPr>
        </w:r>
        <w:r w:rsidR="00235C52">
          <w:rPr>
            <w:noProof/>
            <w:webHidden/>
          </w:rPr>
          <w:fldChar w:fldCharType="separate"/>
        </w:r>
        <w:r w:rsidR="00235C52">
          <w:rPr>
            <w:noProof/>
            <w:webHidden/>
          </w:rPr>
          <w:t>6</w:t>
        </w:r>
        <w:r w:rsidR="00235C52">
          <w:rPr>
            <w:noProof/>
            <w:webHidden/>
          </w:rPr>
          <w:fldChar w:fldCharType="end"/>
        </w:r>
      </w:hyperlink>
    </w:p>
    <w:p w:rsidR="00235C52" w:rsidRPr="00424047" w:rsidRDefault="00125838">
      <w:pPr>
        <w:pStyle w:val="10"/>
        <w:rPr>
          <w:rFonts w:ascii="Calibri" w:hAnsi="Calibri"/>
          <w:noProof/>
          <w:szCs w:val="22"/>
        </w:rPr>
      </w:pPr>
      <w:hyperlink w:anchor="_Toc437617684" w:history="1">
        <w:r w:rsidR="00235C52" w:rsidRPr="00621CA4">
          <w:rPr>
            <w:rStyle w:val="a5"/>
            <w:noProof/>
          </w:rPr>
          <w:t>2. Objectives</w:t>
        </w:r>
        <w:r w:rsidR="00235C52">
          <w:rPr>
            <w:noProof/>
            <w:webHidden/>
          </w:rPr>
          <w:tab/>
        </w:r>
        <w:r w:rsidR="00235C52">
          <w:rPr>
            <w:noProof/>
            <w:webHidden/>
          </w:rPr>
          <w:fldChar w:fldCharType="begin"/>
        </w:r>
        <w:r w:rsidR="00235C52">
          <w:rPr>
            <w:noProof/>
            <w:webHidden/>
          </w:rPr>
          <w:instrText xml:space="preserve"> PAGEREF _Toc437617684 \h </w:instrText>
        </w:r>
        <w:r w:rsidR="00235C52">
          <w:rPr>
            <w:noProof/>
            <w:webHidden/>
          </w:rPr>
        </w:r>
        <w:r w:rsidR="00235C52">
          <w:rPr>
            <w:noProof/>
            <w:webHidden/>
          </w:rPr>
          <w:fldChar w:fldCharType="separate"/>
        </w:r>
        <w:r w:rsidR="00235C52">
          <w:rPr>
            <w:noProof/>
            <w:webHidden/>
          </w:rPr>
          <w:t>8</w:t>
        </w:r>
        <w:r w:rsidR="00235C52">
          <w:rPr>
            <w:noProof/>
            <w:webHidden/>
          </w:rPr>
          <w:fldChar w:fldCharType="end"/>
        </w:r>
      </w:hyperlink>
    </w:p>
    <w:p w:rsidR="00235C52" w:rsidRPr="00424047" w:rsidRDefault="00125838">
      <w:pPr>
        <w:pStyle w:val="10"/>
        <w:rPr>
          <w:rFonts w:ascii="Calibri" w:hAnsi="Calibri"/>
          <w:noProof/>
          <w:szCs w:val="22"/>
        </w:rPr>
      </w:pPr>
      <w:hyperlink w:anchor="_Toc437617685" w:history="1">
        <w:r w:rsidR="00235C52" w:rsidRPr="00621CA4">
          <w:rPr>
            <w:rStyle w:val="a5"/>
            <w:noProof/>
          </w:rPr>
          <w:t>3. Methodology</w:t>
        </w:r>
        <w:r w:rsidR="00235C52">
          <w:rPr>
            <w:noProof/>
            <w:webHidden/>
          </w:rPr>
          <w:tab/>
        </w:r>
        <w:r w:rsidR="00235C52">
          <w:rPr>
            <w:noProof/>
            <w:webHidden/>
          </w:rPr>
          <w:fldChar w:fldCharType="begin"/>
        </w:r>
        <w:r w:rsidR="00235C52">
          <w:rPr>
            <w:noProof/>
            <w:webHidden/>
          </w:rPr>
          <w:instrText xml:space="preserve"> PAGEREF _Toc437617685 \h </w:instrText>
        </w:r>
        <w:r w:rsidR="00235C52">
          <w:rPr>
            <w:noProof/>
            <w:webHidden/>
          </w:rPr>
        </w:r>
        <w:r w:rsidR="00235C52">
          <w:rPr>
            <w:noProof/>
            <w:webHidden/>
          </w:rPr>
          <w:fldChar w:fldCharType="separate"/>
        </w:r>
        <w:r w:rsidR="00235C52">
          <w:rPr>
            <w:noProof/>
            <w:webHidden/>
          </w:rPr>
          <w:t>8</w:t>
        </w:r>
        <w:r w:rsidR="00235C52">
          <w:rPr>
            <w:noProof/>
            <w:webHidden/>
          </w:rPr>
          <w:fldChar w:fldCharType="end"/>
        </w:r>
      </w:hyperlink>
    </w:p>
    <w:p w:rsidR="00235C52" w:rsidRPr="00424047" w:rsidRDefault="00125838">
      <w:pPr>
        <w:pStyle w:val="20"/>
        <w:rPr>
          <w:rFonts w:ascii="Calibri" w:hAnsi="Calibri"/>
          <w:noProof/>
          <w:szCs w:val="22"/>
        </w:rPr>
      </w:pPr>
      <w:hyperlink w:anchor="_Toc437617686" w:history="1">
        <w:r w:rsidR="00235C52" w:rsidRPr="00621CA4">
          <w:rPr>
            <w:rStyle w:val="a5"/>
            <w:noProof/>
          </w:rPr>
          <w:t>3.1 Estimating sample size of Part 1, a randomized, controlled phase II clinical trial</w:t>
        </w:r>
        <w:r w:rsidR="00235C52">
          <w:rPr>
            <w:noProof/>
            <w:webHidden/>
          </w:rPr>
          <w:tab/>
        </w:r>
        <w:r w:rsidR="00235C52">
          <w:rPr>
            <w:noProof/>
            <w:webHidden/>
          </w:rPr>
          <w:fldChar w:fldCharType="begin"/>
        </w:r>
        <w:r w:rsidR="00235C52">
          <w:rPr>
            <w:noProof/>
            <w:webHidden/>
          </w:rPr>
          <w:instrText xml:space="preserve"> PAGEREF _Toc437617686 \h </w:instrText>
        </w:r>
        <w:r w:rsidR="00235C52">
          <w:rPr>
            <w:noProof/>
            <w:webHidden/>
          </w:rPr>
        </w:r>
        <w:r w:rsidR="00235C52">
          <w:rPr>
            <w:noProof/>
            <w:webHidden/>
          </w:rPr>
          <w:fldChar w:fldCharType="separate"/>
        </w:r>
        <w:r w:rsidR="00235C52">
          <w:rPr>
            <w:noProof/>
            <w:webHidden/>
          </w:rPr>
          <w:t>8</w:t>
        </w:r>
        <w:r w:rsidR="00235C52">
          <w:rPr>
            <w:noProof/>
            <w:webHidden/>
          </w:rPr>
          <w:fldChar w:fldCharType="end"/>
        </w:r>
      </w:hyperlink>
    </w:p>
    <w:p w:rsidR="00235C52" w:rsidRPr="00424047" w:rsidRDefault="00125838">
      <w:pPr>
        <w:pStyle w:val="20"/>
        <w:rPr>
          <w:rFonts w:ascii="Calibri" w:hAnsi="Calibri"/>
          <w:noProof/>
          <w:szCs w:val="22"/>
        </w:rPr>
      </w:pPr>
      <w:hyperlink w:anchor="_Toc437617687" w:history="1">
        <w:r w:rsidR="00235C52" w:rsidRPr="00621CA4">
          <w:rPr>
            <w:rStyle w:val="a5"/>
            <w:noProof/>
          </w:rPr>
          <w:t>3.2 Estimating sample size of Part 2, a randomized, controlled phase III clinical trial</w:t>
        </w:r>
        <w:r w:rsidR="00235C52">
          <w:rPr>
            <w:noProof/>
            <w:webHidden/>
          </w:rPr>
          <w:tab/>
        </w:r>
        <w:r w:rsidR="00235C52">
          <w:rPr>
            <w:noProof/>
            <w:webHidden/>
          </w:rPr>
          <w:fldChar w:fldCharType="begin"/>
        </w:r>
        <w:r w:rsidR="00235C52">
          <w:rPr>
            <w:noProof/>
            <w:webHidden/>
          </w:rPr>
          <w:instrText xml:space="preserve"> PAGEREF _Toc437617687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10"/>
        <w:rPr>
          <w:rFonts w:ascii="Calibri" w:hAnsi="Calibri"/>
          <w:noProof/>
          <w:szCs w:val="22"/>
        </w:rPr>
      </w:pPr>
      <w:hyperlink w:anchor="_Toc437617688" w:history="1">
        <w:r w:rsidR="00235C52" w:rsidRPr="00621CA4">
          <w:rPr>
            <w:rStyle w:val="a5"/>
            <w:noProof/>
          </w:rPr>
          <w:t>4. Duration and Progress</w:t>
        </w:r>
        <w:r w:rsidR="00235C52">
          <w:rPr>
            <w:noProof/>
            <w:webHidden/>
          </w:rPr>
          <w:tab/>
        </w:r>
        <w:r w:rsidR="00235C52">
          <w:rPr>
            <w:noProof/>
            <w:webHidden/>
          </w:rPr>
          <w:fldChar w:fldCharType="begin"/>
        </w:r>
        <w:r w:rsidR="00235C52">
          <w:rPr>
            <w:noProof/>
            <w:webHidden/>
          </w:rPr>
          <w:instrText xml:space="preserve"> PAGEREF _Toc437617688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20"/>
        <w:rPr>
          <w:rFonts w:ascii="Calibri" w:hAnsi="Calibri"/>
          <w:noProof/>
          <w:szCs w:val="22"/>
        </w:rPr>
      </w:pPr>
      <w:hyperlink w:anchor="_Toc437617689" w:history="1">
        <w:r w:rsidR="00235C52" w:rsidRPr="00621CA4">
          <w:rPr>
            <w:rStyle w:val="a5"/>
            <w:noProof/>
          </w:rPr>
          <w:t>4.1 Enrollment time</w:t>
        </w:r>
        <w:r w:rsidR="00235C52">
          <w:rPr>
            <w:noProof/>
            <w:webHidden/>
          </w:rPr>
          <w:tab/>
        </w:r>
        <w:r w:rsidR="00235C52">
          <w:rPr>
            <w:noProof/>
            <w:webHidden/>
          </w:rPr>
          <w:fldChar w:fldCharType="begin"/>
        </w:r>
        <w:r w:rsidR="00235C52">
          <w:rPr>
            <w:noProof/>
            <w:webHidden/>
          </w:rPr>
          <w:instrText xml:space="preserve"> PAGEREF _Toc437617689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20"/>
        <w:rPr>
          <w:rFonts w:ascii="Calibri" w:hAnsi="Calibri"/>
          <w:noProof/>
          <w:szCs w:val="22"/>
        </w:rPr>
      </w:pPr>
      <w:hyperlink w:anchor="_Toc437617690" w:history="1">
        <w:r w:rsidR="00235C52" w:rsidRPr="00621CA4">
          <w:rPr>
            <w:rStyle w:val="a5"/>
            <w:noProof/>
          </w:rPr>
          <w:t>4.2 Follow-up time</w:t>
        </w:r>
        <w:r w:rsidR="00235C52">
          <w:rPr>
            <w:noProof/>
            <w:webHidden/>
          </w:rPr>
          <w:tab/>
        </w:r>
        <w:r w:rsidR="00235C52">
          <w:rPr>
            <w:noProof/>
            <w:webHidden/>
          </w:rPr>
          <w:fldChar w:fldCharType="begin"/>
        </w:r>
        <w:r w:rsidR="00235C52">
          <w:rPr>
            <w:noProof/>
            <w:webHidden/>
          </w:rPr>
          <w:instrText xml:space="preserve"> PAGEREF _Toc437617690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10"/>
        <w:rPr>
          <w:rFonts w:ascii="Calibri" w:hAnsi="Calibri"/>
          <w:noProof/>
          <w:szCs w:val="22"/>
        </w:rPr>
      </w:pPr>
      <w:hyperlink w:anchor="_Toc437617691" w:history="1">
        <w:r w:rsidR="00235C52" w:rsidRPr="00621CA4">
          <w:rPr>
            <w:rStyle w:val="a5"/>
            <w:noProof/>
          </w:rPr>
          <w:t>5. Selection of Subjects and Treatment of Noncompliance</w:t>
        </w:r>
        <w:r w:rsidR="00235C52">
          <w:rPr>
            <w:noProof/>
            <w:webHidden/>
          </w:rPr>
          <w:tab/>
        </w:r>
        <w:r w:rsidR="00235C52">
          <w:rPr>
            <w:noProof/>
            <w:webHidden/>
          </w:rPr>
          <w:fldChar w:fldCharType="begin"/>
        </w:r>
        <w:r w:rsidR="00235C52">
          <w:rPr>
            <w:noProof/>
            <w:webHidden/>
          </w:rPr>
          <w:instrText xml:space="preserve"> PAGEREF _Toc437617691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20"/>
        <w:rPr>
          <w:rFonts w:ascii="Calibri" w:hAnsi="Calibri"/>
          <w:noProof/>
          <w:szCs w:val="22"/>
        </w:rPr>
      </w:pPr>
      <w:hyperlink w:anchor="_Toc437617692" w:history="1">
        <w:r w:rsidR="00235C52" w:rsidRPr="00621CA4">
          <w:rPr>
            <w:rStyle w:val="a5"/>
            <w:noProof/>
          </w:rPr>
          <w:t>5.1 Target population</w:t>
        </w:r>
        <w:r w:rsidR="00235C52">
          <w:rPr>
            <w:noProof/>
            <w:webHidden/>
          </w:rPr>
          <w:tab/>
        </w:r>
        <w:r w:rsidR="00235C52">
          <w:rPr>
            <w:noProof/>
            <w:webHidden/>
          </w:rPr>
          <w:fldChar w:fldCharType="begin"/>
        </w:r>
        <w:r w:rsidR="00235C52">
          <w:rPr>
            <w:noProof/>
            <w:webHidden/>
          </w:rPr>
          <w:instrText xml:space="preserve"> PAGEREF _Toc437617692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20"/>
        <w:rPr>
          <w:rFonts w:ascii="Calibri" w:hAnsi="Calibri"/>
          <w:noProof/>
          <w:szCs w:val="22"/>
        </w:rPr>
      </w:pPr>
      <w:hyperlink w:anchor="_Toc437617693" w:history="1">
        <w:r w:rsidR="00235C52" w:rsidRPr="00621CA4">
          <w:rPr>
            <w:rStyle w:val="a5"/>
            <w:noProof/>
          </w:rPr>
          <w:t>5.2 Inclusion criteria</w:t>
        </w:r>
        <w:r w:rsidR="00235C52">
          <w:rPr>
            <w:noProof/>
            <w:webHidden/>
          </w:rPr>
          <w:tab/>
        </w:r>
        <w:r w:rsidR="00235C52">
          <w:rPr>
            <w:noProof/>
            <w:webHidden/>
          </w:rPr>
          <w:fldChar w:fldCharType="begin"/>
        </w:r>
        <w:r w:rsidR="00235C52">
          <w:rPr>
            <w:noProof/>
            <w:webHidden/>
          </w:rPr>
          <w:instrText xml:space="preserve"> PAGEREF _Toc437617693 \h </w:instrText>
        </w:r>
        <w:r w:rsidR="00235C52">
          <w:rPr>
            <w:noProof/>
            <w:webHidden/>
          </w:rPr>
        </w:r>
        <w:r w:rsidR="00235C52">
          <w:rPr>
            <w:noProof/>
            <w:webHidden/>
          </w:rPr>
          <w:fldChar w:fldCharType="separate"/>
        </w:r>
        <w:r w:rsidR="00235C52">
          <w:rPr>
            <w:noProof/>
            <w:webHidden/>
          </w:rPr>
          <w:t>9</w:t>
        </w:r>
        <w:r w:rsidR="00235C52">
          <w:rPr>
            <w:noProof/>
            <w:webHidden/>
          </w:rPr>
          <w:fldChar w:fldCharType="end"/>
        </w:r>
      </w:hyperlink>
    </w:p>
    <w:p w:rsidR="00235C52" w:rsidRPr="00424047" w:rsidRDefault="00125838">
      <w:pPr>
        <w:pStyle w:val="20"/>
        <w:rPr>
          <w:rFonts w:ascii="Calibri" w:hAnsi="Calibri"/>
          <w:noProof/>
          <w:szCs w:val="22"/>
        </w:rPr>
      </w:pPr>
      <w:hyperlink w:anchor="_Toc437617694" w:history="1">
        <w:r w:rsidR="00235C52" w:rsidRPr="00621CA4">
          <w:rPr>
            <w:rStyle w:val="a5"/>
            <w:noProof/>
          </w:rPr>
          <w:t>5.3 Exclusion criteria</w:t>
        </w:r>
        <w:r w:rsidR="00235C52">
          <w:rPr>
            <w:noProof/>
            <w:webHidden/>
          </w:rPr>
          <w:tab/>
        </w:r>
        <w:r w:rsidR="00235C52">
          <w:rPr>
            <w:noProof/>
            <w:webHidden/>
          </w:rPr>
          <w:fldChar w:fldCharType="begin"/>
        </w:r>
        <w:r w:rsidR="00235C52">
          <w:rPr>
            <w:noProof/>
            <w:webHidden/>
          </w:rPr>
          <w:instrText xml:space="preserve"> PAGEREF _Toc437617694 \h </w:instrText>
        </w:r>
        <w:r w:rsidR="00235C52">
          <w:rPr>
            <w:noProof/>
            <w:webHidden/>
          </w:rPr>
        </w:r>
        <w:r w:rsidR="00235C52">
          <w:rPr>
            <w:noProof/>
            <w:webHidden/>
          </w:rPr>
          <w:fldChar w:fldCharType="separate"/>
        </w:r>
        <w:r w:rsidR="00235C52">
          <w:rPr>
            <w:noProof/>
            <w:webHidden/>
          </w:rPr>
          <w:t>10</w:t>
        </w:r>
        <w:r w:rsidR="00235C52">
          <w:rPr>
            <w:noProof/>
            <w:webHidden/>
          </w:rPr>
          <w:fldChar w:fldCharType="end"/>
        </w:r>
      </w:hyperlink>
    </w:p>
    <w:p w:rsidR="00235C52" w:rsidRPr="00424047" w:rsidRDefault="00125838">
      <w:pPr>
        <w:pStyle w:val="20"/>
        <w:rPr>
          <w:rFonts w:ascii="Calibri" w:hAnsi="Calibri"/>
          <w:noProof/>
          <w:szCs w:val="22"/>
        </w:rPr>
      </w:pPr>
      <w:hyperlink w:anchor="_Toc437617695" w:history="1">
        <w:r w:rsidR="00235C52" w:rsidRPr="00621CA4">
          <w:rPr>
            <w:rStyle w:val="a5"/>
            <w:noProof/>
          </w:rPr>
          <w:t>5.4 Drop-out criteria</w:t>
        </w:r>
        <w:r w:rsidR="00235C52">
          <w:rPr>
            <w:noProof/>
            <w:webHidden/>
          </w:rPr>
          <w:tab/>
        </w:r>
        <w:r w:rsidR="00235C52">
          <w:rPr>
            <w:noProof/>
            <w:webHidden/>
          </w:rPr>
          <w:fldChar w:fldCharType="begin"/>
        </w:r>
        <w:r w:rsidR="00235C52">
          <w:rPr>
            <w:noProof/>
            <w:webHidden/>
          </w:rPr>
          <w:instrText xml:space="preserve"> PAGEREF _Toc437617695 \h </w:instrText>
        </w:r>
        <w:r w:rsidR="00235C52">
          <w:rPr>
            <w:noProof/>
            <w:webHidden/>
          </w:rPr>
        </w:r>
        <w:r w:rsidR="00235C52">
          <w:rPr>
            <w:noProof/>
            <w:webHidden/>
          </w:rPr>
          <w:fldChar w:fldCharType="separate"/>
        </w:r>
        <w:r w:rsidR="00235C52">
          <w:rPr>
            <w:noProof/>
            <w:webHidden/>
          </w:rPr>
          <w:t>10</w:t>
        </w:r>
        <w:r w:rsidR="00235C52">
          <w:rPr>
            <w:noProof/>
            <w:webHidden/>
          </w:rPr>
          <w:fldChar w:fldCharType="end"/>
        </w:r>
      </w:hyperlink>
    </w:p>
    <w:p w:rsidR="00235C52" w:rsidRPr="00424047" w:rsidRDefault="00125838">
      <w:pPr>
        <w:pStyle w:val="20"/>
        <w:rPr>
          <w:rFonts w:ascii="Calibri" w:hAnsi="Calibri"/>
          <w:noProof/>
          <w:szCs w:val="22"/>
        </w:rPr>
      </w:pPr>
      <w:hyperlink w:anchor="_Toc437617696" w:history="1">
        <w:r w:rsidR="00235C52" w:rsidRPr="00621CA4">
          <w:rPr>
            <w:rStyle w:val="a5"/>
            <w:noProof/>
          </w:rPr>
          <w:t>5.5 Withdrawal criteria</w:t>
        </w:r>
        <w:r w:rsidR="00235C52">
          <w:rPr>
            <w:noProof/>
            <w:webHidden/>
          </w:rPr>
          <w:tab/>
        </w:r>
        <w:r w:rsidR="00235C52">
          <w:rPr>
            <w:noProof/>
            <w:webHidden/>
          </w:rPr>
          <w:fldChar w:fldCharType="begin"/>
        </w:r>
        <w:r w:rsidR="00235C52">
          <w:rPr>
            <w:noProof/>
            <w:webHidden/>
          </w:rPr>
          <w:instrText xml:space="preserve"> PAGEREF _Toc437617696 \h </w:instrText>
        </w:r>
        <w:r w:rsidR="00235C52">
          <w:rPr>
            <w:noProof/>
            <w:webHidden/>
          </w:rPr>
        </w:r>
        <w:r w:rsidR="00235C52">
          <w:rPr>
            <w:noProof/>
            <w:webHidden/>
          </w:rPr>
          <w:fldChar w:fldCharType="separate"/>
        </w:r>
        <w:r w:rsidR="00235C52">
          <w:rPr>
            <w:noProof/>
            <w:webHidden/>
          </w:rPr>
          <w:t>10</w:t>
        </w:r>
        <w:r w:rsidR="00235C52">
          <w:rPr>
            <w:noProof/>
            <w:webHidden/>
          </w:rPr>
          <w:fldChar w:fldCharType="end"/>
        </w:r>
      </w:hyperlink>
    </w:p>
    <w:p w:rsidR="00235C52" w:rsidRPr="00424047" w:rsidRDefault="00125838">
      <w:pPr>
        <w:pStyle w:val="20"/>
        <w:rPr>
          <w:rFonts w:ascii="Calibri" w:hAnsi="Calibri"/>
          <w:noProof/>
          <w:szCs w:val="22"/>
        </w:rPr>
      </w:pPr>
      <w:hyperlink w:anchor="_Toc437617697" w:history="1">
        <w:r w:rsidR="00235C52" w:rsidRPr="00621CA4">
          <w:rPr>
            <w:rStyle w:val="a5"/>
            <w:noProof/>
          </w:rPr>
          <w:t>5.6 Treatment of noncompliance and dropouts</w:t>
        </w:r>
        <w:r w:rsidR="00235C52">
          <w:rPr>
            <w:noProof/>
            <w:webHidden/>
          </w:rPr>
          <w:tab/>
        </w:r>
        <w:r w:rsidR="00235C52">
          <w:rPr>
            <w:noProof/>
            <w:webHidden/>
          </w:rPr>
          <w:fldChar w:fldCharType="begin"/>
        </w:r>
        <w:r w:rsidR="00235C52">
          <w:rPr>
            <w:noProof/>
            <w:webHidden/>
          </w:rPr>
          <w:instrText xml:space="preserve"> PAGEREF _Toc437617697 \h </w:instrText>
        </w:r>
        <w:r w:rsidR="00235C52">
          <w:rPr>
            <w:noProof/>
            <w:webHidden/>
          </w:rPr>
        </w:r>
        <w:r w:rsidR="00235C52">
          <w:rPr>
            <w:noProof/>
            <w:webHidden/>
          </w:rPr>
          <w:fldChar w:fldCharType="separate"/>
        </w:r>
        <w:r w:rsidR="00235C52">
          <w:rPr>
            <w:noProof/>
            <w:webHidden/>
          </w:rPr>
          <w:t>10</w:t>
        </w:r>
        <w:r w:rsidR="00235C52">
          <w:rPr>
            <w:noProof/>
            <w:webHidden/>
          </w:rPr>
          <w:fldChar w:fldCharType="end"/>
        </w:r>
      </w:hyperlink>
    </w:p>
    <w:p w:rsidR="00235C52" w:rsidRPr="00424047" w:rsidRDefault="00125838">
      <w:pPr>
        <w:pStyle w:val="10"/>
        <w:rPr>
          <w:rFonts w:ascii="Calibri" w:hAnsi="Calibri"/>
          <w:noProof/>
          <w:szCs w:val="22"/>
        </w:rPr>
      </w:pPr>
      <w:hyperlink w:anchor="_Toc437617698" w:history="1">
        <w:r w:rsidR="00235C52" w:rsidRPr="00621CA4">
          <w:rPr>
            <w:rStyle w:val="a5"/>
            <w:noProof/>
          </w:rPr>
          <w:t>6. Endpoints</w:t>
        </w:r>
        <w:r w:rsidR="00235C52">
          <w:rPr>
            <w:noProof/>
            <w:webHidden/>
          </w:rPr>
          <w:tab/>
        </w:r>
        <w:r w:rsidR="00235C52">
          <w:rPr>
            <w:noProof/>
            <w:webHidden/>
          </w:rPr>
          <w:fldChar w:fldCharType="begin"/>
        </w:r>
        <w:r w:rsidR="00235C52">
          <w:rPr>
            <w:noProof/>
            <w:webHidden/>
          </w:rPr>
          <w:instrText xml:space="preserve"> PAGEREF _Toc437617698 \h </w:instrText>
        </w:r>
        <w:r w:rsidR="00235C52">
          <w:rPr>
            <w:noProof/>
            <w:webHidden/>
          </w:rPr>
        </w:r>
        <w:r w:rsidR="00235C52">
          <w:rPr>
            <w:noProof/>
            <w:webHidden/>
          </w:rPr>
          <w:fldChar w:fldCharType="separate"/>
        </w:r>
        <w:r w:rsidR="00235C52">
          <w:rPr>
            <w:noProof/>
            <w:webHidden/>
          </w:rPr>
          <w:t>11</w:t>
        </w:r>
        <w:r w:rsidR="00235C52">
          <w:rPr>
            <w:noProof/>
            <w:webHidden/>
          </w:rPr>
          <w:fldChar w:fldCharType="end"/>
        </w:r>
      </w:hyperlink>
    </w:p>
    <w:p w:rsidR="00235C52" w:rsidRPr="00424047" w:rsidRDefault="00125838">
      <w:pPr>
        <w:pStyle w:val="20"/>
        <w:rPr>
          <w:rFonts w:ascii="Calibri" w:hAnsi="Calibri"/>
          <w:noProof/>
          <w:szCs w:val="22"/>
        </w:rPr>
      </w:pPr>
      <w:hyperlink w:anchor="_Toc437617699" w:history="1">
        <w:r w:rsidR="00235C52" w:rsidRPr="00621CA4">
          <w:rPr>
            <w:rStyle w:val="a5"/>
            <w:noProof/>
          </w:rPr>
          <w:t>6.1 Primary endpoints</w:t>
        </w:r>
        <w:bookmarkStart w:id="1" w:name="_GoBack"/>
        <w:bookmarkEnd w:id="1"/>
        <w:r w:rsidR="00235C52">
          <w:rPr>
            <w:noProof/>
            <w:webHidden/>
          </w:rPr>
          <w:tab/>
        </w:r>
        <w:r w:rsidR="00235C52">
          <w:rPr>
            <w:noProof/>
            <w:webHidden/>
          </w:rPr>
          <w:fldChar w:fldCharType="begin"/>
        </w:r>
        <w:r w:rsidR="00235C52">
          <w:rPr>
            <w:noProof/>
            <w:webHidden/>
          </w:rPr>
          <w:instrText xml:space="preserve"> PAGEREF _Toc437617699 \h </w:instrText>
        </w:r>
        <w:r w:rsidR="00235C52">
          <w:rPr>
            <w:noProof/>
            <w:webHidden/>
          </w:rPr>
        </w:r>
        <w:r w:rsidR="00235C52">
          <w:rPr>
            <w:noProof/>
            <w:webHidden/>
          </w:rPr>
          <w:fldChar w:fldCharType="separate"/>
        </w:r>
        <w:r w:rsidR="00235C52">
          <w:rPr>
            <w:noProof/>
            <w:webHidden/>
          </w:rPr>
          <w:t>11</w:t>
        </w:r>
        <w:r w:rsidR="00235C52">
          <w:rPr>
            <w:noProof/>
            <w:webHidden/>
          </w:rPr>
          <w:fldChar w:fldCharType="end"/>
        </w:r>
      </w:hyperlink>
    </w:p>
    <w:p w:rsidR="00235C52" w:rsidRPr="00424047" w:rsidRDefault="00125838">
      <w:pPr>
        <w:pStyle w:val="20"/>
        <w:rPr>
          <w:rFonts w:ascii="Calibri" w:hAnsi="Calibri"/>
          <w:noProof/>
          <w:szCs w:val="22"/>
        </w:rPr>
      </w:pPr>
      <w:hyperlink w:anchor="_Toc437617700" w:history="1">
        <w:r w:rsidR="00235C52" w:rsidRPr="00621CA4">
          <w:rPr>
            <w:rStyle w:val="a5"/>
            <w:noProof/>
          </w:rPr>
          <w:t>6.2 Secondary endpoints</w:t>
        </w:r>
        <w:r w:rsidR="00235C52">
          <w:rPr>
            <w:noProof/>
            <w:webHidden/>
          </w:rPr>
          <w:tab/>
        </w:r>
        <w:r w:rsidR="00235C52">
          <w:rPr>
            <w:noProof/>
            <w:webHidden/>
          </w:rPr>
          <w:fldChar w:fldCharType="begin"/>
        </w:r>
        <w:r w:rsidR="00235C52">
          <w:rPr>
            <w:noProof/>
            <w:webHidden/>
          </w:rPr>
          <w:instrText xml:space="preserve"> PAGEREF _Toc437617700 \h </w:instrText>
        </w:r>
        <w:r w:rsidR="00235C52">
          <w:rPr>
            <w:noProof/>
            <w:webHidden/>
          </w:rPr>
        </w:r>
        <w:r w:rsidR="00235C52">
          <w:rPr>
            <w:noProof/>
            <w:webHidden/>
          </w:rPr>
          <w:fldChar w:fldCharType="separate"/>
        </w:r>
        <w:r w:rsidR="00235C52">
          <w:rPr>
            <w:noProof/>
            <w:webHidden/>
          </w:rPr>
          <w:t>11</w:t>
        </w:r>
        <w:r w:rsidR="00235C52">
          <w:rPr>
            <w:noProof/>
            <w:webHidden/>
          </w:rPr>
          <w:fldChar w:fldCharType="end"/>
        </w:r>
      </w:hyperlink>
    </w:p>
    <w:p w:rsidR="00235C52" w:rsidRPr="00424047" w:rsidRDefault="00125838">
      <w:pPr>
        <w:pStyle w:val="20"/>
        <w:rPr>
          <w:rFonts w:ascii="Calibri" w:hAnsi="Calibri"/>
          <w:noProof/>
          <w:szCs w:val="22"/>
        </w:rPr>
      </w:pPr>
      <w:hyperlink w:anchor="_Toc437617701" w:history="1">
        <w:r w:rsidR="00235C52" w:rsidRPr="001578F4">
          <w:rPr>
            <w:rStyle w:val="a5"/>
            <w:noProof/>
          </w:rPr>
          <w:t>6.3 Exploration endpoints</w:t>
        </w:r>
        <w:r w:rsidR="00235C52" w:rsidRPr="001578F4">
          <w:rPr>
            <w:noProof/>
            <w:webHidden/>
          </w:rPr>
          <w:tab/>
        </w:r>
        <w:r w:rsidR="00235C52" w:rsidRPr="001578F4">
          <w:rPr>
            <w:noProof/>
            <w:webHidden/>
          </w:rPr>
          <w:fldChar w:fldCharType="begin"/>
        </w:r>
        <w:r w:rsidR="00235C52" w:rsidRPr="001578F4">
          <w:rPr>
            <w:noProof/>
            <w:webHidden/>
          </w:rPr>
          <w:instrText xml:space="preserve"> PAGEREF _Toc437617701 \h </w:instrText>
        </w:r>
        <w:r w:rsidR="00235C52" w:rsidRPr="001578F4">
          <w:rPr>
            <w:noProof/>
            <w:webHidden/>
          </w:rPr>
        </w:r>
        <w:r w:rsidR="00235C52" w:rsidRPr="001578F4">
          <w:rPr>
            <w:noProof/>
            <w:webHidden/>
          </w:rPr>
          <w:fldChar w:fldCharType="separate"/>
        </w:r>
        <w:r w:rsidR="00235C52" w:rsidRPr="001578F4">
          <w:rPr>
            <w:noProof/>
            <w:webHidden/>
          </w:rPr>
          <w:t>11</w:t>
        </w:r>
        <w:r w:rsidR="00235C52" w:rsidRPr="001578F4">
          <w:rPr>
            <w:noProof/>
            <w:webHidden/>
          </w:rPr>
          <w:fldChar w:fldCharType="end"/>
        </w:r>
      </w:hyperlink>
    </w:p>
    <w:p w:rsidR="00235C52" w:rsidRPr="00424047" w:rsidRDefault="00125838">
      <w:pPr>
        <w:pStyle w:val="10"/>
        <w:rPr>
          <w:rFonts w:ascii="Calibri" w:hAnsi="Calibri"/>
          <w:noProof/>
          <w:szCs w:val="22"/>
        </w:rPr>
      </w:pPr>
      <w:hyperlink w:anchor="_Toc437617702" w:history="1">
        <w:r w:rsidR="00235C52" w:rsidRPr="00621CA4">
          <w:rPr>
            <w:rStyle w:val="a5"/>
            <w:noProof/>
          </w:rPr>
          <w:t>7. Study Procedure</w:t>
        </w:r>
        <w:r w:rsidR="00235C52">
          <w:rPr>
            <w:noProof/>
            <w:webHidden/>
          </w:rPr>
          <w:tab/>
        </w:r>
        <w:r w:rsidR="00235C52">
          <w:rPr>
            <w:noProof/>
            <w:webHidden/>
          </w:rPr>
          <w:fldChar w:fldCharType="begin"/>
        </w:r>
        <w:r w:rsidR="00235C52">
          <w:rPr>
            <w:noProof/>
            <w:webHidden/>
          </w:rPr>
          <w:instrText xml:space="preserve"> PAGEREF _Toc437617702 \h </w:instrText>
        </w:r>
        <w:r w:rsidR="00235C52">
          <w:rPr>
            <w:noProof/>
            <w:webHidden/>
          </w:rPr>
        </w:r>
        <w:r w:rsidR="00235C52">
          <w:rPr>
            <w:noProof/>
            <w:webHidden/>
          </w:rPr>
          <w:fldChar w:fldCharType="separate"/>
        </w:r>
        <w:r w:rsidR="00235C52">
          <w:rPr>
            <w:noProof/>
            <w:webHidden/>
          </w:rPr>
          <w:t>11</w:t>
        </w:r>
        <w:r w:rsidR="00235C52">
          <w:rPr>
            <w:noProof/>
            <w:webHidden/>
          </w:rPr>
          <w:fldChar w:fldCharType="end"/>
        </w:r>
      </w:hyperlink>
    </w:p>
    <w:p w:rsidR="00235C52" w:rsidRPr="00424047" w:rsidRDefault="00125838">
      <w:pPr>
        <w:pStyle w:val="20"/>
        <w:rPr>
          <w:rFonts w:ascii="Calibri" w:hAnsi="Calibri"/>
          <w:noProof/>
          <w:szCs w:val="22"/>
        </w:rPr>
      </w:pPr>
      <w:hyperlink w:anchor="_Toc437617703" w:history="1">
        <w:r w:rsidR="00235C52" w:rsidRPr="00621CA4">
          <w:rPr>
            <w:rStyle w:val="a5"/>
            <w:noProof/>
          </w:rPr>
          <w:t>7.1 Subject screening and baseline measurements</w:t>
        </w:r>
        <w:r w:rsidR="00235C52">
          <w:rPr>
            <w:noProof/>
            <w:webHidden/>
          </w:rPr>
          <w:tab/>
        </w:r>
        <w:r w:rsidR="00235C52">
          <w:rPr>
            <w:noProof/>
            <w:webHidden/>
          </w:rPr>
          <w:fldChar w:fldCharType="begin"/>
        </w:r>
        <w:r w:rsidR="00235C52">
          <w:rPr>
            <w:noProof/>
            <w:webHidden/>
          </w:rPr>
          <w:instrText xml:space="preserve"> PAGEREF _Toc437617703 \h </w:instrText>
        </w:r>
        <w:r w:rsidR="00235C52">
          <w:rPr>
            <w:noProof/>
            <w:webHidden/>
          </w:rPr>
        </w:r>
        <w:r w:rsidR="00235C52">
          <w:rPr>
            <w:noProof/>
            <w:webHidden/>
          </w:rPr>
          <w:fldChar w:fldCharType="separate"/>
        </w:r>
        <w:r w:rsidR="00235C52">
          <w:rPr>
            <w:noProof/>
            <w:webHidden/>
          </w:rPr>
          <w:t>12</w:t>
        </w:r>
        <w:r w:rsidR="00235C52">
          <w:rPr>
            <w:noProof/>
            <w:webHidden/>
          </w:rPr>
          <w:fldChar w:fldCharType="end"/>
        </w:r>
      </w:hyperlink>
    </w:p>
    <w:p w:rsidR="00235C52" w:rsidRPr="00424047" w:rsidRDefault="00125838">
      <w:pPr>
        <w:pStyle w:val="20"/>
        <w:rPr>
          <w:rFonts w:ascii="Calibri" w:hAnsi="Calibri"/>
          <w:noProof/>
          <w:szCs w:val="22"/>
        </w:rPr>
      </w:pPr>
      <w:hyperlink w:anchor="_Toc437617704" w:history="1">
        <w:r w:rsidR="00235C52" w:rsidRPr="00621CA4">
          <w:rPr>
            <w:rStyle w:val="a5"/>
            <w:noProof/>
          </w:rPr>
          <w:t>7.2 Therapeutic regimens</w:t>
        </w:r>
        <w:r w:rsidR="00235C52">
          <w:rPr>
            <w:noProof/>
            <w:webHidden/>
          </w:rPr>
          <w:tab/>
        </w:r>
        <w:r w:rsidR="00235C52">
          <w:rPr>
            <w:noProof/>
            <w:webHidden/>
          </w:rPr>
          <w:fldChar w:fldCharType="begin"/>
        </w:r>
        <w:r w:rsidR="00235C52">
          <w:rPr>
            <w:noProof/>
            <w:webHidden/>
          </w:rPr>
          <w:instrText xml:space="preserve"> PAGEREF _Toc437617704 \h </w:instrText>
        </w:r>
        <w:r w:rsidR="00235C52">
          <w:rPr>
            <w:noProof/>
            <w:webHidden/>
          </w:rPr>
        </w:r>
        <w:r w:rsidR="00235C52">
          <w:rPr>
            <w:noProof/>
            <w:webHidden/>
          </w:rPr>
          <w:fldChar w:fldCharType="separate"/>
        </w:r>
        <w:r w:rsidR="00235C52">
          <w:rPr>
            <w:noProof/>
            <w:webHidden/>
          </w:rPr>
          <w:t>12</w:t>
        </w:r>
        <w:r w:rsidR="00235C52">
          <w:rPr>
            <w:noProof/>
            <w:webHidden/>
          </w:rPr>
          <w:fldChar w:fldCharType="end"/>
        </w:r>
      </w:hyperlink>
    </w:p>
    <w:p w:rsidR="00235C52" w:rsidRPr="00424047" w:rsidRDefault="00125838">
      <w:pPr>
        <w:pStyle w:val="20"/>
        <w:rPr>
          <w:rFonts w:ascii="Calibri" w:hAnsi="Calibri"/>
          <w:noProof/>
          <w:szCs w:val="22"/>
        </w:rPr>
      </w:pPr>
      <w:hyperlink w:anchor="_Toc437617705" w:history="1">
        <w:r w:rsidR="00235C52" w:rsidRPr="00621CA4">
          <w:rPr>
            <w:rStyle w:val="a5"/>
            <w:noProof/>
          </w:rPr>
          <w:t>7.3 Follow-up procedure</w:t>
        </w:r>
        <w:r w:rsidR="00235C52">
          <w:rPr>
            <w:noProof/>
            <w:webHidden/>
          </w:rPr>
          <w:tab/>
        </w:r>
        <w:r w:rsidR="00235C52">
          <w:rPr>
            <w:noProof/>
            <w:webHidden/>
          </w:rPr>
          <w:fldChar w:fldCharType="begin"/>
        </w:r>
        <w:r w:rsidR="00235C52">
          <w:rPr>
            <w:noProof/>
            <w:webHidden/>
          </w:rPr>
          <w:instrText xml:space="preserve"> PAGEREF _Toc437617705 \h </w:instrText>
        </w:r>
        <w:r w:rsidR="00235C52">
          <w:rPr>
            <w:noProof/>
            <w:webHidden/>
          </w:rPr>
        </w:r>
        <w:r w:rsidR="00235C52">
          <w:rPr>
            <w:noProof/>
            <w:webHidden/>
          </w:rPr>
          <w:fldChar w:fldCharType="separate"/>
        </w:r>
        <w:r w:rsidR="00235C52">
          <w:rPr>
            <w:noProof/>
            <w:webHidden/>
          </w:rPr>
          <w:t>14</w:t>
        </w:r>
        <w:r w:rsidR="00235C52">
          <w:rPr>
            <w:noProof/>
            <w:webHidden/>
          </w:rPr>
          <w:fldChar w:fldCharType="end"/>
        </w:r>
      </w:hyperlink>
    </w:p>
    <w:p w:rsidR="00235C52" w:rsidRPr="00424047" w:rsidRDefault="00125838">
      <w:pPr>
        <w:pStyle w:val="10"/>
        <w:rPr>
          <w:rFonts w:ascii="Calibri" w:hAnsi="Calibri"/>
          <w:noProof/>
          <w:szCs w:val="22"/>
        </w:rPr>
      </w:pPr>
      <w:hyperlink w:anchor="_Toc437617706" w:history="1">
        <w:r w:rsidR="00235C52" w:rsidRPr="00621CA4">
          <w:rPr>
            <w:rStyle w:val="a5"/>
            <w:noProof/>
          </w:rPr>
          <w:t>8. Efficacy and Safety Evaluations</w:t>
        </w:r>
        <w:r w:rsidR="00235C52">
          <w:rPr>
            <w:noProof/>
            <w:webHidden/>
          </w:rPr>
          <w:tab/>
        </w:r>
        <w:r w:rsidR="00235C52">
          <w:rPr>
            <w:noProof/>
            <w:webHidden/>
          </w:rPr>
          <w:fldChar w:fldCharType="begin"/>
        </w:r>
        <w:r w:rsidR="00235C52">
          <w:rPr>
            <w:noProof/>
            <w:webHidden/>
          </w:rPr>
          <w:instrText xml:space="preserve"> PAGEREF _Toc437617706 \h </w:instrText>
        </w:r>
        <w:r w:rsidR="00235C52">
          <w:rPr>
            <w:noProof/>
            <w:webHidden/>
          </w:rPr>
        </w:r>
        <w:r w:rsidR="00235C52">
          <w:rPr>
            <w:noProof/>
            <w:webHidden/>
          </w:rPr>
          <w:fldChar w:fldCharType="separate"/>
        </w:r>
        <w:r w:rsidR="00235C52">
          <w:rPr>
            <w:noProof/>
            <w:webHidden/>
          </w:rPr>
          <w:t>15</w:t>
        </w:r>
        <w:r w:rsidR="00235C52">
          <w:rPr>
            <w:noProof/>
            <w:webHidden/>
          </w:rPr>
          <w:fldChar w:fldCharType="end"/>
        </w:r>
      </w:hyperlink>
    </w:p>
    <w:p w:rsidR="00235C52" w:rsidRPr="00424047" w:rsidRDefault="00125838">
      <w:pPr>
        <w:pStyle w:val="20"/>
        <w:rPr>
          <w:rFonts w:ascii="Calibri" w:hAnsi="Calibri"/>
          <w:noProof/>
          <w:szCs w:val="22"/>
        </w:rPr>
      </w:pPr>
      <w:hyperlink w:anchor="_Toc437617707" w:history="1">
        <w:r w:rsidR="00235C52" w:rsidRPr="00621CA4">
          <w:rPr>
            <w:rStyle w:val="a5"/>
            <w:noProof/>
          </w:rPr>
          <w:t>8.1 Efficacy assessment</w:t>
        </w:r>
        <w:r w:rsidR="00235C52">
          <w:rPr>
            <w:noProof/>
            <w:webHidden/>
          </w:rPr>
          <w:tab/>
        </w:r>
        <w:r w:rsidR="00235C52">
          <w:rPr>
            <w:noProof/>
            <w:webHidden/>
          </w:rPr>
          <w:fldChar w:fldCharType="begin"/>
        </w:r>
        <w:r w:rsidR="00235C52">
          <w:rPr>
            <w:noProof/>
            <w:webHidden/>
          </w:rPr>
          <w:instrText xml:space="preserve"> PAGEREF _Toc437617707 \h </w:instrText>
        </w:r>
        <w:r w:rsidR="00235C52">
          <w:rPr>
            <w:noProof/>
            <w:webHidden/>
          </w:rPr>
        </w:r>
        <w:r w:rsidR="00235C52">
          <w:rPr>
            <w:noProof/>
            <w:webHidden/>
          </w:rPr>
          <w:fldChar w:fldCharType="separate"/>
        </w:r>
        <w:r w:rsidR="00235C52">
          <w:rPr>
            <w:noProof/>
            <w:webHidden/>
          </w:rPr>
          <w:t>15</w:t>
        </w:r>
        <w:r w:rsidR="00235C52">
          <w:rPr>
            <w:noProof/>
            <w:webHidden/>
          </w:rPr>
          <w:fldChar w:fldCharType="end"/>
        </w:r>
      </w:hyperlink>
    </w:p>
    <w:p w:rsidR="00235C52" w:rsidRPr="00424047" w:rsidRDefault="00125838">
      <w:pPr>
        <w:pStyle w:val="20"/>
        <w:rPr>
          <w:rFonts w:ascii="Calibri" w:hAnsi="Calibri"/>
          <w:noProof/>
          <w:szCs w:val="22"/>
        </w:rPr>
      </w:pPr>
      <w:hyperlink w:anchor="_Toc437617708" w:history="1">
        <w:r w:rsidR="00235C52" w:rsidRPr="00621CA4">
          <w:rPr>
            <w:rStyle w:val="a5"/>
            <w:noProof/>
          </w:rPr>
          <w:t>8.2 Adverse reactions</w:t>
        </w:r>
        <w:r w:rsidR="00235C52">
          <w:rPr>
            <w:noProof/>
            <w:webHidden/>
          </w:rPr>
          <w:tab/>
        </w:r>
        <w:r w:rsidR="00235C52">
          <w:rPr>
            <w:noProof/>
            <w:webHidden/>
          </w:rPr>
          <w:fldChar w:fldCharType="begin"/>
        </w:r>
        <w:r w:rsidR="00235C52">
          <w:rPr>
            <w:noProof/>
            <w:webHidden/>
          </w:rPr>
          <w:instrText xml:space="preserve"> PAGEREF _Toc437617708 \h </w:instrText>
        </w:r>
        <w:r w:rsidR="00235C52">
          <w:rPr>
            <w:noProof/>
            <w:webHidden/>
          </w:rPr>
        </w:r>
        <w:r w:rsidR="00235C52">
          <w:rPr>
            <w:noProof/>
            <w:webHidden/>
          </w:rPr>
          <w:fldChar w:fldCharType="separate"/>
        </w:r>
        <w:r w:rsidR="00235C52">
          <w:rPr>
            <w:noProof/>
            <w:webHidden/>
          </w:rPr>
          <w:t>15</w:t>
        </w:r>
        <w:r w:rsidR="00235C52">
          <w:rPr>
            <w:noProof/>
            <w:webHidden/>
          </w:rPr>
          <w:fldChar w:fldCharType="end"/>
        </w:r>
      </w:hyperlink>
    </w:p>
    <w:p w:rsidR="00235C52" w:rsidRPr="00424047" w:rsidRDefault="00125838">
      <w:pPr>
        <w:pStyle w:val="20"/>
        <w:rPr>
          <w:rFonts w:ascii="Calibri" w:hAnsi="Calibri"/>
          <w:noProof/>
          <w:szCs w:val="22"/>
        </w:rPr>
      </w:pPr>
      <w:hyperlink w:anchor="_Toc437617709" w:history="1">
        <w:r w:rsidR="00235C52" w:rsidRPr="00621CA4">
          <w:rPr>
            <w:rStyle w:val="a5"/>
            <w:noProof/>
          </w:rPr>
          <w:t>8.3 PS score</w:t>
        </w:r>
        <w:r w:rsidR="00235C52">
          <w:rPr>
            <w:noProof/>
            <w:webHidden/>
          </w:rPr>
          <w:tab/>
        </w:r>
        <w:r w:rsidR="00235C52">
          <w:rPr>
            <w:noProof/>
            <w:webHidden/>
          </w:rPr>
          <w:fldChar w:fldCharType="begin"/>
        </w:r>
        <w:r w:rsidR="00235C52">
          <w:rPr>
            <w:noProof/>
            <w:webHidden/>
          </w:rPr>
          <w:instrText xml:space="preserve"> PAGEREF _Toc437617709 \h </w:instrText>
        </w:r>
        <w:r w:rsidR="00235C52">
          <w:rPr>
            <w:noProof/>
            <w:webHidden/>
          </w:rPr>
        </w:r>
        <w:r w:rsidR="00235C52">
          <w:rPr>
            <w:noProof/>
            <w:webHidden/>
          </w:rPr>
          <w:fldChar w:fldCharType="separate"/>
        </w:r>
        <w:r w:rsidR="00235C52">
          <w:rPr>
            <w:noProof/>
            <w:webHidden/>
          </w:rPr>
          <w:t>15</w:t>
        </w:r>
        <w:r w:rsidR="00235C52">
          <w:rPr>
            <w:noProof/>
            <w:webHidden/>
          </w:rPr>
          <w:fldChar w:fldCharType="end"/>
        </w:r>
      </w:hyperlink>
    </w:p>
    <w:p w:rsidR="00235C52" w:rsidRPr="00424047" w:rsidRDefault="00125838">
      <w:pPr>
        <w:pStyle w:val="10"/>
        <w:rPr>
          <w:rFonts w:ascii="Calibri" w:hAnsi="Calibri"/>
          <w:noProof/>
          <w:szCs w:val="22"/>
        </w:rPr>
      </w:pPr>
      <w:hyperlink w:anchor="_Toc437617710" w:history="1">
        <w:r w:rsidR="00235C52" w:rsidRPr="00621CA4">
          <w:rPr>
            <w:rStyle w:val="a5"/>
            <w:noProof/>
          </w:rPr>
          <w:t>9. Ethical Requirements</w:t>
        </w:r>
        <w:r w:rsidR="00235C52">
          <w:rPr>
            <w:noProof/>
            <w:webHidden/>
          </w:rPr>
          <w:tab/>
        </w:r>
        <w:r w:rsidR="00235C52">
          <w:rPr>
            <w:noProof/>
            <w:webHidden/>
          </w:rPr>
          <w:fldChar w:fldCharType="begin"/>
        </w:r>
        <w:r w:rsidR="00235C52">
          <w:rPr>
            <w:noProof/>
            <w:webHidden/>
          </w:rPr>
          <w:instrText xml:space="preserve"> PAGEREF _Toc437617710 \h </w:instrText>
        </w:r>
        <w:r w:rsidR="00235C52">
          <w:rPr>
            <w:noProof/>
            <w:webHidden/>
          </w:rPr>
        </w:r>
        <w:r w:rsidR="00235C52">
          <w:rPr>
            <w:noProof/>
            <w:webHidden/>
          </w:rPr>
          <w:fldChar w:fldCharType="separate"/>
        </w:r>
        <w:r w:rsidR="00235C52">
          <w:rPr>
            <w:noProof/>
            <w:webHidden/>
          </w:rPr>
          <w:t>15</w:t>
        </w:r>
        <w:r w:rsidR="00235C52">
          <w:rPr>
            <w:noProof/>
            <w:webHidden/>
          </w:rPr>
          <w:fldChar w:fldCharType="end"/>
        </w:r>
      </w:hyperlink>
    </w:p>
    <w:p w:rsidR="00235C52" w:rsidRPr="00424047" w:rsidRDefault="00125838">
      <w:pPr>
        <w:pStyle w:val="10"/>
        <w:rPr>
          <w:rFonts w:ascii="Calibri" w:hAnsi="Calibri"/>
          <w:noProof/>
          <w:szCs w:val="22"/>
        </w:rPr>
      </w:pPr>
      <w:hyperlink w:anchor="_Toc437617711" w:history="1">
        <w:r w:rsidR="00235C52" w:rsidRPr="00621CA4">
          <w:rPr>
            <w:rStyle w:val="a5"/>
            <w:noProof/>
          </w:rPr>
          <w:t>10. Study Quality Control</w:t>
        </w:r>
        <w:r w:rsidR="00235C52">
          <w:rPr>
            <w:noProof/>
            <w:webHidden/>
          </w:rPr>
          <w:tab/>
        </w:r>
        <w:r w:rsidR="00235C52">
          <w:rPr>
            <w:noProof/>
            <w:webHidden/>
          </w:rPr>
          <w:fldChar w:fldCharType="begin"/>
        </w:r>
        <w:r w:rsidR="00235C52">
          <w:rPr>
            <w:noProof/>
            <w:webHidden/>
          </w:rPr>
          <w:instrText xml:space="preserve"> PAGEREF _Toc437617711 \h </w:instrText>
        </w:r>
        <w:r w:rsidR="00235C52">
          <w:rPr>
            <w:noProof/>
            <w:webHidden/>
          </w:rPr>
        </w:r>
        <w:r w:rsidR="00235C52">
          <w:rPr>
            <w:noProof/>
            <w:webHidden/>
          </w:rPr>
          <w:fldChar w:fldCharType="separate"/>
        </w:r>
        <w:r w:rsidR="00235C52">
          <w:rPr>
            <w:noProof/>
            <w:webHidden/>
          </w:rPr>
          <w:t>16</w:t>
        </w:r>
        <w:r w:rsidR="00235C52">
          <w:rPr>
            <w:noProof/>
            <w:webHidden/>
          </w:rPr>
          <w:fldChar w:fldCharType="end"/>
        </w:r>
      </w:hyperlink>
    </w:p>
    <w:p w:rsidR="00235C52" w:rsidRPr="00424047" w:rsidRDefault="00125838">
      <w:pPr>
        <w:pStyle w:val="10"/>
        <w:rPr>
          <w:rFonts w:ascii="Calibri" w:hAnsi="Calibri"/>
          <w:noProof/>
          <w:szCs w:val="22"/>
        </w:rPr>
      </w:pPr>
      <w:hyperlink w:anchor="_Toc437617712" w:history="1">
        <w:r w:rsidR="00235C52" w:rsidRPr="00621CA4">
          <w:rPr>
            <w:rStyle w:val="a5"/>
            <w:noProof/>
          </w:rPr>
          <w:t>11. Data Acquisition and Analytical Methods</w:t>
        </w:r>
        <w:r w:rsidR="00235C52">
          <w:rPr>
            <w:noProof/>
            <w:webHidden/>
          </w:rPr>
          <w:tab/>
        </w:r>
        <w:r w:rsidR="00235C52">
          <w:rPr>
            <w:noProof/>
            <w:webHidden/>
          </w:rPr>
          <w:fldChar w:fldCharType="begin"/>
        </w:r>
        <w:r w:rsidR="00235C52">
          <w:rPr>
            <w:noProof/>
            <w:webHidden/>
          </w:rPr>
          <w:instrText xml:space="preserve"> PAGEREF _Toc437617712 \h </w:instrText>
        </w:r>
        <w:r w:rsidR="00235C52">
          <w:rPr>
            <w:noProof/>
            <w:webHidden/>
          </w:rPr>
        </w:r>
        <w:r w:rsidR="00235C52">
          <w:rPr>
            <w:noProof/>
            <w:webHidden/>
          </w:rPr>
          <w:fldChar w:fldCharType="separate"/>
        </w:r>
        <w:r w:rsidR="00235C52">
          <w:rPr>
            <w:noProof/>
            <w:webHidden/>
          </w:rPr>
          <w:t>16</w:t>
        </w:r>
        <w:r w:rsidR="00235C52">
          <w:rPr>
            <w:noProof/>
            <w:webHidden/>
          </w:rPr>
          <w:fldChar w:fldCharType="end"/>
        </w:r>
      </w:hyperlink>
    </w:p>
    <w:p w:rsidR="00235C52" w:rsidRPr="00424047" w:rsidRDefault="00125838">
      <w:pPr>
        <w:pStyle w:val="20"/>
        <w:rPr>
          <w:rFonts w:ascii="Calibri" w:hAnsi="Calibri"/>
          <w:noProof/>
          <w:szCs w:val="22"/>
        </w:rPr>
      </w:pPr>
      <w:hyperlink w:anchor="_Toc437617713" w:history="1">
        <w:r w:rsidR="00235C52" w:rsidRPr="00621CA4">
          <w:rPr>
            <w:rStyle w:val="a5"/>
            <w:noProof/>
          </w:rPr>
          <w:t>11.1 Data acquisition</w:t>
        </w:r>
        <w:r w:rsidR="00235C52">
          <w:rPr>
            <w:noProof/>
            <w:webHidden/>
          </w:rPr>
          <w:tab/>
        </w:r>
        <w:r w:rsidR="00235C52">
          <w:rPr>
            <w:noProof/>
            <w:webHidden/>
          </w:rPr>
          <w:fldChar w:fldCharType="begin"/>
        </w:r>
        <w:r w:rsidR="00235C52">
          <w:rPr>
            <w:noProof/>
            <w:webHidden/>
          </w:rPr>
          <w:instrText xml:space="preserve"> PAGEREF _Toc437617713 \h </w:instrText>
        </w:r>
        <w:r w:rsidR="00235C52">
          <w:rPr>
            <w:noProof/>
            <w:webHidden/>
          </w:rPr>
        </w:r>
        <w:r w:rsidR="00235C52">
          <w:rPr>
            <w:noProof/>
            <w:webHidden/>
          </w:rPr>
          <w:fldChar w:fldCharType="separate"/>
        </w:r>
        <w:r w:rsidR="00235C52">
          <w:rPr>
            <w:noProof/>
            <w:webHidden/>
          </w:rPr>
          <w:t>16</w:t>
        </w:r>
        <w:r w:rsidR="00235C52">
          <w:rPr>
            <w:noProof/>
            <w:webHidden/>
          </w:rPr>
          <w:fldChar w:fldCharType="end"/>
        </w:r>
      </w:hyperlink>
    </w:p>
    <w:p w:rsidR="00235C52" w:rsidRPr="00424047" w:rsidRDefault="00125838">
      <w:pPr>
        <w:pStyle w:val="20"/>
        <w:rPr>
          <w:rFonts w:ascii="Calibri" w:hAnsi="Calibri"/>
          <w:noProof/>
          <w:szCs w:val="22"/>
        </w:rPr>
      </w:pPr>
      <w:hyperlink w:anchor="_Toc437617714" w:history="1">
        <w:r w:rsidR="00235C52" w:rsidRPr="00621CA4">
          <w:rPr>
            <w:rStyle w:val="a5"/>
            <w:noProof/>
          </w:rPr>
          <w:t>11.2 Statistical analysis</w:t>
        </w:r>
        <w:r w:rsidR="00235C52">
          <w:rPr>
            <w:noProof/>
            <w:webHidden/>
          </w:rPr>
          <w:tab/>
        </w:r>
        <w:r w:rsidR="00235C52">
          <w:rPr>
            <w:noProof/>
            <w:webHidden/>
          </w:rPr>
          <w:fldChar w:fldCharType="begin"/>
        </w:r>
        <w:r w:rsidR="00235C52">
          <w:rPr>
            <w:noProof/>
            <w:webHidden/>
          </w:rPr>
          <w:instrText xml:space="preserve"> PAGEREF _Toc437617714 \h </w:instrText>
        </w:r>
        <w:r w:rsidR="00235C52">
          <w:rPr>
            <w:noProof/>
            <w:webHidden/>
          </w:rPr>
        </w:r>
        <w:r w:rsidR="00235C52">
          <w:rPr>
            <w:noProof/>
            <w:webHidden/>
          </w:rPr>
          <w:fldChar w:fldCharType="separate"/>
        </w:r>
        <w:r w:rsidR="00235C52">
          <w:rPr>
            <w:noProof/>
            <w:webHidden/>
          </w:rPr>
          <w:t>16</w:t>
        </w:r>
        <w:r w:rsidR="00235C52">
          <w:rPr>
            <w:noProof/>
            <w:webHidden/>
          </w:rPr>
          <w:fldChar w:fldCharType="end"/>
        </w:r>
      </w:hyperlink>
    </w:p>
    <w:p w:rsidR="00235C52" w:rsidRPr="00424047" w:rsidRDefault="00125838">
      <w:pPr>
        <w:pStyle w:val="20"/>
        <w:rPr>
          <w:rFonts w:ascii="Calibri" w:hAnsi="Calibri"/>
          <w:noProof/>
          <w:szCs w:val="22"/>
        </w:rPr>
      </w:pPr>
      <w:hyperlink w:anchor="_Toc437617715" w:history="1">
        <w:r w:rsidR="00235C52" w:rsidRPr="00621CA4">
          <w:rPr>
            <w:rStyle w:val="a5"/>
            <w:noProof/>
          </w:rPr>
          <w:t>11.3 Mid-term analysis</w:t>
        </w:r>
        <w:r w:rsidR="00235C52">
          <w:rPr>
            <w:noProof/>
            <w:webHidden/>
          </w:rPr>
          <w:tab/>
        </w:r>
        <w:r w:rsidR="00235C52">
          <w:rPr>
            <w:noProof/>
            <w:webHidden/>
          </w:rPr>
          <w:fldChar w:fldCharType="begin"/>
        </w:r>
        <w:r w:rsidR="00235C52">
          <w:rPr>
            <w:noProof/>
            <w:webHidden/>
          </w:rPr>
          <w:instrText xml:space="preserve"> PAGEREF _Toc437617715 \h </w:instrText>
        </w:r>
        <w:r w:rsidR="00235C52">
          <w:rPr>
            <w:noProof/>
            <w:webHidden/>
          </w:rPr>
        </w:r>
        <w:r w:rsidR="00235C52">
          <w:rPr>
            <w:noProof/>
            <w:webHidden/>
          </w:rPr>
          <w:fldChar w:fldCharType="separate"/>
        </w:r>
        <w:r w:rsidR="00235C52">
          <w:rPr>
            <w:noProof/>
            <w:webHidden/>
          </w:rPr>
          <w:t>17</w:t>
        </w:r>
        <w:r w:rsidR="00235C52">
          <w:rPr>
            <w:noProof/>
            <w:webHidden/>
          </w:rPr>
          <w:fldChar w:fldCharType="end"/>
        </w:r>
      </w:hyperlink>
    </w:p>
    <w:p w:rsidR="00235C52" w:rsidRPr="00424047" w:rsidRDefault="00125838">
      <w:pPr>
        <w:pStyle w:val="10"/>
        <w:rPr>
          <w:rFonts w:ascii="Calibri" w:hAnsi="Calibri"/>
          <w:noProof/>
          <w:szCs w:val="22"/>
        </w:rPr>
      </w:pPr>
      <w:hyperlink w:anchor="_Toc437617716" w:history="1">
        <w:r w:rsidR="00235C52" w:rsidRPr="00621CA4">
          <w:rPr>
            <w:rStyle w:val="a5"/>
            <w:noProof/>
          </w:rPr>
          <w:t>References</w:t>
        </w:r>
        <w:r w:rsidR="00235C52">
          <w:rPr>
            <w:noProof/>
            <w:webHidden/>
          </w:rPr>
          <w:tab/>
        </w:r>
        <w:r w:rsidR="00235C52">
          <w:rPr>
            <w:noProof/>
            <w:webHidden/>
          </w:rPr>
          <w:fldChar w:fldCharType="begin"/>
        </w:r>
        <w:r w:rsidR="00235C52">
          <w:rPr>
            <w:noProof/>
            <w:webHidden/>
          </w:rPr>
          <w:instrText xml:space="preserve"> PAGEREF _Toc437617716 \h </w:instrText>
        </w:r>
        <w:r w:rsidR="00235C52">
          <w:rPr>
            <w:noProof/>
            <w:webHidden/>
          </w:rPr>
        </w:r>
        <w:r w:rsidR="00235C52">
          <w:rPr>
            <w:noProof/>
            <w:webHidden/>
          </w:rPr>
          <w:fldChar w:fldCharType="separate"/>
        </w:r>
        <w:r w:rsidR="00235C52">
          <w:rPr>
            <w:noProof/>
            <w:webHidden/>
          </w:rPr>
          <w:t>17</w:t>
        </w:r>
        <w:r w:rsidR="00235C52">
          <w:rPr>
            <w:noProof/>
            <w:webHidden/>
          </w:rPr>
          <w:fldChar w:fldCharType="end"/>
        </w:r>
      </w:hyperlink>
    </w:p>
    <w:p w:rsidR="00080EB9" w:rsidRPr="006C5975" w:rsidRDefault="00080EB9" w:rsidP="006A5753">
      <w:pPr>
        <w:spacing w:line="360" w:lineRule="auto"/>
        <w:rPr>
          <w:rFonts w:ascii="Times New Roman" w:hAnsi="Times New Roman"/>
          <w:b/>
          <w:sz w:val="24"/>
          <w:szCs w:val="24"/>
        </w:rPr>
      </w:pPr>
      <w:r w:rsidRPr="006C5975">
        <w:rPr>
          <w:b/>
          <w:sz w:val="22"/>
        </w:rPr>
        <w:lastRenderedPageBreak/>
        <w:fldChar w:fldCharType="end"/>
      </w:r>
    </w:p>
    <w:p w:rsidR="00080EB9" w:rsidRPr="006C5975" w:rsidRDefault="00080EB9" w:rsidP="006A5753">
      <w:pPr>
        <w:pStyle w:val="1"/>
        <w:spacing w:before="120" w:after="120" w:line="360" w:lineRule="auto"/>
        <w:ind w:left="726" w:hanging="726"/>
        <w:rPr>
          <w:sz w:val="24"/>
          <w:szCs w:val="24"/>
        </w:rPr>
      </w:pPr>
      <w:r w:rsidRPr="006C5975">
        <w:rPr>
          <w:bCs w:val="0"/>
          <w:sz w:val="24"/>
          <w:szCs w:val="24"/>
        </w:rPr>
        <w:br w:type="page"/>
      </w:r>
      <w:bookmarkStart w:id="2" w:name="_Toc437617683"/>
      <w:r w:rsidRPr="006C5975">
        <w:rPr>
          <w:sz w:val="24"/>
          <w:szCs w:val="24"/>
        </w:rPr>
        <w:lastRenderedPageBreak/>
        <w:t>1. Background</w:t>
      </w:r>
      <w:bookmarkEnd w:id="2"/>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Epidermal growth factor receptor (EGFR) tyrosine kinase inhibitor (TKI) plays important roles in treatment of non-small cell lung cancer (NSCLC), however, its efficacy varies greatly in different populations. Benefit populations including women, adenocarcinoma patients and non-smokers are thought to be favorable whereas some non-benefit population may also have survival benefits from TKI treatment as well. Selecting effective patients to receive TKI therapy by biomarkers has been always an attractive topic of this field.</w:t>
      </w: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EGFR mutations are commonly found in non-smokers, women, Asian, and adenocarcinoma patients</w:t>
      </w:r>
      <w:r w:rsidRPr="006C5975">
        <w:rPr>
          <w:rFonts w:ascii="Times New Roman" w:hAnsi="Times New Roman"/>
          <w:sz w:val="22"/>
          <w:vertAlign w:val="superscript"/>
        </w:rPr>
        <w:t>1-4</w:t>
      </w:r>
      <w:r w:rsidRPr="006C5975">
        <w:rPr>
          <w:rFonts w:ascii="Times New Roman" w:hAnsi="Times New Roman"/>
          <w:sz w:val="22"/>
        </w:rPr>
        <w:t xml:space="preserve"> who have high remission rate of TKI therapy clinically.</w:t>
      </w:r>
      <w:r w:rsidRPr="006C5975">
        <w:rPr>
          <w:rFonts w:ascii="Times New Roman" w:hAnsi="Times New Roman"/>
          <w:sz w:val="22"/>
          <w:vertAlign w:val="superscript"/>
        </w:rPr>
        <w:t>5,6</w:t>
      </w:r>
      <w:r w:rsidRPr="006C5975">
        <w:rPr>
          <w:rFonts w:ascii="Times New Roman" w:hAnsi="Times New Roman"/>
          <w:sz w:val="22"/>
        </w:rPr>
        <w:t xml:space="preserve"> Numerous retrospective studies have demonstrated that clinical characteristics are associated with TKI efficacy and EGFR mutations. Among the Asian patient population, the mutation frequency accounts for 25%~50%, higher than that in Northern American and Western Europe (10%). One of the potential reasons is likely due to diverse genetic background. The remission rate to TKI treatment in EGFR-mutated patients is approximately 77%, compared with 10% in mutation negative patients. In addition, a number of studies have shown that EGFR-mutated patients have survival benefits from TKI therapy. MST is reported up to 30 months. In IDEAL trial, 46% of patients with mutations responded to TKI treatment compared to 10% of patients with wild-type EGFR (P=0.005), however, no survival benefit was observed.</w:t>
      </w:r>
      <w:r w:rsidRPr="006C5975">
        <w:rPr>
          <w:rFonts w:ascii="Times New Roman" w:hAnsi="Times New Roman"/>
          <w:sz w:val="22"/>
          <w:vertAlign w:val="superscript"/>
        </w:rPr>
        <w:t>7</w:t>
      </w:r>
      <w:r w:rsidRPr="006C5975">
        <w:rPr>
          <w:rFonts w:ascii="Times New Roman" w:hAnsi="Times New Roman"/>
          <w:sz w:val="22"/>
        </w:rPr>
        <w:t xml:space="preserve"> As of September 2008, the preliminary results of IPASS trial in which 1212 non-smoking or mildly smoking Asian patients with advanced lung adenocarcinoma received either first-line gefitinib monotherapy or first-line paclitaxel/carboplatin chemotherapy have shown that among EGFR mutation-positive patients PFS was significantly longer in patients treated with geninitib. On the contrary, chemotherapy was associated with a significantly longer PFS among patients with wild-type EGFR (</w:t>
      </w:r>
      <w:r w:rsidRPr="006C5975">
        <w:rPr>
          <w:rFonts w:ascii="Times New Roman" w:hAnsi="Times New Roman"/>
          <w:kern w:val="0"/>
          <w:sz w:val="22"/>
        </w:rPr>
        <w:t>P&lt;0.0001</w:t>
      </w:r>
      <w:r w:rsidRPr="006C5975">
        <w:rPr>
          <w:rFonts w:ascii="Times New Roman" w:hAnsi="Times New Roman"/>
          <w:sz w:val="22"/>
        </w:rPr>
        <w:t>).</w:t>
      </w:r>
      <w:r w:rsidRPr="006C5975">
        <w:rPr>
          <w:rFonts w:ascii="Times New Roman" w:hAnsi="Times New Roman"/>
          <w:sz w:val="22"/>
          <w:vertAlign w:val="superscript"/>
        </w:rPr>
        <w:t>8</w:t>
      </w:r>
      <w:r w:rsidRPr="006C5975">
        <w:rPr>
          <w:rFonts w:ascii="Times New Roman" w:hAnsi="Times New Roman"/>
          <w:sz w:val="22"/>
        </w:rPr>
        <w:t xml:space="preserve"> The response to gefitinib achieved 71.2% in EGFR mutation-positive patients while only </w:t>
      </w:r>
      <w:r w:rsidRPr="006C5975">
        <w:rPr>
          <w:rFonts w:ascii="Times New Roman" w:hAnsi="Times New Roman"/>
          <w:kern w:val="0"/>
          <w:sz w:val="22"/>
        </w:rPr>
        <w:t xml:space="preserve">1.1% of patients with wild-type EGFR responded to </w:t>
      </w:r>
      <w:r w:rsidRPr="006C5975">
        <w:rPr>
          <w:rFonts w:ascii="Times New Roman" w:hAnsi="Times New Roman"/>
          <w:sz w:val="22"/>
        </w:rPr>
        <w:t>gefitinib.</w:t>
      </w:r>
      <w:r w:rsidRPr="006C5975">
        <w:rPr>
          <w:rFonts w:ascii="Times New Roman" w:hAnsi="Times New Roman"/>
          <w:sz w:val="22"/>
          <w:vertAlign w:val="superscript"/>
        </w:rPr>
        <w:t>8</w:t>
      </w: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 xml:space="preserve">Different EGFR mutations may be different as well. Further studies found that different mutations are associated with clinical outcomes of patients, e.g. a deletion in exon19 responded better to gefitinib and erlotinib than a point mutation </w:t>
      </w:r>
      <w:r w:rsidRPr="006C5975">
        <w:rPr>
          <w:rFonts w:ascii="Times New Roman" w:hAnsi="Times New Roman"/>
          <w:kern w:val="0"/>
          <w:sz w:val="22"/>
        </w:rPr>
        <w:t>(L585R)</w:t>
      </w:r>
      <w:r w:rsidRPr="006C5975">
        <w:rPr>
          <w:rFonts w:ascii="Times New Roman" w:hAnsi="Times New Roman"/>
          <w:sz w:val="22"/>
        </w:rPr>
        <w:t xml:space="preserve"> in exon21.</w:t>
      </w:r>
      <w:r w:rsidRPr="006C5975">
        <w:rPr>
          <w:rFonts w:ascii="Times New Roman" w:hAnsi="Times New Roman"/>
          <w:sz w:val="22"/>
          <w:vertAlign w:val="superscript"/>
        </w:rPr>
        <w:t>9,10</w:t>
      </w:r>
      <w:r w:rsidRPr="006C5975">
        <w:rPr>
          <w:rFonts w:ascii="Times New Roman" w:hAnsi="Times New Roman"/>
          <w:sz w:val="22"/>
        </w:rPr>
        <w:t xml:space="preserve"> (Figure 1)</w:t>
      </w:r>
    </w:p>
    <w:p w:rsidR="00080EB9" w:rsidRPr="006C5975" w:rsidRDefault="00125838" w:rsidP="006A5753">
      <w:pPr>
        <w:spacing w:line="360" w:lineRule="auto"/>
        <w:rPr>
          <w:rFonts w:ascii="Times New Roman" w:hAnsi="Times New Roman"/>
        </w:rPr>
      </w:pPr>
      <w:r>
        <w:rPr>
          <w:rFonts w:ascii="Times New Roman" w:hAnsi="Times New Roman"/>
          <w:noProof/>
        </w:rPr>
        <w:lastRenderedPageBreak/>
        <w:pict>
          <v:shape id="Picture 36" o:spid="_x0000_i1026" type="#_x0000_t75" style="width:440.25pt;height:305.25pt;visibility:visible">
            <v:imagedata r:id="rId8" o:title=""/>
          </v:shape>
        </w:pict>
      </w:r>
    </w:p>
    <w:p w:rsidR="00080EB9" w:rsidRDefault="00080EB9" w:rsidP="00390559">
      <w:pPr>
        <w:tabs>
          <w:tab w:val="left" w:pos="1260"/>
        </w:tabs>
        <w:spacing w:line="360" w:lineRule="auto"/>
        <w:ind w:left="1259" w:hangingChars="570" w:hanging="1259"/>
        <w:rPr>
          <w:rFonts w:ascii="Times New Roman" w:hAnsi="Times New Roman"/>
          <w:kern w:val="0"/>
          <w:sz w:val="22"/>
        </w:rPr>
      </w:pPr>
      <w:r w:rsidRPr="00D35889">
        <w:rPr>
          <w:rFonts w:ascii="Times New Roman" w:hAnsi="Times New Roman"/>
          <w:b/>
          <w:kern w:val="0"/>
          <w:sz w:val="22"/>
        </w:rPr>
        <w:t>Figure 1</w:t>
      </w:r>
      <w:r w:rsidRPr="006C5975">
        <w:rPr>
          <w:rFonts w:ascii="Times New Roman" w:hAnsi="Times New Roman"/>
          <w:kern w:val="0"/>
          <w:sz w:val="22"/>
        </w:rPr>
        <w:tab/>
        <w:t>EGFR mutation sites and their association with drug sensitivity</w:t>
      </w:r>
    </w:p>
    <w:p w:rsidR="00080EB9" w:rsidRPr="006C5975" w:rsidRDefault="00080EB9" w:rsidP="00390559">
      <w:pPr>
        <w:tabs>
          <w:tab w:val="left" w:pos="1260"/>
        </w:tabs>
        <w:spacing w:line="360" w:lineRule="auto"/>
        <w:ind w:left="1254" w:hangingChars="570" w:hanging="1254"/>
        <w:rPr>
          <w:rFonts w:ascii="Times New Roman" w:hAnsi="Times New Roman"/>
          <w:kern w:val="0"/>
          <w:sz w:val="22"/>
        </w:rPr>
      </w:pP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kern w:val="0"/>
          <w:sz w:val="22"/>
        </w:rPr>
        <w:t>Rosell’s group in Spain reported a study at ASCO annual meeting in June 2009. The study that examined EGFR status in tumor tissues of 2507 advanced NSCLC patients found that 358 patients carried exon19 deletion or exon21 point mutation.</w:t>
      </w:r>
      <w:r w:rsidRPr="006C5975">
        <w:rPr>
          <w:rFonts w:ascii="Times New Roman" w:hAnsi="Times New Roman"/>
          <w:kern w:val="0"/>
          <w:sz w:val="22"/>
          <w:vertAlign w:val="superscript"/>
        </w:rPr>
        <w:t>11</w:t>
      </w:r>
      <w:r w:rsidRPr="006C5975">
        <w:rPr>
          <w:rFonts w:ascii="Times New Roman" w:hAnsi="Times New Roman"/>
          <w:kern w:val="0"/>
          <w:sz w:val="22"/>
        </w:rPr>
        <w:t xml:space="preserve"> In this study, the frequency of </w:t>
      </w:r>
      <w:r w:rsidRPr="006C5975">
        <w:rPr>
          <w:rFonts w:ascii="Times New Roman" w:hAnsi="Times New Roman"/>
          <w:sz w:val="22"/>
        </w:rPr>
        <w:t>EGFR exon 19 or 21 mutations was 4.3% (358/2507). A total of 217 subjects were enrolled in this trial, including 62.3% of exon19 deletion and 37.7% of exon21 mutation. The patients with mutations were administrated with erlotinib. Among 197 patients with evaluable efficacy, the overall response was 70.6% (139/197). TTP was 14 months and the median survival time was 27 months.</w:t>
      </w: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In June 2008, an article published in JCO by Taiwan analyzed the outcomes of first-line gefitinib therapy in mutated patients. 106 patients were enrolled, 90 of whom provided specimens, including 20 cases of exon19 deletion and 23 cases of exon21 mutation. The remission rates were 95.0% and 73.9% and TTP accounted for 8.9 months and 9.1 months respectively. Other mutations were 16.7% and 2.3 months, and overall RR was 50.9%.</w:t>
      </w:r>
      <w:r w:rsidRPr="006C5975">
        <w:rPr>
          <w:rFonts w:ascii="Times New Roman" w:hAnsi="Times New Roman"/>
          <w:sz w:val="22"/>
          <w:vertAlign w:val="superscript"/>
        </w:rPr>
        <w:t>12</w:t>
      </w: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 xml:space="preserve">In a study on gefitinib and control chemotherapy in first-line treatment of selective patients (IPASS) published in ASCO in June 2009 showed that the remission rate was 65% in patients with exon21 </w:t>
      </w:r>
      <w:r w:rsidRPr="006C5975">
        <w:rPr>
          <w:rFonts w:ascii="Times New Roman" w:hAnsi="Times New Roman"/>
          <w:sz w:val="22"/>
        </w:rPr>
        <w:lastRenderedPageBreak/>
        <w:t>mutation.</w:t>
      </w:r>
      <w:r w:rsidRPr="006C5975">
        <w:rPr>
          <w:rFonts w:ascii="Times New Roman" w:hAnsi="Times New Roman"/>
          <w:sz w:val="22"/>
          <w:vertAlign w:val="superscript"/>
        </w:rPr>
        <w:t>13</w:t>
      </w:r>
    </w:p>
    <w:p w:rsidR="00080EB9" w:rsidRPr="006C5975" w:rsidRDefault="00080EB9" w:rsidP="00D35889">
      <w:pPr>
        <w:spacing w:line="360" w:lineRule="auto"/>
        <w:jc w:val="left"/>
        <w:rPr>
          <w:rFonts w:ascii="Times New Roman" w:hAnsi="Times New Roman"/>
          <w:sz w:val="22"/>
        </w:rPr>
      </w:pPr>
      <w:r w:rsidRPr="006C5975">
        <w:rPr>
          <w:rFonts w:ascii="Times New Roman" w:hAnsi="Times New Roman"/>
          <w:sz w:val="22"/>
        </w:rPr>
        <w:t>As EGFR inhibitors, erlotinib acts similarly as gefitinib by suppressing overexpressed EGFR TKI activity in solid tumors, however, both drugs vary greatly in pharmacokinetics. Oral administration of erlotinib 150 mg/d showed a higher plasma exposure, the resulting C</w:t>
      </w:r>
      <w:r w:rsidRPr="006C5975">
        <w:rPr>
          <w:rFonts w:ascii="Times New Roman" w:hAnsi="Times New Roman"/>
          <w:sz w:val="22"/>
          <w:vertAlign w:val="subscript"/>
        </w:rPr>
        <w:t xml:space="preserve">max </w:t>
      </w:r>
      <w:r w:rsidRPr="006C5975">
        <w:rPr>
          <w:rFonts w:ascii="Times New Roman" w:hAnsi="Times New Roman"/>
          <w:sz w:val="22"/>
        </w:rPr>
        <w:t>and AUC</w:t>
      </w:r>
      <w:r w:rsidRPr="006C5975">
        <w:rPr>
          <w:rFonts w:ascii="Times New Roman" w:hAnsi="Times New Roman"/>
          <w:sz w:val="22"/>
          <w:vertAlign w:val="subscript"/>
        </w:rPr>
        <w:t>0-24h</w:t>
      </w:r>
      <w:r w:rsidRPr="006C5975">
        <w:rPr>
          <w:rFonts w:ascii="Times New Roman" w:hAnsi="Times New Roman"/>
          <w:sz w:val="22"/>
        </w:rPr>
        <w:t xml:space="preserve"> were comparable to those of gefitinib 700 mg/d; erlotinib has a shorter half-life than gefitinib so that repetitive dosing causes no drug accumulation. Recent studies found that the same dose of erlotinib (0.1g/kg/d) was superior to gefitinib in</w:t>
      </w:r>
      <w:r w:rsidRPr="006C5975">
        <w:rPr>
          <w:rFonts w:ascii="Times New Roman" w:hAnsi="Times New Roman"/>
          <w:kern w:val="0"/>
          <w:sz w:val="22"/>
        </w:rPr>
        <w:t xml:space="preserve"> </w:t>
      </w:r>
      <w:r w:rsidRPr="006C5975">
        <w:rPr>
          <w:rFonts w:ascii="Times New Roman" w:hAnsi="Times New Roman"/>
          <w:i/>
          <w:kern w:val="0"/>
          <w:sz w:val="22"/>
        </w:rPr>
        <w:t>in-vivo</w:t>
      </w:r>
      <w:r w:rsidRPr="006C5975">
        <w:rPr>
          <w:rFonts w:ascii="Times New Roman" w:hAnsi="Times New Roman"/>
          <w:kern w:val="0"/>
          <w:sz w:val="22"/>
        </w:rPr>
        <w:t xml:space="preserve"> model of H460A</w:t>
      </w:r>
      <w:r w:rsidRPr="006C5975">
        <w:rPr>
          <w:rFonts w:ascii="Times New Roman" w:hAnsi="Times New Roman"/>
          <w:sz w:val="22"/>
        </w:rPr>
        <w:t xml:space="preserve"> cell line</w:t>
      </w:r>
      <w:r w:rsidRPr="006C5975">
        <w:rPr>
          <w:rFonts w:ascii="Times New Roman" w:hAnsi="Times New Roman"/>
          <w:kern w:val="0"/>
          <w:sz w:val="22"/>
        </w:rPr>
        <w:t xml:space="preserve"> with wild-type EGFR. In 2008, </w:t>
      </w:r>
      <w:r w:rsidRPr="006C5975">
        <w:rPr>
          <w:rFonts w:ascii="Times New Roman" w:hAnsi="Times New Roman"/>
          <w:sz w:val="22"/>
        </w:rPr>
        <w:t xml:space="preserve">Costa </w:t>
      </w:r>
      <w:r w:rsidRPr="006C5975">
        <w:rPr>
          <w:rFonts w:ascii="Times New Roman" w:hAnsi="Times New Roman"/>
          <w:i/>
          <w:sz w:val="22"/>
        </w:rPr>
        <w:t>et al</w:t>
      </w:r>
      <w:r w:rsidRPr="006C5975">
        <w:rPr>
          <w:rFonts w:ascii="Times New Roman" w:hAnsi="Times New Roman"/>
          <w:sz w:val="22"/>
        </w:rPr>
        <w:t>’s study published in JCO showed that erlotinib inhibited mutated EGFR better than gefitinib in in-vitro studies. IC</w:t>
      </w:r>
      <w:r w:rsidRPr="006C5975">
        <w:rPr>
          <w:rFonts w:ascii="Times New Roman" w:hAnsi="Times New Roman"/>
          <w:sz w:val="22"/>
          <w:vertAlign w:val="subscript"/>
        </w:rPr>
        <w:t>50</w:t>
      </w:r>
      <w:r w:rsidRPr="006C5975">
        <w:rPr>
          <w:rFonts w:ascii="Times New Roman" w:hAnsi="Times New Roman"/>
          <w:sz w:val="22"/>
        </w:rPr>
        <w:t xml:space="preserve"> to L858R mutated cells was 0.04</w:t>
      </w:r>
      <w:r w:rsidRPr="006C5975">
        <w:rPr>
          <w:rFonts w:ascii="Times New Roman" w:hAnsi="Times New Roman"/>
          <w:kern w:val="0"/>
          <w:sz w:val="22"/>
        </w:rPr>
        <w:t xml:space="preserve">μM while </w:t>
      </w:r>
      <w:r w:rsidRPr="006C5975">
        <w:rPr>
          <w:rFonts w:ascii="Times New Roman" w:hAnsi="Times New Roman"/>
          <w:sz w:val="22"/>
        </w:rPr>
        <w:t>IC</w:t>
      </w:r>
      <w:r w:rsidRPr="006C5975">
        <w:rPr>
          <w:rFonts w:ascii="Times New Roman" w:hAnsi="Times New Roman"/>
          <w:sz w:val="22"/>
          <w:vertAlign w:val="subscript"/>
        </w:rPr>
        <w:t>50</w:t>
      </w:r>
      <w:r w:rsidRPr="006C5975">
        <w:rPr>
          <w:rFonts w:ascii="Times New Roman" w:hAnsi="Times New Roman"/>
          <w:sz w:val="22"/>
        </w:rPr>
        <w:t xml:space="preserve"> </w:t>
      </w:r>
      <w:r w:rsidRPr="006C5975">
        <w:rPr>
          <w:rFonts w:ascii="Times New Roman" w:hAnsi="Times New Roman"/>
          <w:kern w:val="0"/>
          <w:sz w:val="22"/>
        </w:rPr>
        <w:t xml:space="preserve">of gefitinib was </w:t>
      </w:r>
      <w:r w:rsidRPr="006C5975">
        <w:rPr>
          <w:rFonts w:ascii="Times New Roman" w:hAnsi="Times New Roman"/>
          <w:sz w:val="22"/>
        </w:rPr>
        <w:t>0.08</w:t>
      </w:r>
      <w:r w:rsidRPr="006C5975">
        <w:rPr>
          <w:rFonts w:ascii="Times New Roman" w:hAnsi="Times New Roman"/>
          <w:kern w:val="0"/>
          <w:sz w:val="22"/>
        </w:rPr>
        <w:t xml:space="preserve">μM. In </w:t>
      </w:r>
      <w:r w:rsidRPr="006C5975">
        <w:rPr>
          <w:rFonts w:ascii="Times New Roman" w:hAnsi="Times New Roman"/>
          <w:sz w:val="22"/>
        </w:rPr>
        <w:t>L858R-L747S mutated cells, IC</w:t>
      </w:r>
      <w:r w:rsidRPr="006C5975">
        <w:rPr>
          <w:rFonts w:ascii="Times New Roman" w:hAnsi="Times New Roman"/>
          <w:sz w:val="22"/>
          <w:vertAlign w:val="subscript"/>
        </w:rPr>
        <w:t>50</w:t>
      </w:r>
      <w:r w:rsidRPr="006C5975">
        <w:rPr>
          <w:rFonts w:ascii="Times New Roman" w:hAnsi="Times New Roman"/>
          <w:kern w:val="0"/>
          <w:sz w:val="22"/>
        </w:rPr>
        <w:t xml:space="preserve"> of </w:t>
      </w:r>
      <w:r w:rsidRPr="006C5975">
        <w:rPr>
          <w:rFonts w:ascii="Times New Roman" w:hAnsi="Times New Roman"/>
          <w:sz w:val="22"/>
        </w:rPr>
        <w:t>erlotinib was 0.08</w:t>
      </w:r>
      <w:r w:rsidRPr="006C5975">
        <w:rPr>
          <w:rFonts w:ascii="Times New Roman" w:hAnsi="Times New Roman"/>
          <w:kern w:val="0"/>
          <w:sz w:val="22"/>
        </w:rPr>
        <w:t xml:space="preserve">μM compared to </w:t>
      </w:r>
      <w:r w:rsidRPr="006C5975">
        <w:rPr>
          <w:rFonts w:ascii="Times New Roman" w:hAnsi="Times New Roman"/>
          <w:sz w:val="22"/>
        </w:rPr>
        <w:t>0.20</w:t>
      </w:r>
      <w:r w:rsidRPr="006C5975">
        <w:rPr>
          <w:rFonts w:ascii="Times New Roman" w:hAnsi="Times New Roman"/>
          <w:kern w:val="0"/>
          <w:sz w:val="22"/>
        </w:rPr>
        <w:t>μM of gefitinib.</w:t>
      </w:r>
      <w:r w:rsidRPr="006C5975">
        <w:rPr>
          <w:rFonts w:ascii="Times New Roman" w:hAnsi="Times New Roman"/>
          <w:kern w:val="0"/>
          <w:sz w:val="22"/>
          <w:vertAlign w:val="superscript"/>
        </w:rPr>
        <w:t>14</w:t>
      </w:r>
      <w:r w:rsidRPr="006C5975">
        <w:rPr>
          <w:rFonts w:ascii="Times New Roman" w:hAnsi="Times New Roman"/>
          <w:kern w:val="0"/>
          <w:sz w:val="22"/>
        </w:rPr>
        <w:t xml:space="preserve"> Collectively, insensitive patients with EGFR exon21 mutation may be favorable to erlotinib.</w:t>
      </w:r>
    </w:p>
    <w:p w:rsidR="00080EB9" w:rsidRPr="006C5975" w:rsidRDefault="00080EB9" w:rsidP="00390559">
      <w:pPr>
        <w:pStyle w:val="1"/>
        <w:spacing w:before="120" w:after="120" w:line="360" w:lineRule="auto"/>
        <w:ind w:left="482" w:hangingChars="200" w:hanging="482"/>
        <w:rPr>
          <w:sz w:val="24"/>
          <w:szCs w:val="24"/>
        </w:rPr>
      </w:pPr>
      <w:bookmarkStart w:id="3" w:name="_Toc437617684"/>
      <w:r w:rsidRPr="006C5975">
        <w:rPr>
          <w:sz w:val="24"/>
          <w:szCs w:val="24"/>
        </w:rPr>
        <w:t>2. Objectives</w:t>
      </w:r>
      <w:bookmarkEnd w:id="3"/>
    </w:p>
    <w:p w:rsidR="00080EB9" w:rsidRPr="003450C4" w:rsidRDefault="00080EB9" w:rsidP="003450C4">
      <w:pPr>
        <w:spacing w:line="360" w:lineRule="auto"/>
        <w:rPr>
          <w:rFonts w:ascii="Times New Roman" w:hAnsi="Times New Roman"/>
          <w:b/>
          <w:sz w:val="22"/>
        </w:rPr>
      </w:pPr>
      <w:bookmarkStart w:id="4" w:name="_Toc429997128"/>
      <w:r w:rsidRPr="003450C4">
        <w:rPr>
          <w:rFonts w:ascii="Times New Roman" w:hAnsi="Times New Roman"/>
          <w:b/>
          <w:sz w:val="22"/>
        </w:rPr>
        <w:t xml:space="preserve">Primary Objectives: </w:t>
      </w:r>
      <w:bookmarkEnd w:id="4"/>
    </w:p>
    <w:p w:rsidR="00080EB9" w:rsidRPr="003450C4" w:rsidRDefault="00080EB9" w:rsidP="00D35889">
      <w:pPr>
        <w:spacing w:line="360" w:lineRule="auto"/>
        <w:jc w:val="left"/>
        <w:rPr>
          <w:rFonts w:ascii="Times New Roman" w:hAnsi="Times New Roman"/>
          <w:sz w:val="22"/>
        </w:rPr>
      </w:pPr>
      <w:r w:rsidRPr="003450C4">
        <w:rPr>
          <w:rFonts w:ascii="Times New Roman" w:hAnsi="Times New Roman"/>
          <w:sz w:val="22"/>
        </w:rPr>
        <w:t>The objective of Part 1 is to verify that erlotinib can improve the remission rate (RR) of patients with EGFR exon21 mutation as compared with gefitinib.</w:t>
      </w:r>
    </w:p>
    <w:p w:rsidR="00080EB9" w:rsidRPr="003450C4" w:rsidRDefault="00080EB9" w:rsidP="00D35889">
      <w:pPr>
        <w:spacing w:line="360" w:lineRule="auto"/>
        <w:jc w:val="left"/>
        <w:rPr>
          <w:rFonts w:ascii="Times New Roman" w:hAnsi="Times New Roman"/>
          <w:sz w:val="22"/>
        </w:rPr>
      </w:pPr>
      <w:r w:rsidRPr="003450C4">
        <w:rPr>
          <w:rFonts w:ascii="Times New Roman" w:hAnsi="Times New Roman"/>
          <w:sz w:val="22"/>
        </w:rPr>
        <w:t>The objective of Part 2 is to verity that erlotinib can prolong the progression-free survival (PFS) of patients with EGFR exon19 or exon 21 mutation as compared with gefitinib.</w:t>
      </w:r>
    </w:p>
    <w:p w:rsidR="00080EB9" w:rsidRPr="003450C4" w:rsidRDefault="00080EB9" w:rsidP="003450C4">
      <w:pPr>
        <w:spacing w:line="360" w:lineRule="auto"/>
        <w:rPr>
          <w:rFonts w:ascii="Times New Roman" w:hAnsi="Times New Roman"/>
          <w:b/>
          <w:sz w:val="22"/>
        </w:rPr>
      </w:pPr>
      <w:bookmarkStart w:id="5" w:name="_Toc429997129"/>
      <w:r w:rsidRPr="003450C4">
        <w:rPr>
          <w:rFonts w:ascii="Times New Roman" w:hAnsi="Times New Roman"/>
          <w:b/>
          <w:sz w:val="22"/>
        </w:rPr>
        <w:t xml:space="preserve">Secondary Objectives: </w:t>
      </w:r>
      <w:bookmarkEnd w:id="5"/>
    </w:p>
    <w:p w:rsidR="00080EB9" w:rsidRPr="003450C4" w:rsidRDefault="00080EB9" w:rsidP="003450C4">
      <w:pPr>
        <w:spacing w:line="360" w:lineRule="auto"/>
        <w:rPr>
          <w:rFonts w:ascii="Times New Roman" w:hAnsi="Times New Roman"/>
          <w:sz w:val="22"/>
        </w:rPr>
      </w:pPr>
      <w:r w:rsidRPr="003450C4">
        <w:rPr>
          <w:rFonts w:ascii="Times New Roman" w:hAnsi="Times New Roman"/>
          <w:sz w:val="22"/>
        </w:rPr>
        <w:t>Erlotinib can prolong the overall survival of patients as compared with gefitinib.</w:t>
      </w:r>
    </w:p>
    <w:p w:rsidR="00080EB9" w:rsidRPr="003450C4" w:rsidRDefault="00080EB9" w:rsidP="00D35889">
      <w:pPr>
        <w:spacing w:line="360" w:lineRule="auto"/>
        <w:jc w:val="left"/>
        <w:rPr>
          <w:rFonts w:ascii="Times New Roman" w:hAnsi="Times New Roman"/>
          <w:sz w:val="22"/>
        </w:rPr>
      </w:pPr>
      <w:r w:rsidRPr="003450C4">
        <w:rPr>
          <w:rFonts w:ascii="Times New Roman" w:hAnsi="Times New Roman"/>
          <w:sz w:val="22"/>
        </w:rPr>
        <w:t>Safety events of erlotinib and gefitinib in second-line population with EGFR exon19 or exon 21 mutation.</w:t>
      </w:r>
    </w:p>
    <w:p w:rsidR="00080EB9" w:rsidRPr="003450C4" w:rsidRDefault="00080EB9" w:rsidP="00D35889">
      <w:pPr>
        <w:spacing w:line="360" w:lineRule="auto"/>
        <w:jc w:val="left"/>
        <w:rPr>
          <w:rFonts w:ascii="Times New Roman" w:hAnsi="Times New Roman"/>
          <w:sz w:val="22"/>
        </w:rPr>
      </w:pPr>
      <w:r w:rsidRPr="003450C4">
        <w:rPr>
          <w:rFonts w:ascii="Times New Roman" w:hAnsi="Times New Roman"/>
          <w:sz w:val="22"/>
        </w:rPr>
        <w:t>Pharmacoeconomic analysis of erlotinib and gefitinib in second-line population with EGFR exon19 or exon 21 mutation.</w:t>
      </w:r>
    </w:p>
    <w:p w:rsidR="00080EB9" w:rsidRPr="006C5975" w:rsidRDefault="00080EB9" w:rsidP="00390559">
      <w:pPr>
        <w:pStyle w:val="1"/>
        <w:spacing w:before="120" w:after="120" w:line="360" w:lineRule="auto"/>
        <w:ind w:left="482" w:hangingChars="200" w:hanging="482"/>
        <w:rPr>
          <w:sz w:val="24"/>
          <w:szCs w:val="24"/>
        </w:rPr>
      </w:pPr>
      <w:bookmarkStart w:id="6" w:name="_Toc437617685"/>
      <w:r w:rsidRPr="006C5975">
        <w:rPr>
          <w:sz w:val="24"/>
          <w:szCs w:val="24"/>
        </w:rPr>
        <w:t>3. Methodology</w:t>
      </w:r>
      <w:bookmarkEnd w:id="6"/>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7" w:name="_Toc437617686"/>
      <w:r w:rsidRPr="006C5975">
        <w:rPr>
          <w:rFonts w:ascii="Times New Roman" w:eastAsia="宋体" w:hAnsi="Times New Roman"/>
          <w:sz w:val="24"/>
          <w:szCs w:val="24"/>
        </w:rPr>
        <w:t>3.1 Estimating sample size of Part 1, a randomized, controlled phase II clinical trial</w:t>
      </w:r>
      <w:bookmarkEnd w:id="7"/>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Part 1 is a randomized, parallel-group phase II clinical trial that is intended to assess whether or not erlotinib can improve the efficacy in patients with exon21 mutation compared to gefitinib.</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lastRenderedPageBreak/>
        <w:t>By using simple randomization and assuming that α=0.05, 1-β=0.8, the efficacy of gefitinib is 60%, the efficacy of erlotinib is enhanced by more than 15%, it is estimated to need 35 subjects per group to compare two independent proportions for a total of 70 subjects.</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8" w:name="_Toc437617687"/>
      <w:r w:rsidRPr="006C5975">
        <w:rPr>
          <w:rFonts w:ascii="Times New Roman" w:eastAsia="宋体" w:hAnsi="Times New Roman"/>
          <w:sz w:val="24"/>
          <w:szCs w:val="24"/>
        </w:rPr>
        <w:t>3.2 Estimating sample size of Part 2, a randomized, controlled phase III clinical trial</w:t>
      </w:r>
      <w:bookmarkEnd w:id="8"/>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Part 2 is a randomized, parallel-group phase III clinical trial that is intended to verify that erlotinib can prolong the progression-free survival (PFS) of patients with EGFR exon19 or exon 21 mutation.</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According to IPASS trial in 2009 and the data as described in “Screening for Epidermal Growth Factor Receptor Mutations in Lung Cancer” written by Rosell, it is assumed that the median PFS of EGFR mutation population who receives erlotinib and gefitinib are 9.5 months and 14.0 months, α=0.05, β=0.80, the duration of enrollment is 12 months, the duration of study is 48 months, the dropout rate is 5%, and both groups are randomized to enroll by 1:1, thus the sample size is estimated to be 254 subjects in total (127 subjects per group) by log rank tests using median survival time. Therein, patients with EGFR exon19 mutation are newly enrolled and those with EGFR exon21 mutation are enrolled during extension period of the phase II clinical trial.</w:t>
      </w:r>
    </w:p>
    <w:p w:rsidR="00080EB9" w:rsidRPr="006C5975" w:rsidRDefault="00080EB9" w:rsidP="006A5753">
      <w:pPr>
        <w:pStyle w:val="1"/>
        <w:spacing w:before="120" w:after="120" w:line="360" w:lineRule="auto"/>
        <w:ind w:left="726" w:hanging="726"/>
        <w:rPr>
          <w:sz w:val="24"/>
          <w:szCs w:val="24"/>
        </w:rPr>
      </w:pPr>
      <w:bookmarkStart w:id="9" w:name="_Toc437617688"/>
      <w:r w:rsidRPr="006C5975">
        <w:rPr>
          <w:sz w:val="24"/>
          <w:szCs w:val="24"/>
        </w:rPr>
        <w:t>4. Duration and Progress</w:t>
      </w:r>
      <w:bookmarkEnd w:id="9"/>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0" w:name="_Toc437617689"/>
      <w:r w:rsidRPr="006C5975">
        <w:rPr>
          <w:rFonts w:ascii="Times New Roman" w:eastAsia="宋体" w:hAnsi="Times New Roman"/>
          <w:sz w:val="24"/>
          <w:szCs w:val="24"/>
        </w:rPr>
        <w:t>4.1 Enrollment time</w:t>
      </w:r>
      <w:bookmarkEnd w:id="10"/>
    </w:p>
    <w:p w:rsidR="00080EB9" w:rsidRPr="006C5975" w:rsidRDefault="00080EB9" w:rsidP="00303C50">
      <w:pPr>
        <w:spacing w:line="360" w:lineRule="auto"/>
        <w:rPr>
          <w:rFonts w:ascii="Times New Roman" w:hAnsi="Times New Roman"/>
          <w:b/>
          <w:sz w:val="22"/>
          <w:szCs w:val="24"/>
        </w:rPr>
      </w:pPr>
      <w:r w:rsidRPr="006C5975">
        <w:rPr>
          <w:rFonts w:ascii="Times New Roman" w:hAnsi="Times New Roman"/>
          <w:b/>
          <w:sz w:val="22"/>
          <w:szCs w:val="24"/>
        </w:rPr>
        <w:t>Study progress</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Date when the first subject is expected to be enrolled: July 2009</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Date when the last subject is expected to complete: July 2012  </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1" w:name="_Toc437617690"/>
      <w:r w:rsidRPr="006C5975">
        <w:rPr>
          <w:rFonts w:ascii="Times New Roman" w:eastAsia="宋体" w:hAnsi="Times New Roman"/>
          <w:sz w:val="24"/>
          <w:szCs w:val="24"/>
        </w:rPr>
        <w:t>4.2 Follow-up time</w:t>
      </w:r>
      <w:bookmarkEnd w:id="11"/>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2 years</w:t>
      </w:r>
    </w:p>
    <w:p w:rsidR="00080EB9" w:rsidRPr="006C5975" w:rsidRDefault="00080EB9" w:rsidP="006A5753">
      <w:pPr>
        <w:pStyle w:val="1"/>
        <w:spacing w:before="120" w:after="120" w:line="360" w:lineRule="auto"/>
        <w:ind w:left="726" w:hanging="726"/>
        <w:rPr>
          <w:sz w:val="24"/>
          <w:szCs w:val="24"/>
        </w:rPr>
      </w:pPr>
      <w:bookmarkStart w:id="12" w:name="_Toc437617691"/>
      <w:r w:rsidRPr="006C5975">
        <w:rPr>
          <w:sz w:val="24"/>
          <w:szCs w:val="24"/>
        </w:rPr>
        <w:t>5. Selection of Subjects and Treatment of Noncompliance</w:t>
      </w:r>
      <w:bookmarkEnd w:id="12"/>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3" w:name="_Toc437617692"/>
      <w:r w:rsidRPr="006C5975">
        <w:rPr>
          <w:rFonts w:ascii="Times New Roman" w:eastAsia="宋体" w:hAnsi="Times New Roman"/>
          <w:sz w:val="24"/>
          <w:szCs w:val="24"/>
        </w:rPr>
        <w:t>5.1 Target population</w:t>
      </w:r>
      <w:bookmarkEnd w:id="13"/>
    </w:p>
    <w:p w:rsidR="00080EB9" w:rsidRPr="006C5975" w:rsidRDefault="00080EB9" w:rsidP="001D216C">
      <w:pPr>
        <w:spacing w:line="360" w:lineRule="auto"/>
        <w:jc w:val="left"/>
        <w:rPr>
          <w:rFonts w:ascii="Times New Roman" w:hAnsi="Times New Roman"/>
          <w:sz w:val="24"/>
          <w:szCs w:val="24"/>
        </w:rPr>
      </w:pPr>
      <w:r w:rsidRPr="006C5975">
        <w:rPr>
          <w:rFonts w:ascii="Times New Roman" w:hAnsi="Times New Roman"/>
          <w:sz w:val="22"/>
          <w:szCs w:val="24"/>
        </w:rPr>
        <w:t>Advanced NSCLC patients with EGFR exon19 or exon21 mutation.</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4" w:name="_Toc437617693"/>
      <w:r w:rsidRPr="006C5975">
        <w:rPr>
          <w:rFonts w:ascii="Times New Roman" w:eastAsia="宋体" w:hAnsi="Times New Roman"/>
          <w:sz w:val="24"/>
          <w:szCs w:val="24"/>
        </w:rPr>
        <w:t>5.2 Inclusion criteria</w:t>
      </w:r>
      <w:bookmarkEnd w:id="14"/>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Histologically or cytologically confirmed stage IIIB (wet) or IV NSCLC.</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Patients with positive EGFR exon19 or exon21 mutation as confirmed by direct sequencing histologically.</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lastRenderedPageBreak/>
        <w:t>Signing the informed consent form.</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The vital organ functions are tolerant to therapy.</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Have recovered to CTCAE2 grade below from toxicity of previous chemotherapy and radiotherapy</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PS 0-2 scores.</w:t>
      </w:r>
    </w:p>
    <w:p w:rsidR="00080EB9" w:rsidRPr="006C5975" w:rsidRDefault="00080EB9" w:rsidP="007A1704">
      <w:pPr>
        <w:pStyle w:val="ad"/>
        <w:numPr>
          <w:ilvl w:val="0"/>
          <w:numId w:val="25"/>
        </w:numPr>
        <w:spacing w:line="360" w:lineRule="auto"/>
        <w:ind w:left="720"/>
        <w:rPr>
          <w:rFonts w:ascii="Times New Roman" w:hAnsi="Times New Roman"/>
          <w:sz w:val="22"/>
        </w:rPr>
      </w:pPr>
      <w:r w:rsidRPr="006C5975">
        <w:rPr>
          <w:rFonts w:ascii="Times New Roman" w:hAnsi="Times New Roman"/>
          <w:sz w:val="22"/>
        </w:rPr>
        <w:t xml:space="preserve">Functional reserve of bone marrow is adequate, e.g. white blood cell count </w:t>
      </w:r>
      <w:r w:rsidRPr="006C5975">
        <w:rPr>
          <w:rFonts w:ascii="Times New Roman" w:hAnsi="Times New Roman"/>
          <w:color w:val="000000"/>
          <w:kern w:val="0"/>
          <w:sz w:val="22"/>
        </w:rPr>
        <w:t>≥3.0×10</w:t>
      </w:r>
      <w:r w:rsidRPr="006C5975">
        <w:rPr>
          <w:rFonts w:ascii="Times New Roman" w:hAnsi="Times New Roman"/>
          <w:color w:val="000000"/>
          <w:kern w:val="0"/>
          <w:sz w:val="22"/>
          <w:vertAlign w:val="superscript"/>
        </w:rPr>
        <w:t>9</w:t>
      </w:r>
      <w:r w:rsidRPr="006C5975">
        <w:rPr>
          <w:rFonts w:ascii="Times New Roman" w:hAnsi="Times New Roman"/>
          <w:color w:val="000000"/>
          <w:kern w:val="0"/>
          <w:sz w:val="22"/>
        </w:rPr>
        <w:t>/L, planet count ≥90×10</w:t>
      </w:r>
      <w:r w:rsidRPr="006C5975">
        <w:rPr>
          <w:rFonts w:ascii="Times New Roman" w:hAnsi="Times New Roman"/>
          <w:color w:val="000000"/>
          <w:kern w:val="0"/>
          <w:sz w:val="22"/>
          <w:vertAlign w:val="superscript"/>
        </w:rPr>
        <w:t>9</w:t>
      </w:r>
      <w:r w:rsidRPr="006C5975">
        <w:rPr>
          <w:rFonts w:ascii="Times New Roman" w:hAnsi="Times New Roman"/>
          <w:color w:val="000000"/>
          <w:kern w:val="0"/>
          <w:sz w:val="22"/>
        </w:rPr>
        <w:t>/L, and HB≥80×10</w:t>
      </w:r>
      <w:r w:rsidRPr="006C5975">
        <w:rPr>
          <w:rFonts w:ascii="Times New Roman" w:hAnsi="Times New Roman"/>
          <w:color w:val="000000"/>
          <w:kern w:val="0"/>
          <w:sz w:val="22"/>
          <w:vertAlign w:val="superscript"/>
        </w:rPr>
        <w:t>9</w:t>
      </w:r>
      <w:r w:rsidRPr="006C5975">
        <w:rPr>
          <w:rFonts w:ascii="Times New Roman" w:hAnsi="Times New Roman"/>
          <w:color w:val="000000"/>
          <w:kern w:val="0"/>
          <w:sz w:val="22"/>
        </w:rPr>
        <w:t>/L.</w:t>
      </w:r>
    </w:p>
    <w:p w:rsidR="00080EB9" w:rsidRPr="006C5975" w:rsidRDefault="00080EB9" w:rsidP="003450C4">
      <w:pPr>
        <w:pStyle w:val="ad"/>
        <w:numPr>
          <w:ilvl w:val="0"/>
          <w:numId w:val="25"/>
        </w:numPr>
        <w:spacing w:line="360" w:lineRule="auto"/>
        <w:ind w:left="720"/>
        <w:jc w:val="left"/>
        <w:rPr>
          <w:rFonts w:ascii="Times New Roman" w:hAnsi="Times New Roman"/>
          <w:color w:val="000000"/>
          <w:kern w:val="0"/>
          <w:sz w:val="22"/>
        </w:rPr>
      </w:pPr>
      <w:r w:rsidRPr="006C5975">
        <w:rPr>
          <w:rFonts w:ascii="Times New Roman" w:hAnsi="Times New Roman"/>
          <w:color w:val="000000"/>
          <w:kern w:val="0"/>
          <w:sz w:val="22"/>
        </w:rPr>
        <w:t>Serum bilirubin is 2 times less than the upper limit of normal (ULN), ALT and AST are 3 times less than ULN; for liver metastases, ALT and AST need to be 5 times less than ULN; creatinine should be 2 times less than ULN.</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5" w:name="_Toc437617694"/>
      <w:r w:rsidRPr="006C5975">
        <w:rPr>
          <w:rFonts w:ascii="Times New Roman" w:eastAsia="宋体" w:hAnsi="Times New Roman"/>
          <w:sz w:val="24"/>
          <w:szCs w:val="24"/>
        </w:rPr>
        <w:t>5.3 Exclusion criteria</w:t>
      </w:r>
      <w:bookmarkEnd w:id="15"/>
    </w:p>
    <w:p w:rsidR="00080EB9" w:rsidRPr="006C5975" w:rsidRDefault="00080EB9" w:rsidP="00712271">
      <w:pPr>
        <w:pStyle w:val="ad"/>
        <w:numPr>
          <w:ilvl w:val="0"/>
          <w:numId w:val="27"/>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Informed consent is not provided.</w:t>
      </w:r>
    </w:p>
    <w:p w:rsidR="00080EB9" w:rsidRPr="006C5975" w:rsidRDefault="00080EB9" w:rsidP="00712271">
      <w:pPr>
        <w:pStyle w:val="ad"/>
        <w:numPr>
          <w:ilvl w:val="0"/>
          <w:numId w:val="27"/>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Women of pregnancy or breastfeeding.</w:t>
      </w:r>
    </w:p>
    <w:p w:rsidR="00080EB9" w:rsidRPr="006C5975" w:rsidRDefault="00080EB9" w:rsidP="00712271">
      <w:pPr>
        <w:pStyle w:val="ad"/>
        <w:numPr>
          <w:ilvl w:val="0"/>
          <w:numId w:val="27"/>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Have difficulty in swallowing.</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16" w:name="_Toc437617695"/>
      <w:r w:rsidRPr="006C5975">
        <w:rPr>
          <w:rFonts w:ascii="Times New Roman" w:eastAsia="宋体" w:hAnsi="Times New Roman"/>
          <w:sz w:val="24"/>
          <w:szCs w:val="24"/>
        </w:rPr>
        <w:t>5.4 Drop-out criteria</w:t>
      </w:r>
      <w:bookmarkEnd w:id="16"/>
    </w:p>
    <w:p w:rsidR="00080EB9" w:rsidRPr="006C5975" w:rsidRDefault="00080EB9" w:rsidP="00712271">
      <w:pPr>
        <w:spacing w:line="360" w:lineRule="auto"/>
        <w:ind w:firstLine="360"/>
        <w:rPr>
          <w:rFonts w:ascii="Times New Roman" w:hAnsi="Times New Roman"/>
          <w:sz w:val="22"/>
          <w:szCs w:val="24"/>
        </w:rPr>
      </w:pPr>
      <w:bookmarkStart w:id="17" w:name="OLE_LINK12"/>
      <w:bookmarkStart w:id="18" w:name="OLE_LINK13"/>
      <w:r w:rsidRPr="006C5975">
        <w:rPr>
          <w:rFonts w:ascii="Times New Roman" w:hAnsi="Times New Roman"/>
          <w:sz w:val="22"/>
          <w:szCs w:val="24"/>
        </w:rPr>
        <w:t>In addition to the following conditions, the patients will persist to the end of study:</w:t>
      </w:r>
    </w:p>
    <w:p w:rsidR="00080EB9" w:rsidRPr="006C5975" w:rsidRDefault="00080EB9" w:rsidP="00712271">
      <w:pPr>
        <w:pStyle w:val="ad"/>
        <w:numPr>
          <w:ilvl w:val="0"/>
          <w:numId w:val="28"/>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Safety issues as determined by investigators.</w:t>
      </w:r>
    </w:p>
    <w:p w:rsidR="00080EB9" w:rsidRPr="006C5975" w:rsidRDefault="00080EB9" w:rsidP="00712271">
      <w:pPr>
        <w:pStyle w:val="ad"/>
        <w:numPr>
          <w:ilvl w:val="0"/>
          <w:numId w:val="28"/>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Serious noncompliance to the protocol as determined by investigators.</w:t>
      </w:r>
    </w:p>
    <w:p w:rsidR="00080EB9" w:rsidRPr="006C5975" w:rsidRDefault="00080EB9" w:rsidP="00712271">
      <w:pPr>
        <w:pStyle w:val="ad"/>
        <w:numPr>
          <w:ilvl w:val="0"/>
          <w:numId w:val="28"/>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 xml:space="preserve">Enrollment </w:t>
      </w:r>
      <w:bookmarkStart w:id="19" w:name="OLE_LINK14"/>
      <w:r w:rsidRPr="006C5975">
        <w:rPr>
          <w:rFonts w:ascii="Times New Roman" w:hAnsi="Times New Roman"/>
          <w:color w:val="000000"/>
          <w:kern w:val="0"/>
          <w:sz w:val="22"/>
        </w:rPr>
        <w:t>by mistakes</w:t>
      </w:r>
      <w:bookmarkEnd w:id="19"/>
      <w:r w:rsidRPr="006C5975">
        <w:rPr>
          <w:rFonts w:ascii="Times New Roman" w:hAnsi="Times New Roman"/>
          <w:color w:val="000000"/>
          <w:kern w:val="0"/>
          <w:sz w:val="22"/>
        </w:rPr>
        <w:t>.</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20" w:name="_Toc437617696"/>
      <w:bookmarkEnd w:id="17"/>
      <w:bookmarkEnd w:id="18"/>
      <w:r w:rsidRPr="006C5975">
        <w:rPr>
          <w:rFonts w:ascii="Times New Roman" w:eastAsia="宋体" w:hAnsi="Times New Roman"/>
          <w:sz w:val="24"/>
          <w:szCs w:val="24"/>
        </w:rPr>
        <w:t>5.5 Withdrawal criteria</w:t>
      </w:r>
      <w:bookmarkEnd w:id="20"/>
    </w:p>
    <w:p w:rsidR="00080EB9" w:rsidRPr="006C5975" w:rsidRDefault="00080EB9" w:rsidP="00712271">
      <w:pPr>
        <w:spacing w:line="360" w:lineRule="auto"/>
        <w:ind w:firstLine="360"/>
        <w:rPr>
          <w:rFonts w:ascii="Times New Roman" w:hAnsi="Times New Roman"/>
          <w:sz w:val="22"/>
          <w:szCs w:val="24"/>
        </w:rPr>
      </w:pPr>
      <w:r w:rsidRPr="006C5975">
        <w:rPr>
          <w:rFonts w:ascii="Times New Roman" w:hAnsi="Times New Roman"/>
          <w:sz w:val="22"/>
          <w:szCs w:val="24"/>
        </w:rPr>
        <w:t>The following withdrawal is caused by noncompliance and treatment-unrelated reasons:</w:t>
      </w:r>
    </w:p>
    <w:p w:rsidR="00080EB9" w:rsidRPr="006C5975" w:rsidRDefault="00080EB9" w:rsidP="006C5975">
      <w:pPr>
        <w:pStyle w:val="ad"/>
        <w:numPr>
          <w:ilvl w:val="0"/>
          <w:numId w:val="33"/>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The patients receive other treatments than this protocol during the study;</w:t>
      </w:r>
    </w:p>
    <w:p w:rsidR="00080EB9" w:rsidRPr="006C5975" w:rsidRDefault="00080EB9" w:rsidP="006C5975">
      <w:pPr>
        <w:pStyle w:val="ad"/>
        <w:numPr>
          <w:ilvl w:val="0"/>
          <w:numId w:val="33"/>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The patients request to withdraw from this trial during the study;</w:t>
      </w:r>
    </w:p>
    <w:p w:rsidR="00080EB9" w:rsidRPr="006C5975" w:rsidRDefault="00080EB9" w:rsidP="006C5975">
      <w:pPr>
        <w:pStyle w:val="ad"/>
        <w:numPr>
          <w:ilvl w:val="0"/>
          <w:numId w:val="33"/>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The patients cannot further receive this protocol due to concomitant non-neoplastic diseases.</w:t>
      </w:r>
    </w:p>
    <w:p w:rsidR="00080EB9" w:rsidRPr="006C5975" w:rsidRDefault="00080EB9" w:rsidP="006C5975">
      <w:pPr>
        <w:pStyle w:val="ad"/>
        <w:numPr>
          <w:ilvl w:val="0"/>
          <w:numId w:val="33"/>
        </w:numPr>
        <w:spacing w:line="360" w:lineRule="auto"/>
        <w:ind w:left="720"/>
        <w:rPr>
          <w:rFonts w:ascii="Times New Roman" w:hAnsi="Times New Roman"/>
          <w:color w:val="000000"/>
          <w:kern w:val="0"/>
          <w:sz w:val="22"/>
        </w:rPr>
      </w:pPr>
      <w:r w:rsidRPr="006C5975">
        <w:rPr>
          <w:rFonts w:ascii="Times New Roman" w:hAnsi="Times New Roman"/>
          <w:color w:val="000000"/>
          <w:kern w:val="0"/>
          <w:sz w:val="22"/>
        </w:rPr>
        <w:t xml:space="preserve">Disease progression.  </w:t>
      </w:r>
    </w:p>
    <w:p w:rsidR="00080EB9" w:rsidRPr="006C5975" w:rsidRDefault="00080EB9" w:rsidP="00712271">
      <w:pPr>
        <w:pStyle w:val="2"/>
        <w:spacing w:before="0" w:after="0" w:line="360" w:lineRule="auto"/>
        <w:rPr>
          <w:rFonts w:ascii="Times New Roman" w:eastAsia="宋体" w:hAnsi="Times New Roman"/>
          <w:sz w:val="24"/>
          <w:szCs w:val="24"/>
        </w:rPr>
      </w:pPr>
      <w:bookmarkStart w:id="21" w:name="_Toc437617697"/>
      <w:r w:rsidRPr="006C5975">
        <w:rPr>
          <w:rFonts w:ascii="Times New Roman" w:eastAsia="宋体" w:hAnsi="Times New Roman"/>
          <w:sz w:val="24"/>
          <w:szCs w:val="24"/>
        </w:rPr>
        <w:t>5.6 Treatment of noncompliance and dropouts</w:t>
      </w:r>
      <w:bookmarkEnd w:id="21"/>
    </w:p>
    <w:p w:rsidR="00080EB9" w:rsidRPr="006C5975" w:rsidRDefault="00080EB9" w:rsidP="001D216C">
      <w:pPr>
        <w:spacing w:line="360" w:lineRule="auto"/>
        <w:jc w:val="left"/>
        <w:rPr>
          <w:rFonts w:ascii="Times New Roman" w:hAnsi="Times New Roman"/>
          <w:sz w:val="22"/>
          <w:szCs w:val="24"/>
        </w:rPr>
      </w:pPr>
      <w:r w:rsidRPr="006C5975">
        <w:rPr>
          <w:rFonts w:ascii="Times New Roman" w:hAnsi="Times New Roman"/>
          <w:sz w:val="22"/>
          <w:szCs w:val="24"/>
        </w:rPr>
        <w:t>Non-compliance and dropouts need to be followed up and reflected according to the principle of “intention-to treat (ITT)” in statistical analysis.</w:t>
      </w:r>
    </w:p>
    <w:p w:rsidR="00080EB9" w:rsidRPr="006C5975" w:rsidRDefault="00080EB9" w:rsidP="00390559">
      <w:pPr>
        <w:pStyle w:val="1"/>
        <w:spacing w:before="0" w:after="0" w:line="360" w:lineRule="auto"/>
        <w:ind w:left="602" w:hangingChars="250" w:hanging="602"/>
        <w:rPr>
          <w:sz w:val="24"/>
          <w:szCs w:val="24"/>
        </w:rPr>
      </w:pPr>
      <w:bookmarkStart w:id="22" w:name="_Toc437617698"/>
      <w:r w:rsidRPr="006C5975">
        <w:rPr>
          <w:sz w:val="24"/>
          <w:szCs w:val="24"/>
        </w:rPr>
        <w:lastRenderedPageBreak/>
        <w:t>6. Endpoints</w:t>
      </w:r>
      <w:bookmarkEnd w:id="22"/>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23" w:name="_Toc437617699"/>
      <w:r w:rsidRPr="006C5975">
        <w:rPr>
          <w:rFonts w:ascii="Times New Roman" w:eastAsia="宋体" w:hAnsi="Times New Roman"/>
          <w:sz w:val="24"/>
          <w:szCs w:val="24"/>
        </w:rPr>
        <w:t>6.1 Primary endpoints</w:t>
      </w:r>
      <w:bookmarkEnd w:id="23"/>
    </w:p>
    <w:p w:rsidR="00080EB9" w:rsidRPr="006C5975" w:rsidRDefault="00080EB9" w:rsidP="00FB16EF">
      <w:pPr>
        <w:spacing w:line="360" w:lineRule="auto"/>
        <w:ind w:firstLine="360"/>
        <w:rPr>
          <w:rFonts w:ascii="Times New Roman" w:hAnsi="Times New Roman"/>
          <w:sz w:val="22"/>
          <w:szCs w:val="24"/>
        </w:rPr>
      </w:pPr>
      <w:r w:rsidRPr="006C5975">
        <w:rPr>
          <w:rFonts w:ascii="Times New Roman" w:hAnsi="Times New Roman"/>
          <w:sz w:val="22"/>
          <w:szCs w:val="24"/>
        </w:rPr>
        <w:t>Remission rate and the time of PFS</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24" w:name="_Toc437617700"/>
      <w:r w:rsidRPr="006C5975">
        <w:rPr>
          <w:rFonts w:ascii="Times New Roman" w:eastAsia="宋体" w:hAnsi="Times New Roman"/>
          <w:sz w:val="24"/>
          <w:szCs w:val="24"/>
        </w:rPr>
        <w:t>6.2 Secondary endpoints</w:t>
      </w:r>
      <w:bookmarkEnd w:id="24"/>
    </w:p>
    <w:p w:rsidR="00080EB9" w:rsidRPr="006C5975" w:rsidRDefault="00080EB9" w:rsidP="00FB16EF">
      <w:pPr>
        <w:spacing w:line="360" w:lineRule="auto"/>
        <w:ind w:firstLine="360"/>
        <w:rPr>
          <w:rFonts w:ascii="Times New Roman" w:hAnsi="Times New Roman"/>
          <w:sz w:val="22"/>
          <w:szCs w:val="24"/>
        </w:rPr>
      </w:pPr>
      <w:r w:rsidRPr="006C5975">
        <w:rPr>
          <w:rFonts w:ascii="Times New Roman" w:hAnsi="Times New Roman"/>
          <w:sz w:val="22"/>
          <w:szCs w:val="24"/>
        </w:rPr>
        <w:t>1. Time of OS</w:t>
      </w:r>
    </w:p>
    <w:p w:rsidR="00080EB9" w:rsidRPr="006C5975" w:rsidRDefault="00080EB9" w:rsidP="00FB16EF">
      <w:pPr>
        <w:spacing w:line="360" w:lineRule="auto"/>
        <w:ind w:firstLine="360"/>
        <w:rPr>
          <w:rFonts w:ascii="Times New Roman" w:hAnsi="Times New Roman"/>
          <w:sz w:val="22"/>
          <w:szCs w:val="24"/>
        </w:rPr>
      </w:pPr>
      <w:r w:rsidRPr="006C5975">
        <w:rPr>
          <w:rFonts w:ascii="Times New Roman" w:hAnsi="Times New Roman"/>
          <w:sz w:val="22"/>
          <w:szCs w:val="24"/>
        </w:rPr>
        <w:t>2. Occurrence of respective adverse events</w:t>
      </w:r>
    </w:p>
    <w:p w:rsidR="00080EB9" w:rsidRPr="006C5975" w:rsidRDefault="00080EB9" w:rsidP="00FB16EF">
      <w:pPr>
        <w:spacing w:line="360" w:lineRule="auto"/>
        <w:ind w:firstLine="360"/>
        <w:rPr>
          <w:rFonts w:ascii="Times New Roman" w:hAnsi="Times New Roman"/>
          <w:sz w:val="22"/>
          <w:szCs w:val="24"/>
        </w:rPr>
      </w:pPr>
      <w:r w:rsidRPr="006C5975">
        <w:rPr>
          <w:rFonts w:ascii="Times New Roman" w:hAnsi="Times New Roman"/>
          <w:sz w:val="22"/>
          <w:szCs w:val="24"/>
        </w:rPr>
        <w:t>3. Cost-effectiveness analysis</w:t>
      </w:r>
    </w:p>
    <w:p w:rsidR="009170E2" w:rsidRPr="001578F4" w:rsidRDefault="009170E2">
      <w:pPr>
        <w:pStyle w:val="2"/>
        <w:rPr>
          <w:sz w:val="24"/>
          <w:szCs w:val="24"/>
        </w:rPr>
      </w:pPr>
      <w:bookmarkStart w:id="25" w:name="_Toc437617701"/>
      <w:bookmarkStart w:id="26" w:name="_Toc234212352"/>
      <w:r w:rsidRPr="001578F4">
        <w:rPr>
          <w:rFonts w:hint="eastAsia"/>
          <w:sz w:val="24"/>
          <w:szCs w:val="24"/>
        </w:rPr>
        <w:t>6.3 Exploration endpoints</w:t>
      </w:r>
      <w:bookmarkEnd w:id="25"/>
    </w:p>
    <w:p w:rsidR="009170E2" w:rsidRPr="001578F4" w:rsidRDefault="009170E2" w:rsidP="009170E2">
      <w:r w:rsidRPr="001578F4">
        <w:rPr>
          <w:rFonts w:hint="eastAsia"/>
        </w:rPr>
        <w:t xml:space="preserve">    For patients who are will</w:t>
      </w:r>
      <w:r w:rsidR="00375967" w:rsidRPr="001578F4">
        <w:rPr>
          <w:rFonts w:hint="eastAsia"/>
        </w:rPr>
        <w:t>ing</w:t>
      </w:r>
      <w:r w:rsidRPr="001578F4">
        <w:rPr>
          <w:rFonts w:hint="eastAsia"/>
        </w:rPr>
        <w:t xml:space="preserve"> to provide their blood during treatment </w:t>
      </w:r>
      <w:r w:rsidR="00083B32" w:rsidRPr="001578F4">
        <w:rPr>
          <w:rFonts w:hint="eastAsia"/>
        </w:rPr>
        <w:t xml:space="preserve">until disease progression </w:t>
      </w:r>
      <w:r w:rsidRPr="001578F4">
        <w:rPr>
          <w:rFonts w:hint="eastAsia"/>
        </w:rPr>
        <w:t>and/</w:t>
      </w:r>
      <w:r w:rsidR="00083B32" w:rsidRPr="001578F4">
        <w:rPr>
          <w:rFonts w:hint="eastAsia"/>
        </w:rPr>
        <w:t>or tumor samples at the time of disease progression</w:t>
      </w:r>
      <w:r w:rsidRPr="001578F4">
        <w:rPr>
          <w:rFonts w:hint="eastAsia"/>
        </w:rPr>
        <w:t>, we will detect biomarker</w:t>
      </w:r>
      <w:r w:rsidR="00083B32" w:rsidRPr="001578F4">
        <w:rPr>
          <w:rFonts w:hint="eastAsia"/>
        </w:rPr>
        <w:t>s</w:t>
      </w:r>
      <w:r w:rsidRPr="001578F4">
        <w:rPr>
          <w:rFonts w:hint="eastAsia"/>
        </w:rPr>
        <w:t xml:space="preserve"> </w:t>
      </w:r>
      <w:r w:rsidRPr="001578F4">
        <w:t>correlated</w:t>
      </w:r>
      <w:r w:rsidRPr="001578F4">
        <w:rPr>
          <w:rFonts w:hint="eastAsia"/>
        </w:rPr>
        <w:t xml:space="preserve"> </w:t>
      </w:r>
      <w:r w:rsidRPr="001578F4">
        <w:t>with</w:t>
      </w:r>
      <w:r w:rsidRPr="001578F4">
        <w:rPr>
          <w:rFonts w:hint="eastAsia"/>
        </w:rPr>
        <w:t xml:space="preserve"> EGFR </w:t>
      </w:r>
      <w:r w:rsidR="00083B32" w:rsidRPr="001578F4">
        <w:rPr>
          <w:rFonts w:hint="eastAsia"/>
        </w:rPr>
        <w:t xml:space="preserve">pathway </w:t>
      </w:r>
      <w:r w:rsidRPr="001578F4">
        <w:rPr>
          <w:rFonts w:hint="eastAsia"/>
        </w:rPr>
        <w:t>in plasma and/or tumor samples and monitor the dynamic change</w:t>
      </w:r>
      <w:r w:rsidR="00083B32" w:rsidRPr="001578F4">
        <w:rPr>
          <w:rFonts w:hint="eastAsia"/>
        </w:rPr>
        <w:t>s</w:t>
      </w:r>
      <w:r w:rsidRPr="001578F4">
        <w:rPr>
          <w:rFonts w:hint="eastAsia"/>
        </w:rPr>
        <w:t xml:space="preserve"> in EGFR mutation</w:t>
      </w:r>
      <w:r w:rsidR="00083B32" w:rsidRPr="001578F4">
        <w:rPr>
          <w:rFonts w:hint="eastAsia"/>
        </w:rPr>
        <w:t>s</w:t>
      </w:r>
      <w:r w:rsidRPr="001578F4">
        <w:rPr>
          <w:rFonts w:hint="eastAsia"/>
        </w:rPr>
        <w:t xml:space="preserve">. </w:t>
      </w:r>
    </w:p>
    <w:p w:rsidR="00080EB9" w:rsidRPr="001578F4" w:rsidRDefault="00080EB9" w:rsidP="009170E2">
      <w:pPr>
        <w:pStyle w:val="1"/>
        <w:spacing w:after="0" w:line="360" w:lineRule="auto"/>
        <w:ind w:left="602" w:hangingChars="250" w:hanging="602"/>
        <w:rPr>
          <w:sz w:val="24"/>
          <w:szCs w:val="24"/>
        </w:rPr>
      </w:pPr>
      <w:bookmarkStart w:id="27" w:name="_Toc437617702"/>
      <w:r w:rsidRPr="001578F4">
        <w:rPr>
          <w:sz w:val="24"/>
          <w:szCs w:val="24"/>
        </w:rPr>
        <w:t xml:space="preserve">7. </w:t>
      </w:r>
      <w:bookmarkEnd w:id="26"/>
      <w:r w:rsidRPr="001578F4">
        <w:rPr>
          <w:sz w:val="24"/>
          <w:szCs w:val="24"/>
        </w:rPr>
        <w:t>Study Procedure</w:t>
      </w:r>
      <w:bookmarkEnd w:id="27"/>
    </w:p>
    <w:p w:rsidR="00080EB9" w:rsidRPr="001578F4" w:rsidRDefault="00080EB9" w:rsidP="00D35889">
      <w:pPr>
        <w:spacing w:line="360" w:lineRule="auto"/>
        <w:jc w:val="left"/>
        <w:rPr>
          <w:rFonts w:ascii="Times New Roman" w:hAnsi="Times New Roman"/>
          <w:sz w:val="22"/>
          <w:szCs w:val="24"/>
        </w:rPr>
      </w:pPr>
      <w:r w:rsidRPr="001578F4">
        <w:rPr>
          <w:rFonts w:ascii="Times New Roman" w:hAnsi="Times New Roman"/>
          <w:sz w:val="22"/>
          <w:szCs w:val="24"/>
        </w:rPr>
        <w:t>The physician in charge of screening should verify whether the patients are eligible before applying for enrollment. The patient will not participate in this trial if any of inclusion criteria is incompetent or any of exclusion criteria is conformed. Once participating in this study, the patient ID will be the unique identifier.</w:t>
      </w:r>
    </w:p>
    <w:p w:rsidR="00080EB9" w:rsidRPr="001578F4" w:rsidRDefault="00080EB9" w:rsidP="003450C4">
      <w:pPr>
        <w:spacing w:line="360" w:lineRule="auto"/>
        <w:rPr>
          <w:rFonts w:ascii="Times New Roman" w:hAnsi="Times New Roman"/>
          <w:b/>
          <w:sz w:val="22"/>
          <w:szCs w:val="24"/>
        </w:rPr>
      </w:pPr>
      <w:r w:rsidRPr="001578F4">
        <w:rPr>
          <w:rFonts w:ascii="Times New Roman" w:hAnsi="Times New Roman"/>
          <w:b/>
          <w:sz w:val="22"/>
          <w:szCs w:val="24"/>
        </w:rPr>
        <w:t>Evaluation Schedule</w:t>
      </w: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416"/>
        <w:gridCol w:w="509"/>
        <w:gridCol w:w="693"/>
        <w:gridCol w:w="693"/>
        <w:gridCol w:w="697"/>
        <w:gridCol w:w="697"/>
        <w:gridCol w:w="889"/>
        <w:gridCol w:w="1409"/>
        <w:gridCol w:w="1004"/>
      </w:tblGrid>
      <w:tr w:rsidR="00080EB9" w:rsidRPr="001578F4" w:rsidTr="00375967">
        <w:trPr>
          <w:trHeight w:val="990"/>
        </w:trPr>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Follow-up period</w:t>
            </w:r>
          </w:p>
        </w:tc>
        <w:tc>
          <w:tcPr>
            <w:tcW w:w="491" w:type="pct"/>
            <w:gridSpan w:val="2"/>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Screening</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Visit1</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Visit2</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Visit3</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Visit4</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Visit5, 6</w:t>
            </w:r>
            <w:r w:rsidRPr="001578F4">
              <w:rPr>
                <w:rFonts w:ascii="Times New Roman" w:hAnsi="Times New Roman"/>
                <w:sz w:val="20"/>
                <w:szCs w:val="20"/>
                <w:vertAlign w:val="superscript"/>
              </w:rPr>
              <w:t>e</w:t>
            </w:r>
            <w:r w:rsidRPr="001578F4">
              <w:rPr>
                <w:rFonts w:ascii="Times New Roman" w:hAnsi="Times New Roman"/>
                <w:sz w:val="20"/>
                <w:szCs w:val="20"/>
              </w:rPr>
              <w:t>…</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Visit50</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Visit51</w:t>
            </w:r>
            <w:r w:rsidRPr="001578F4">
              <w:rPr>
                <w:rFonts w:ascii="Times New Roman" w:hAnsi="Times New Roman" w:hint="eastAsia"/>
                <w:sz w:val="20"/>
                <w:szCs w:val="20"/>
              </w:rPr>
              <w:t>、</w:t>
            </w:r>
            <w:r w:rsidRPr="001578F4">
              <w:rPr>
                <w:rFonts w:ascii="Times New Roman" w:hAnsi="Times New Roman"/>
                <w:sz w:val="20"/>
                <w:szCs w:val="20"/>
              </w:rPr>
              <w:t>52</w:t>
            </w: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Days</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-21</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-14</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1</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7 days</w:t>
            </w:r>
          </w:p>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37 days</w:t>
            </w:r>
          </w:p>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97 days</w:t>
            </w:r>
          </w:p>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 xml:space="preserve">Every </w:t>
            </w:r>
            <w:r w:rsidR="000075C0" w:rsidRPr="001578F4">
              <w:rPr>
                <w:rFonts w:ascii="Times New Roman" w:hAnsi="Times New Roman" w:hint="eastAsia"/>
                <w:sz w:val="20"/>
                <w:szCs w:val="20"/>
              </w:rPr>
              <w:t>2</w:t>
            </w:r>
            <w:r w:rsidRPr="001578F4">
              <w:rPr>
                <w:rFonts w:ascii="Times New Roman" w:hAnsi="Times New Roman"/>
                <w:sz w:val="20"/>
                <w:szCs w:val="20"/>
              </w:rPr>
              <w:t xml:space="preserve"> months post V4</w:t>
            </w:r>
          </w:p>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30days after discontinuation</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Times New Roman" w:hAnsi="Times New Roman"/>
                <w:sz w:val="20"/>
                <w:szCs w:val="20"/>
              </w:rPr>
              <w:t>Every 60 days (±3)</w:t>
            </w: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Informed consent</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472" w:type="pct"/>
          </w:tcPr>
          <w:p w:rsidR="00080EB9" w:rsidRPr="001578F4" w:rsidRDefault="00080EB9" w:rsidP="00390559">
            <w:pPr>
              <w:ind w:leftChars="-25" w:left="-53" w:rightChars="-25" w:right="-53"/>
              <w:jc w:val="center"/>
              <w:rPr>
                <w:rFonts w:ascii="Times New Roman" w:hAnsi="Times New Roman"/>
                <w:sz w:val="20"/>
                <w:szCs w:val="20"/>
              </w:rPr>
            </w:pP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 xml:space="preserve">Medical and surgical history </w:t>
            </w:r>
            <w:r w:rsidRPr="001578F4">
              <w:rPr>
                <w:rFonts w:ascii="Times New Roman" w:hAnsi="Times New Roman"/>
                <w:sz w:val="20"/>
                <w:szCs w:val="20"/>
                <w:vertAlign w:val="superscript"/>
              </w:rPr>
              <w:t>a</w:t>
            </w:r>
            <w:r w:rsidRPr="001578F4">
              <w:rPr>
                <w:rFonts w:ascii="Times New Roman" w:hAnsi="Times New Roman"/>
                <w:sz w:val="20"/>
                <w:szCs w:val="20"/>
              </w:rPr>
              <w:t xml:space="preserve">/smoking history/ demographics/gene test </w:t>
            </w:r>
            <w:r w:rsidRPr="001578F4">
              <w:rPr>
                <w:rFonts w:ascii="Times New Roman" w:hAnsi="Times New Roman"/>
                <w:sz w:val="20"/>
                <w:szCs w:val="20"/>
                <w:vertAlign w:val="superscript"/>
              </w:rPr>
              <w:t>a</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472" w:type="pct"/>
          </w:tcPr>
          <w:p w:rsidR="00080EB9" w:rsidRPr="001578F4" w:rsidRDefault="00080EB9" w:rsidP="00390559">
            <w:pPr>
              <w:ind w:leftChars="-25" w:left="-53" w:rightChars="-25" w:right="-53"/>
              <w:jc w:val="center"/>
              <w:rPr>
                <w:rFonts w:ascii="Times New Roman" w:hAnsi="Times New Roman"/>
                <w:sz w:val="20"/>
                <w:szCs w:val="20"/>
              </w:rPr>
            </w:pP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rPr>
          <w:trHeight w:val="93"/>
        </w:trPr>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Physical examination/functional status/vital sign/height and weight</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p>
        </w:tc>
        <w:tc>
          <w:tcPr>
            <w:tcW w:w="2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 xml:space="preserve">Blood examination such as </w:t>
            </w:r>
            <w:r w:rsidRPr="001578F4">
              <w:rPr>
                <w:rFonts w:ascii="Times New Roman" w:hAnsi="Times New Roman"/>
                <w:sz w:val="20"/>
                <w:szCs w:val="20"/>
              </w:rPr>
              <w:lastRenderedPageBreak/>
              <w:t xml:space="preserve">blood routine test and biochemistry test </w:t>
            </w:r>
            <w:r w:rsidRPr="001578F4">
              <w:rPr>
                <w:rFonts w:ascii="Times New Roman" w:hAnsi="Times New Roman"/>
                <w:sz w:val="20"/>
                <w:szCs w:val="20"/>
                <w:vertAlign w:val="superscript"/>
              </w:rPr>
              <w:t xml:space="preserve"> b</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p>
        </w:tc>
        <w:tc>
          <w:tcPr>
            <w:tcW w:w="2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rPr>
          <w:trHeight w:val="90"/>
        </w:trPr>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lastRenderedPageBreak/>
              <w:t xml:space="preserve">Pregnancy test (urine or blood) </w:t>
            </w:r>
            <w:r w:rsidRPr="001578F4">
              <w:rPr>
                <w:rFonts w:ascii="Times New Roman" w:hAnsi="Times New Roman"/>
                <w:sz w:val="20"/>
                <w:szCs w:val="20"/>
                <w:vertAlign w:val="superscript"/>
              </w:rPr>
              <w:t>c</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p>
        </w:tc>
        <w:tc>
          <w:tcPr>
            <w:tcW w:w="2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472" w:type="pct"/>
          </w:tcPr>
          <w:p w:rsidR="00080EB9" w:rsidRPr="001578F4" w:rsidRDefault="00080EB9" w:rsidP="00390559">
            <w:pPr>
              <w:ind w:leftChars="-25" w:left="-53" w:rightChars="-25" w:right="-53"/>
              <w:jc w:val="center"/>
              <w:rPr>
                <w:rFonts w:ascii="Times New Roman" w:hAnsi="Times New Roman"/>
                <w:sz w:val="20"/>
                <w:szCs w:val="20"/>
              </w:rPr>
            </w:pP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Del="00B20B56"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Chest X-ray</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472" w:type="pct"/>
          </w:tcPr>
          <w:p w:rsidR="00080EB9" w:rsidRPr="001578F4" w:rsidRDefault="00080EB9" w:rsidP="00390559">
            <w:pPr>
              <w:ind w:leftChars="-25" w:left="-53" w:rightChars="-25" w:right="-53"/>
              <w:jc w:val="center"/>
              <w:rPr>
                <w:rFonts w:ascii="Times New Roman" w:hAnsi="Times New Roman"/>
                <w:sz w:val="20"/>
                <w:szCs w:val="20"/>
              </w:rPr>
            </w:pP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 xml:space="preserve">CT-enhanced scan </w:t>
            </w:r>
            <w:r w:rsidRPr="001578F4">
              <w:rPr>
                <w:rFonts w:ascii="Times New Roman" w:hAnsi="Times New Roman"/>
                <w:sz w:val="20"/>
                <w:szCs w:val="20"/>
                <w:vertAlign w:val="superscript"/>
              </w:rPr>
              <w:t>d</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Erlotinib/Gefitinib</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 xml:space="preserve">Adverse reactions/adverse events/concomitant medicines </w:t>
            </w:r>
            <w:r w:rsidRPr="001578F4">
              <w:rPr>
                <w:rFonts w:ascii="Times New Roman" w:hAnsi="Times New Roman"/>
                <w:sz w:val="20"/>
                <w:szCs w:val="20"/>
                <w:vertAlign w:val="superscript"/>
              </w:rPr>
              <w:t>d</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472"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p>
        </w:tc>
      </w:tr>
      <w:tr w:rsidR="00080EB9" w:rsidRPr="001578F4" w:rsidTr="00375967">
        <w:tc>
          <w:tcPr>
            <w:tcW w:w="1280" w:type="pct"/>
          </w:tcPr>
          <w:p w:rsidR="00080EB9" w:rsidRPr="001578F4" w:rsidRDefault="00080EB9" w:rsidP="00390559">
            <w:pPr>
              <w:ind w:leftChars="-25" w:left="-53" w:rightChars="-25" w:right="-53"/>
              <w:jc w:val="left"/>
              <w:rPr>
                <w:rFonts w:ascii="Times New Roman" w:hAnsi="Times New Roman"/>
                <w:sz w:val="20"/>
                <w:szCs w:val="20"/>
              </w:rPr>
            </w:pPr>
            <w:r w:rsidRPr="001578F4">
              <w:rPr>
                <w:rFonts w:ascii="Times New Roman" w:hAnsi="Times New Roman"/>
                <w:sz w:val="20"/>
                <w:szCs w:val="20"/>
              </w:rPr>
              <w:t>Relapse/survival data and anti-tumor therapy</w:t>
            </w:r>
          </w:p>
        </w:tc>
        <w:tc>
          <w:tcPr>
            <w:tcW w:w="221" w:type="pct"/>
          </w:tcPr>
          <w:p w:rsidR="00080EB9" w:rsidRPr="001578F4" w:rsidRDefault="00080EB9" w:rsidP="00390559">
            <w:pPr>
              <w:ind w:leftChars="-25" w:left="-53" w:rightChars="-25" w:right="-53"/>
              <w:jc w:val="center"/>
              <w:rPr>
                <w:rFonts w:ascii="Times New Roman" w:hAnsi="Times New Roman"/>
                <w:sz w:val="20"/>
                <w:szCs w:val="20"/>
              </w:rPr>
            </w:pPr>
          </w:p>
        </w:tc>
        <w:tc>
          <w:tcPr>
            <w:tcW w:w="270"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68"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370" w:type="pct"/>
          </w:tcPr>
          <w:p w:rsidR="00080EB9" w:rsidRPr="001578F4" w:rsidRDefault="00080EB9" w:rsidP="00390559">
            <w:pPr>
              <w:ind w:leftChars="-25" w:left="-53" w:rightChars="-25" w:right="-53"/>
              <w:jc w:val="center"/>
              <w:rPr>
                <w:rFonts w:ascii="Times New Roman" w:hAnsi="Times New Roman"/>
                <w:sz w:val="20"/>
                <w:szCs w:val="20"/>
              </w:rPr>
            </w:pPr>
          </w:p>
        </w:tc>
        <w:tc>
          <w:tcPr>
            <w:tcW w:w="472" w:type="pct"/>
          </w:tcPr>
          <w:p w:rsidR="00080EB9" w:rsidRPr="001578F4" w:rsidRDefault="00080EB9" w:rsidP="00390559">
            <w:pPr>
              <w:ind w:leftChars="-25" w:left="-53" w:rightChars="-25" w:right="-53"/>
              <w:jc w:val="center"/>
              <w:rPr>
                <w:rFonts w:ascii="Times New Roman" w:hAnsi="Times New Roman"/>
                <w:sz w:val="20"/>
                <w:szCs w:val="20"/>
              </w:rPr>
            </w:pPr>
          </w:p>
        </w:tc>
        <w:tc>
          <w:tcPr>
            <w:tcW w:w="748"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534" w:type="pct"/>
          </w:tcPr>
          <w:p w:rsidR="00080EB9" w:rsidRPr="001578F4" w:rsidRDefault="00080EB9"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r>
      <w:tr w:rsidR="009170E2" w:rsidRPr="001578F4" w:rsidTr="00375967">
        <w:tc>
          <w:tcPr>
            <w:tcW w:w="1280" w:type="pct"/>
          </w:tcPr>
          <w:p w:rsidR="009170E2" w:rsidRPr="001578F4" w:rsidRDefault="009170E2" w:rsidP="00390559">
            <w:pPr>
              <w:ind w:leftChars="-25" w:left="-53" w:rightChars="-25" w:right="-53"/>
              <w:jc w:val="left"/>
              <w:rPr>
                <w:rFonts w:ascii="Times New Roman" w:hAnsi="Times New Roman"/>
                <w:sz w:val="20"/>
                <w:szCs w:val="20"/>
              </w:rPr>
            </w:pPr>
            <w:r w:rsidRPr="001578F4">
              <w:rPr>
                <w:rFonts w:ascii="Times New Roman" w:hAnsi="Times New Roman" w:hint="eastAsia"/>
                <w:sz w:val="20"/>
                <w:szCs w:val="20"/>
              </w:rPr>
              <w:t xml:space="preserve">Blood samples </w:t>
            </w:r>
            <w:r w:rsidR="00375967" w:rsidRPr="001578F4">
              <w:rPr>
                <w:rFonts w:ascii="Times New Roman" w:hAnsi="Times New Roman"/>
                <w:sz w:val="20"/>
                <w:szCs w:val="20"/>
              </w:rPr>
              <w:t>collection</w:t>
            </w:r>
            <w:r w:rsidR="00375967" w:rsidRPr="001578F4">
              <w:rPr>
                <w:rFonts w:ascii="Times New Roman" w:hAnsi="Times New Roman" w:hint="eastAsia"/>
                <w:sz w:val="20"/>
                <w:szCs w:val="20"/>
                <w:vertAlign w:val="superscript"/>
              </w:rPr>
              <w:t>h</w:t>
            </w:r>
          </w:p>
        </w:tc>
        <w:tc>
          <w:tcPr>
            <w:tcW w:w="221" w:type="pct"/>
          </w:tcPr>
          <w:p w:rsidR="009170E2" w:rsidRPr="001578F4" w:rsidRDefault="009170E2" w:rsidP="00390559">
            <w:pPr>
              <w:ind w:leftChars="-25" w:left="-53" w:rightChars="-25" w:right="-53"/>
              <w:jc w:val="center"/>
              <w:rPr>
                <w:rFonts w:ascii="Times New Roman" w:hAnsi="Times New Roman"/>
                <w:sz w:val="20"/>
                <w:szCs w:val="20"/>
              </w:rPr>
            </w:pPr>
          </w:p>
        </w:tc>
        <w:tc>
          <w:tcPr>
            <w:tcW w:w="270" w:type="pct"/>
          </w:tcPr>
          <w:p w:rsidR="009170E2" w:rsidRPr="001578F4" w:rsidRDefault="009170E2" w:rsidP="00390559">
            <w:pPr>
              <w:ind w:leftChars="-25" w:left="-53" w:rightChars="-25" w:right="-53"/>
              <w:jc w:val="center"/>
              <w:rPr>
                <w:rFonts w:ascii="Times New Roman" w:hAnsi="Times New Roman"/>
                <w:sz w:val="20"/>
                <w:szCs w:val="20"/>
              </w:rPr>
            </w:pPr>
          </w:p>
        </w:tc>
        <w:tc>
          <w:tcPr>
            <w:tcW w:w="368" w:type="pct"/>
          </w:tcPr>
          <w:p w:rsidR="009170E2" w:rsidRPr="001578F4" w:rsidRDefault="009170E2"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68" w:type="pct"/>
          </w:tcPr>
          <w:p w:rsidR="009170E2" w:rsidRPr="001578F4" w:rsidRDefault="009170E2"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9170E2" w:rsidRPr="001578F4" w:rsidRDefault="009170E2" w:rsidP="00390559">
            <w:pPr>
              <w:ind w:leftChars="-25" w:left="-53" w:rightChars="-25" w:right="-53"/>
              <w:jc w:val="center"/>
              <w:rPr>
                <w:rFonts w:ascii="Times New Roman" w:hAnsi="Times New Roman"/>
                <w:sz w:val="20"/>
                <w:szCs w:val="20"/>
              </w:rPr>
            </w:pPr>
            <w:r w:rsidRPr="001578F4">
              <w:rPr>
                <w:rFonts w:ascii="宋体" w:hAnsi="宋体" w:cs="宋体" w:hint="eastAsia"/>
                <w:sz w:val="20"/>
                <w:szCs w:val="20"/>
              </w:rPr>
              <w:t>Ⅹ</w:t>
            </w:r>
          </w:p>
        </w:tc>
        <w:tc>
          <w:tcPr>
            <w:tcW w:w="370" w:type="pct"/>
          </w:tcPr>
          <w:p w:rsidR="009170E2" w:rsidRPr="001578F4" w:rsidRDefault="009170E2" w:rsidP="00390559">
            <w:pPr>
              <w:ind w:leftChars="-25" w:left="-53" w:rightChars="-25" w:right="-53"/>
              <w:jc w:val="center"/>
              <w:rPr>
                <w:rFonts w:ascii="Times New Roman" w:hAnsi="Times New Roman"/>
                <w:sz w:val="20"/>
                <w:szCs w:val="20"/>
              </w:rPr>
            </w:pPr>
            <w:r w:rsidRPr="001578F4">
              <w:rPr>
                <w:rFonts w:ascii="Times New Roman" w:hAnsi="Times New Roman" w:hint="eastAsia"/>
                <w:sz w:val="20"/>
                <w:szCs w:val="20"/>
              </w:rPr>
              <w:t>Ⅹ</w:t>
            </w:r>
          </w:p>
        </w:tc>
        <w:tc>
          <w:tcPr>
            <w:tcW w:w="472" w:type="pct"/>
          </w:tcPr>
          <w:p w:rsidR="009170E2" w:rsidRPr="001578F4" w:rsidRDefault="00375967" w:rsidP="00390559">
            <w:pPr>
              <w:ind w:leftChars="-25" w:left="-53" w:rightChars="-25" w:right="-53"/>
              <w:jc w:val="center"/>
              <w:rPr>
                <w:rFonts w:ascii="Times New Roman" w:hAnsi="Times New Roman"/>
                <w:sz w:val="20"/>
                <w:szCs w:val="20"/>
              </w:rPr>
            </w:pPr>
            <w:r w:rsidRPr="001578F4">
              <w:rPr>
                <w:rFonts w:ascii="Times New Roman" w:hAnsi="Times New Roman" w:hint="eastAsia"/>
                <w:sz w:val="20"/>
                <w:szCs w:val="20"/>
              </w:rPr>
              <w:t>Ⅹ</w:t>
            </w:r>
          </w:p>
        </w:tc>
        <w:tc>
          <w:tcPr>
            <w:tcW w:w="748" w:type="pct"/>
          </w:tcPr>
          <w:p w:rsidR="009170E2" w:rsidRPr="001578F4" w:rsidRDefault="009170E2" w:rsidP="00390559">
            <w:pPr>
              <w:ind w:leftChars="-25" w:left="-53" w:rightChars="-25" w:right="-53"/>
              <w:jc w:val="center"/>
              <w:rPr>
                <w:rFonts w:ascii="宋体" w:hAnsi="宋体" w:cs="宋体"/>
                <w:sz w:val="20"/>
                <w:szCs w:val="20"/>
              </w:rPr>
            </w:pPr>
          </w:p>
        </w:tc>
        <w:tc>
          <w:tcPr>
            <w:tcW w:w="534" w:type="pct"/>
          </w:tcPr>
          <w:p w:rsidR="009170E2" w:rsidRPr="001578F4" w:rsidRDefault="009170E2" w:rsidP="00390559">
            <w:pPr>
              <w:ind w:leftChars="-25" w:left="-53" w:rightChars="-25" w:right="-53"/>
              <w:jc w:val="center"/>
              <w:rPr>
                <w:rFonts w:ascii="宋体" w:hAnsi="宋体" w:cs="宋体"/>
                <w:sz w:val="20"/>
                <w:szCs w:val="20"/>
              </w:rPr>
            </w:pPr>
          </w:p>
        </w:tc>
      </w:tr>
    </w:tbl>
    <w:p w:rsidR="00080EB9" w:rsidRPr="001578F4" w:rsidRDefault="00080EB9" w:rsidP="006C5975">
      <w:pPr>
        <w:rPr>
          <w:rFonts w:ascii="Times New Roman" w:hAnsi="Times New Roman"/>
          <w:sz w:val="18"/>
          <w:szCs w:val="18"/>
        </w:rPr>
      </w:pPr>
      <w:r w:rsidRPr="001578F4">
        <w:rPr>
          <w:rFonts w:ascii="Times New Roman" w:hAnsi="Times New Roman"/>
          <w:sz w:val="18"/>
          <w:szCs w:val="18"/>
        </w:rPr>
        <w:t>X refers the scheduled test. The superscripts describe the specified tests or records.</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Comprehensive medical and surgical history of all related diseases will be asked, especially previous and existing lung diseases.</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The blood examinations consist of blood routine test, biochemistry test and CEA, e.g. anti-agglutination test.</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Premenopausal women of childbearing potential must have the result of urine or blood pregnancy test 14 days before enrollment. The test needs to be repeated if pregnancy is suspected during the study,</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Imaging examinations are performed routinely. The imaging examinations at screening are valid in 21 days, and the subsequent examinations must be completed within ±7 days as scheduled.</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The following is performed by the same guidance as Visit 4.</w:t>
      </w:r>
    </w:p>
    <w:p w:rsidR="00080EB9" w:rsidRPr="001578F4" w:rsidRDefault="00080EB9" w:rsidP="006C5975">
      <w:pPr>
        <w:pStyle w:val="ad"/>
        <w:numPr>
          <w:ilvl w:val="0"/>
          <w:numId w:val="30"/>
        </w:numPr>
        <w:ind w:left="360"/>
        <w:rPr>
          <w:rFonts w:ascii="Times New Roman" w:hAnsi="Times New Roman"/>
          <w:sz w:val="18"/>
          <w:szCs w:val="18"/>
        </w:rPr>
      </w:pPr>
      <w:r w:rsidRPr="001578F4">
        <w:rPr>
          <w:rFonts w:ascii="Times New Roman" w:hAnsi="Times New Roman"/>
          <w:sz w:val="18"/>
          <w:szCs w:val="18"/>
        </w:rPr>
        <w:t>The following is performed by the same guidance as Visit 5.</w:t>
      </w:r>
    </w:p>
    <w:p w:rsidR="00BD214B" w:rsidRPr="001578F4" w:rsidRDefault="00080EB9" w:rsidP="00BD214B">
      <w:pPr>
        <w:pStyle w:val="ad"/>
        <w:numPr>
          <w:ilvl w:val="0"/>
          <w:numId w:val="30"/>
        </w:numPr>
        <w:ind w:left="360"/>
        <w:rPr>
          <w:rFonts w:ascii="Times New Roman" w:hAnsi="Times New Roman"/>
          <w:sz w:val="18"/>
          <w:szCs w:val="18"/>
        </w:rPr>
      </w:pPr>
      <w:r w:rsidRPr="001578F4">
        <w:rPr>
          <w:rFonts w:ascii="Times New Roman" w:hAnsi="Times New Roman"/>
          <w:sz w:val="18"/>
          <w:szCs w:val="18"/>
        </w:rPr>
        <w:t>It is examined during clinical symptoms, as necessary or as suggested by the investigators.</w:t>
      </w:r>
    </w:p>
    <w:p w:rsidR="00375967" w:rsidRPr="001578F4" w:rsidRDefault="00375967" w:rsidP="00BD214B">
      <w:pPr>
        <w:pStyle w:val="ad"/>
        <w:numPr>
          <w:ilvl w:val="0"/>
          <w:numId w:val="30"/>
        </w:numPr>
        <w:ind w:left="360"/>
        <w:rPr>
          <w:rFonts w:ascii="Times New Roman" w:hAnsi="Times New Roman"/>
          <w:sz w:val="18"/>
          <w:szCs w:val="18"/>
        </w:rPr>
      </w:pPr>
      <w:r w:rsidRPr="001578F4">
        <w:rPr>
          <w:rFonts w:ascii="Times New Roman" w:hAnsi="Times New Roman" w:hint="eastAsia"/>
          <w:sz w:val="18"/>
          <w:szCs w:val="18"/>
        </w:rPr>
        <w:t xml:space="preserve">Only for patients who </w:t>
      </w:r>
      <w:r w:rsidR="00BD214B" w:rsidRPr="001578F4">
        <w:rPr>
          <w:rFonts w:ascii="Times New Roman" w:hAnsi="Times New Roman"/>
          <w:sz w:val="18"/>
          <w:szCs w:val="18"/>
        </w:rPr>
        <w:t>are willing to provide their blood during</w:t>
      </w:r>
      <w:r w:rsidR="00BD214B" w:rsidRPr="001578F4">
        <w:rPr>
          <w:rFonts w:ascii="Times New Roman" w:hAnsi="Times New Roman" w:hint="eastAsia"/>
          <w:sz w:val="18"/>
          <w:szCs w:val="18"/>
        </w:rPr>
        <w:t xml:space="preserve">. The last time to collect the blood sample is at the time of disease progression. </w:t>
      </w:r>
    </w:p>
    <w:p w:rsidR="00080EB9" w:rsidRPr="001578F4" w:rsidRDefault="00080EB9" w:rsidP="00390559">
      <w:pPr>
        <w:pStyle w:val="2"/>
        <w:spacing w:before="0" w:after="0" w:line="360" w:lineRule="auto"/>
        <w:ind w:left="723" w:hangingChars="300" w:hanging="723"/>
        <w:rPr>
          <w:rFonts w:ascii="Times New Roman" w:eastAsia="宋体" w:hAnsi="Times New Roman"/>
          <w:sz w:val="24"/>
          <w:szCs w:val="24"/>
        </w:rPr>
      </w:pPr>
      <w:bookmarkStart w:id="28" w:name="_Toc437617703"/>
      <w:r w:rsidRPr="001578F4">
        <w:rPr>
          <w:rFonts w:ascii="Times New Roman" w:eastAsia="宋体" w:hAnsi="Times New Roman"/>
          <w:sz w:val="24"/>
          <w:szCs w:val="24"/>
        </w:rPr>
        <w:t>7.1 Subject screening and baseline measurements</w:t>
      </w:r>
      <w:bookmarkEnd w:id="28"/>
    </w:p>
    <w:p w:rsidR="00080EB9" w:rsidRPr="006C5975" w:rsidRDefault="00080EB9" w:rsidP="00D35889">
      <w:pPr>
        <w:spacing w:line="360" w:lineRule="auto"/>
        <w:jc w:val="left"/>
        <w:rPr>
          <w:rFonts w:ascii="Times New Roman" w:hAnsi="Times New Roman"/>
          <w:sz w:val="22"/>
          <w:szCs w:val="24"/>
        </w:rPr>
      </w:pPr>
      <w:r w:rsidRPr="001578F4">
        <w:rPr>
          <w:rFonts w:ascii="Times New Roman" w:hAnsi="Times New Roman"/>
          <w:sz w:val="22"/>
          <w:szCs w:val="24"/>
        </w:rPr>
        <w:t xml:space="preserve">Subjects who are eligible </w:t>
      </w:r>
      <w:r w:rsidRPr="001578F4">
        <w:rPr>
          <w:rFonts w:ascii="Times New Roman" w:hAnsi="Times New Roman"/>
          <w:sz w:val="22"/>
        </w:rPr>
        <w:t>for</w:t>
      </w:r>
      <w:r w:rsidRPr="001578F4">
        <w:rPr>
          <w:rFonts w:ascii="Times New Roman" w:hAnsi="Times New Roman"/>
          <w:sz w:val="22"/>
          <w:szCs w:val="24"/>
        </w:rPr>
        <w:t xml:space="preserve"> inclusion criteria are screened by each test.</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The objective of baseline measurement is to ensure the comparability of treatment group and control group. All baseline measurements must be completed before initiating the therapeutic regimens (see Table 2). The symptoms and vital signs of the patients and the results of all necessary examinations must be recorded in the </w:t>
      </w:r>
      <w:r w:rsidRPr="00D35889">
        <w:rPr>
          <w:rFonts w:ascii="Times New Roman" w:hAnsi="Times New Roman"/>
          <w:sz w:val="22"/>
        </w:rPr>
        <w:t>registration</w:t>
      </w:r>
      <w:r w:rsidRPr="006C5975">
        <w:rPr>
          <w:rFonts w:ascii="Times New Roman" w:hAnsi="Times New Roman"/>
          <w:sz w:val="22"/>
          <w:szCs w:val="24"/>
        </w:rPr>
        <w:t xml:space="preserve"> form.</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29" w:name="_Toc437617704"/>
      <w:r w:rsidRPr="006C5975">
        <w:rPr>
          <w:rFonts w:ascii="Times New Roman" w:eastAsia="宋体" w:hAnsi="Times New Roman"/>
          <w:sz w:val="24"/>
          <w:szCs w:val="24"/>
        </w:rPr>
        <w:t>7.2 Therapeutic regimens</w:t>
      </w:r>
      <w:bookmarkEnd w:id="29"/>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The recent efficacy evaluation is based on RECIST criteria and the toxicity assessment follows CTC criteria version 3. After the </w:t>
      </w:r>
      <w:r w:rsidRPr="00D35889">
        <w:rPr>
          <w:rFonts w:ascii="Times New Roman" w:hAnsi="Times New Roman"/>
          <w:sz w:val="22"/>
        </w:rPr>
        <w:t>baseline</w:t>
      </w:r>
      <w:r w:rsidRPr="006C5975">
        <w:rPr>
          <w:rFonts w:ascii="Times New Roman" w:hAnsi="Times New Roman"/>
          <w:sz w:val="22"/>
          <w:szCs w:val="24"/>
        </w:rPr>
        <w:t xml:space="preserve"> measurements are completed before treatment, the subjects are randomly divided into erlotinib group or gefitinib group by 1:1. The safety data of all subjects will be evaluated at any time.</w:t>
      </w:r>
    </w:p>
    <w:p w:rsidR="00080EB9" w:rsidRPr="006C5975" w:rsidRDefault="00080EB9" w:rsidP="001260AC">
      <w:pPr>
        <w:pStyle w:val="3"/>
        <w:spacing w:before="0" w:after="0" w:line="360" w:lineRule="auto"/>
        <w:ind w:left="726" w:hanging="726"/>
        <w:rPr>
          <w:sz w:val="24"/>
          <w:szCs w:val="24"/>
        </w:rPr>
      </w:pPr>
      <w:r w:rsidRPr="006C5975">
        <w:rPr>
          <w:sz w:val="24"/>
          <w:szCs w:val="24"/>
        </w:rPr>
        <w:lastRenderedPageBreak/>
        <w:t xml:space="preserve">7.2.1 Erlotinib group </w:t>
      </w:r>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Randomized patients of erlotinib group will receive oral administration of erlotinib 150mg qd and take chest, blood, liver and kidney function and CEA examinations in 1 week after treatment followed by follow-ups in 1 month and 2 months later for efficacy assessment. In case of CR, PR, SR or clinical benefits, return visits will be performed every 3 months until the patients experience disease progression or withdraw from the study. Then, survival follow-ups will be conducted.</w:t>
      </w:r>
    </w:p>
    <w:p w:rsidR="00080EB9" w:rsidRPr="006C5975" w:rsidRDefault="00080EB9" w:rsidP="001260AC">
      <w:pPr>
        <w:pStyle w:val="3"/>
        <w:spacing w:before="0" w:after="0" w:line="360" w:lineRule="auto"/>
        <w:ind w:left="726" w:hanging="726"/>
        <w:rPr>
          <w:sz w:val="24"/>
          <w:szCs w:val="24"/>
        </w:rPr>
      </w:pPr>
      <w:bookmarkStart w:id="30" w:name="_Toc234325842"/>
      <w:r w:rsidRPr="006C5975">
        <w:rPr>
          <w:sz w:val="24"/>
          <w:szCs w:val="24"/>
        </w:rPr>
        <w:t>7.2.2 Gefitinib group</w:t>
      </w:r>
      <w:bookmarkEnd w:id="30"/>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 xml:space="preserve">Randomized patients of gefitinib group will receive oral administration of gefitinib 250mg qd and take chest, blood, liver and kidney </w:t>
      </w:r>
      <w:r w:rsidRPr="00D35889">
        <w:rPr>
          <w:rFonts w:ascii="Times New Roman" w:hAnsi="Times New Roman"/>
          <w:sz w:val="22"/>
        </w:rPr>
        <w:t>function</w:t>
      </w:r>
      <w:r w:rsidRPr="006C5975">
        <w:rPr>
          <w:rFonts w:ascii="Times New Roman" w:hAnsi="Times New Roman"/>
          <w:sz w:val="22"/>
          <w:szCs w:val="24"/>
        </w:rPr>
        <w:t xml:space="preserve"> and CEA examinations in 1 week after treatment followed by follow-ups in 1 month and 2 months later for efficacy assessment. In case of CR, PR, SR or clinical benefits, return visits will be performed every 3 months until the patients experience disease progression or withdraw from the study. Then, survival follow-ups will be conducted.</w:t>
      </w:r>
    </w:p>
    <w:p w:rsidR="00080EB9" w:rsidRPr="006C5975" w:rsidRDefault="00080EB9" w:rsidP="001260AC">
      <w:pPr>
        <w:pStyle w:val="3"/>
        <w:spacing w:before="0" w:after="0" w:line="360" w:lineRule="auto"/>
        <w:ind w:left="726" w:hanging="726"/>
        <w:rPr>
          <w:sz w:val="24"/>
          <w:szCs w:val="24"/>
        </w:rPr>
      </w:pPr>
      <w:r w:rsidRPr="006C5975">
        <w:rPr>
          <w:sz w:val="24"/>
          <w:szCs w:val="24"/>
        </w:rPr>
        <w:t>7.2.3</w:t>
      </w:r>
      <w:r>
        <w:rPr>
          <w:sz w:val="24"/>
          <w:szCs w:val="24"/>
        </w:rPr>
        <w:t xml:space="preserve"> </w:t>
      </w:r>
      <w:r w:rsidRPr="006C5975">
        <w:rPr>
          <w:sz w:val="24"/>
          <w:szCs w:val="24"/>
        </w:rPr>
        <w:t>Auxiliary medication and treatments of common complication</w:t>
      </w:r>
      <w:r>
        <w:rPr>
          <w:sz w:val="24"/>
          <w:szCs w:val="24"/>
        </w:rPr>
        <w:t>s</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In course of entire clinical trial, alleviative radiotherapy and bisphosphonate therapy are allowed. The acceptable drugs contain supportive symptomatic treatments such as dehydrant agents, </w:t>
      </w:r>
      <w:r>
        <w:rPr>
          <w:rFonts w:ascii="Times New Roman" w:hAnsi="Times New Roman"/>
          <w:sz w:val="22"/>
          <w:szCs w:val="24"/>
        </w:rPr>
        <w:t xml:space="preserve">drugs </w:t>
      </w:r>
      <w:r w:rsidRPr="006C5975">
        <w:rPr>
          <w:rFonts w:ascii="Times New Roman" w:hAnsi="Times New Roman"/>
          <w:sz w:val="22"/>
          <w:szCs w:val="24"/>
        </w:rPr>
        <w:t>increasing leukocyte count, blood transfusion, platelet transfusion, antibiotics, antipyretic analgesics and anesthetics, however, the drug name, treatment of time and the reason of use should be recorded for these treatments. They will not be affected after disease progression.</w:t>
      </w:r>
    </w:p>
    <w:p w:rsidR="00080EB9" w:rsidRPr="006C5975" w:rsidRDefault="00080EB9" w:rsidP="001260AC">
      <w:pPr>
        <w:pStyle w:val="3"/>
        <w:spacing w:before="0" w:after="0" w:line="360" w:lineRule="auto"/>
        <w:ind w:left="726" w:hanging="726"/>
        <w:rPr>
          <w:sz w:val="24"/>
          <w:szCs w:val="24"/>
        </w:rPr>
      </w:pPr>
      <w:r w:rsidRPr="006C5975">
        <w:rPr>
          <w:sz w:val="24"/>
          <w:szCs w:val="24"/>
        </w:rPr>
        <w:t>7.2.4 Dosage adjustment due to drug toxicity</w:t>
      </w:r>
    </w:p>
    <w:p w:rsidR="00080EB9" w:rsidRPr="006C5975" w:rsidRDefault="00080EB9" w:rsidP="00D35889">
      <w:pPr>
        <w:spacing w:line="360" w:lineRule="auto"/>
        <w:jc w:val="left"/>
        <w:rPr>
          <w:rFonts w:ascii="Times New Roman" w:hAnsi="Times New Roman"/>
          <w:bCs/>
          <w:sz w:val="24"/>
          <w:szCs w:val="24"/>
        </w:rPr>
      </w:pPr>
      <w:r w:rsidRPr="006C5975">
        <w:rPr>
          <w:rFonts w:ascii="Times New Roman" w:hAnsi="Times New Roman"/>
          <w:sz w:val="22"/>
          <w:szCs w:val="24"/>
        </w:rPr>
        <w:t xml:space="preserve">The doses need to be adjusted according to the package inserts of erlotinib and gefitinib and clinical routine. The subjects who fail to relieve to level 2 in 2 weeks after symptomatic treatments will discontinue the treatment but still be included in follow-up. The reasons of dosage adjustment or delay, the use of supportive </w:t>
      </w:r>
      <w:r>
        <w:rPr>
          <w:rFonts w:ascii="Times New Roman" w:hAnsi="Times New Roman"/>
          <w:sz w:val="22"/>
          <w:szCs w:val="24"/>
        </w:rPr>
        <w:t xml:space="preserve">therapy </w:t>
      </w:r>
      <w:r w:rsidRPr="006C5975">
        <w:rPr>
          <w:rFonts w:ascii="Times New Roman" w:hAnsi="Times New Roman"/>
          <w:sz w:val="22"/>
          <w:szCs w:val="24"/>
        </w:rPr>
        <w:t>and the results should be recorded in CRF.</w:t>
      </w:r>
    </w:p>
    <w:p w:rsidR="00080EB9" w:rsidRPr="006C5975" w:rsidRDefault="00080EB9" w:rsidP="001260AC">
      <w:pPr>
        <w:pStyle w:val="3"/>
        <w:spacing w:before="0" w:after="0" w:line="360" w:lineRule="auto"/>
        <w:ind w:left="726" w:hanging="726"/>
        <w:rPr>
          <w:sz w:val="24"/>
          <w:szCs w:val="24"/>
        </w:rPr>
      </w:pPr>
      <w:r w:rsidRPr="006C5975">
        <w:rPr>
          <w:sz w:val="24"/>
          <w:szCs w:val="24"/>
        </w:rPr>
        <w:t>7.2.5 Reporting of serious adverse events</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Regardless of whether it is related to the study treatment, any adverse events resulting in the following conditions after </w:t>
      </w:r>
      <w:r w:rsidRPr="00D35889">
        <w:rPr>
          <w:rFonts w:ascii="Times New Roman" w:hAnsi="Times New Roman"/>
          <w:sz w:val="22"/>
        </w:rPr>
        <w:t>enrollment</w:t>
      </w:r>
      <w:r w:rsidRPr="006C5975">
        <w:rPr>
          <w:rFonts w:ascii="Times New Roman" w:hAnsi="Times New Roman"/>
          <w:sz w:val="22"/>
          <w:szCs w:val="24"/>
        </w:rPr>
        <w:t xml:space="preserve"> should be reported to Ethics Committee, the sponsor (CRA) and FDA within 24 hours when it is occurred:</w:t>
      </w:r>
    </w:p>
    <w:p w:rsidR="00080EB9" w:rsidRPr="004F76AD" w:rsidRDefault="00080EB9" w:rsidP="006A5753">
      <w:pPr>
        <w:pStyle w:val="ad"/>
        <w:numPr>
          <w:ilvl w:val="0"/>
          <w:numId w:val="34"/>
        </w:numPr>
        <w:spacing w:line="360" w:lineRule="auto"/>
        <w:ind w:left="720"/>
        <w:rPr>
          <w:rFonts w:ascii="Times New Roman" w:hAnsi="Times New Roman"/>
          <w:sz w:val="22"/>
          <w:szCs w:val="24"/>
        </w:rPr>
      </w:pPr>
      <w:r w:rsidRPr="004F76AD">
        <w:rPr>
          <w:rFonts w:ascii="Times New Roman" w:hAnsi="Times New Roman"/>
          <w:sz w:val="22"/>
          <w:szCs w:val="24"/>
        </w:rPr>
        <w:t>Death</w:t>
      </w:r>
    </w:p>
    <w:p w:rsidR="00080EB9" w:rsidRPr="004F76AD" w:rsidRDefault="00080EB9" w:rsidP="006A5753">
      <w:pPr>
        <w:pStyle w:val="ad"/>
        <w:numPr>
          <w:ilvl w:val="0"/>
          <w:numId w:val="34"/>
        </w:numPr>
        <w:spacing w:line="360" w:lineRule="auto"/>
        <w:ind w:left="720"/>
        <w:rPr>
          <w:rFonts w:ascii="Times New Roman" w:hAnsi="Times New Roman"/>
          <w:sz w:val="22"/>
          <w:szCs w:val="24"/>
        </w:rPr>
      </w:pPr>
      <w:r w:rsidRPr="004F76AD">
        <w:rPr>
          <w:rFonts w:ascii="Times New Roman" w:hAnsi="Times New Roman"/>
          <w:sz w:val="22"/>
          <w:szCs w:val="24"/>
        </w:rPr>
        <w:t>Hospitalization or prolonged hospitalization</w:t>
      </w:r>
    </w:p>
    <w:p w:rsidR="00080EB9" w:rsidRPr="004F76AD" w:rsidRDefault="00080EB9" w:rsidP="006A5753">
      <w:pPr>
        <w:pStyle w:val="ad"/>
        <w:numPr>
          <w:ilvl w:val="0"/>
          <w:numId w:val="34"/>
        </w:numPr>
        <w:spacing w:line="360" w:lineRule="auto"/>
        <w:ind w:left="720"/>
        <w:rPr>
          <w:rFonts w:ascii="Times New Roman" w:hAnsi="Times New Roman"/>
          <w:sz w:val="22"/>
          <w:szCs w:val="24"/>
        </w:rPr>
      </w:pPr>
      <w:r w:rsidRPr="004F76AD">
        <w:rPr>
          <w:rFonts w:ascii="Times New Roman" w:hAnsi="Times New Roman"/>
          <w:sz w:val="22"/>
          <w:szCs w:val="24"/>
        </w:rPr>
        <w:lastRenderedPageBreak/>
        <w:t>Life-threatening events (have death risk immediately)</w:t>
      </w:r>
    </w:p>
    <w:p w:rsidR="00080EB9" w:rsidRPr="004F76AD" w:rsidRDefault="00080EB9" w:rsidP="006A5753">
      <w:pPr>
        <w:pStyle w:val="ad"/>
        <w:numPr>
          <w:ilvl w:val="0"/>
          <w:numId w:val="34"/>
        </w:numPr>
        <w:spacing w:line="360" w:lineRule="auto"/>
        <w:ind w:left="720"/>
        <w:rPr>
          <w:rFonts w:ascii="Times New Roman" w:hAnsi="Times New Roman"/>
          <w:sz w:val="22"/>
          <w:szCs w:val="24"/>
        </w:rPr>
      </w:pPr>
      <w:r w:rsidRPr="004F76AD">
        <w:rPr>
          <w:rFonts w:ascii="Times New Roman" w:hAnsi="Times New Roman"/>
          <w:sz w:val="22"/>
          <w:szCs w:val="24"/>
        </w:rPr>
        <w:t xml:space="preserve">Permanent or serious disability/incapability  </w:t>
      </w:r>
    </w:p>
    <w:p w:rsidR="00080EB9" w:rsidRPr="006C5975" w:rsidRDefault="00080EB9" w:rsidP="00D35889">
      <w:pPr>
        <w:spacing w:line="360" w:lineRule="auto"/>
        <w:jc w:val="left"/>
        <w:rPr>
          <w:rFonts w:ascii="Times New Roman" w:hAnsi="Times New Roman"/>
          <w:sz w:val="22"/>
          <w:szCs w:val="24"/>
        </w:rPr>
      </w:pPr>
      <w:r>
        <w:rPr>
          <w:rFonts w:ascii="Times New Roman" w:hAnsi="Times New Roman"/>
          <w:sz w:val="22"/>
          <w:szCs w:val="24"/>
        </w:rPr>
        <w:t>The s</w:t>
      </w:r>
      <w:r w:rsidRPr="006C5975">
        <w:rPr>
          <w:rFonts w:ascii="Times New Roman" w:hAnsi="Times New Roman"/>
          <w:sz w:val="22"/>
          <w:szCs w:val="24"/>
        </w:rPr>
        <w:t>pecified clinical outcome, dea</w:t>
      </w:r>
      <w:r>
        <w:rPr>
          <w:rFonts w:ascii="Times New Roman" w:hAnsi="Times New Roman"/>
          <w:sz w:val="22"/>
          <w:szCs w:val="24"/>
        </w:rPr>
        <w:t xml:space="preserve">th (due to disease progression), </w:t>
      </w:r>
      <w:r w:rsidRPr="006C5975">
        <w:rPr>
          <w:rFonts w:ascii="Times New Roman" w:hAnsi="Times New Roman"/>
          <w:sz w:val="22"/>
          <w:szCs w:val="24"/>
        </w:rPr>
        <w:t>will be reported as serious adverse event only when the investigators believe the death is related to the study treatment. Any events due to disease progression will be not regarded as serious adverse events.</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31" w:name="_Toc437617705"/>
      <w:r w:rsidRPr="006C5975">
        <w:rPr>
          <w:rFonts w:ascii="Times New Roman" w:eastAsia="宋体" w:hAnsi="Times New Roman"/>
          <w:sz w:val="24"/>
          <w:szCs w:val="24"/>
        </w:rPr>
        <w:t>7.3</w:t>
      </w:r>
      <w:r>
        <w:rPr>
          <w:rFonts w:ascii="Times New Roman" w:eastAsia="宋体" w:hAnsi="Times New Roman"/>
          <w:sz w:val="24"/>
          <w:szCs w:val="24"/>
        </w:rPr>
        <w:t xml:space="preserve"> Follow-up procedure</w:t>
      </w:r>
      <w:bookmarkEnd w:id="31"/>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All patients should undergo follow-up regardless</w:t>
      </w:r>
      <w:r>
        <w:rPr>
          <w:rFonts w:ascii="Times New Roman" w:hAnsi="Times New Roman"/>
          <w:sz w:val="22"/>
          <w:szCs w:val="24"/>
        </w:rPr>
        <w:t xml:space="preserve"> that</w:t>
      </w:r>
      <w:r w:rsidRPr="006C5975">
        <w:rPr>
          <w:rFonts w:ascii="Times New Roman" w:hAnsi="Times New Roman"/>
          <w:sz w:val="22"/>
          <w:szCs w:val="24"/>
        </w:rPr>
        <w:t xml:space="preserve"> the enrolled patients drop out or withdraw from this study for any reason.</w:t>
      </w:r>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 xml:space="preserve">The follow-up of </w:t>
      </w:r>
      <w:r w:rsidRPr="00D35889">
        <w:rPr>
          <w:rFonts w:ascii="Times New Roman" w:hAnsi="Times New Roman"/>
          <w:sz w:val="22"/>
        </w:rPr>
        <w:t>withdrawal</w:t>
      </w:r>
      <w:r w:rsidRPr="006C5975">
        <w:rPr>
          <w:rFonts w:ascii="Times New Roman" w:hAnsi="Times New Roman"/>
          <w:sz w:val="22"/>
          <w:szCs w:val="24"/>
        </w:rPr>
        <w:t>: the reason of withdrawal should be explained. The patients need to continue the follow-up until the end of study after withdrawal from the study. In this case, the tumor condition, the functional status and the following therapeutic regimen</w:t>
      </w:r>
      <w:r>
        <w:rPr>
          <w:rFonts w:ascii="Times New Roman" w:hAnsi="Times New Roman"/>
          <w:sz w:val="22"/>
          <w:szCs w:val="24"/>
        </w:rPr>
        <w:t>s</w:t>
      </w:r>
      <w:r w:rsidRPr="006C5975">
        <w:rPr>
          <w:rFonts w:ascii="Times New Roman" w:hAnsi="Times New Roman"/>
          <w:sz w:val="22"/>
          <w:szCs w:val="24"/>
        </w:rPr>
        <w:t xml:space="preserve"> should be recorded as well.</w:t>
      </w:r>
    </w:p>
    <w:p w:rsidR="00080EB9" w:rsidRPr="006C5975" w:rsidRDefault="00080EB9" w:rsidP="001260AC">
      <w:pPr>
        <w:pStyle w:val="3"/>
        <w:spacing w:before="0" w:after="0" w:line="360" w:lineRule="auto"/>
        <w:ind w:left="726" w:hanging="726"/>
        <w:rPr>
          <w:sz w:val="24"/>
          <w:szCs w:val="24"/>
        </w:rPr>
      </w:pPr>
      <w:r w:rsidRPr="006C5975">
        <w:rPr>
          <w:sz w:val="24"/>
          <w:szCs w:val="24"/>
        </w:rPr>
        <w:t>7.3.1 Schedule</w:t>
      </w:r>
    </w:p>
    <w:p w:rsidR="00080EB9" w:rsidRPr="006C5975" w:rsidRDefault="00080EB9" w:rsidP="00D35889">
      <w:pPr>
        <w:spacing w:line="360" w:lineRule="auto"/>
        <w:jc w:val="left"/>
        <w:rPr>
          <w:rFonts w:ascii="Times New Roman" w:hAnsi="Times New Roman"/>
          <w:bCs/>
          <w:sz w:val="24"/>
          <w:szCs w:val="24"/>
        </w:rPr>
      </w:pPr>
      <w:r w:rsidRPr="006C5975">
        <w:rPr>
          <w:rFonts w:ascii="Times New Roman" w:hAnsi="Times New Roman"/>
          <w:sz w:val="22"/>
          <w:szCs w:val="24"/>
        </w:rPr>
        <w:t>The subjects will undergo a follow-up in 1 week after enrollment and 1 month and 2 months later; the follow-up will be performed every 3 months after it is confirmed effective. Survival follow-up will be conducted by phone after disease progression.</w:t>
      </w:r>
    </w:p>
    <w:p w:rsidR="00080EB9" w:rsidRPr="006C5975" w:rsidRDefault="00080EB9" w:rsidP="001260AC">
      <w:pPr>
        <w:pStyle w:val="3"/>
        <w:spacing w:before="0" w:after="0" w:line="360" w:lineRule="auto"/>
        <w:ind w:left="726" w:hanging="726"/>
        <w:rPr>
          <w:sz w:val="24"/>
          <w:szCs w:val="24"/>
        </w:rPr>
      </w:pPr>
      <w:r w:rsidRPr="006C5975">
        <w:rPr>
          <w:sz w:val="24"/>
          <w:szCs w:val="24"/>
        </w:rPr>
        <w:t>7.3.2 Follow-up plan</w:t>
      </w:r>
    </w:p>
    <w:p w:rsidR="00080EB9" w:rsidRPr="006C5975" w:rsidRDefault="00080EB9" w:rsidP="00D35889">
      <w:pPr>
        <w:spacing w:line="360" w:lineRule="auto"/>
        <w:jc w:val="left"/>
        <w:rPr>
          <w:rFonts w:ascii="Times New Roman" w:hAnsi="Times New Roman"/>
          <w:bCs/>
          <w:sz w:val="24"/>
          <w:szCs w:val="24"/>
        </w:rPr>
      </w:pPr>
      <w:r w:rsidRPr="006C5975">
        <w:rPr>
          <w:rFonts w:ascii="Times New Roman" w:hAnsi="Times New Roman"/>
          <w:sz w:val="22"/>
          <w:szCs w:val="24"/>
        </w:rPr>
        <w:t>Physical examination, blood test and tumor biomarker examination, and imaging examination will be performed routinely.</w:t>
      </w:r>
    </w:p>
    <w:p w:rsidR="00080EB9" w:rsidRPr="006C5975" w:rsidRDefault="00080EB9" w:rsidP="001260AC">
      <w:pPr>
        <w:pStyle w:val="3"/>
        <w:spacing w:before="0" w:after="0" w:line="360" w:lineRule="auto"/>
        <w:ind w:left="726" w:hanging="726"/>
        <w:rPr>
          <w:sz w:val="24"/>
          <w:szCs w:val="24"/>
        </w:rPr>
      </w:pPr>
      <w:r w:rsidRPr="006C5975">
        <w:rPr>
          <w:sz w:val="24"/>
          <w:szCs w:val="24"/>
        </w:rPr>
        <w:t>7.3.3 Follow-up record</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Follow-up data</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Efficacy evaluation of TKI and subsequent periodic follow-up assessments (RECIST criteria, see the attachment)</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Primary lesion CR; PR; SD; PD</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PS score: ECOG scoring standard 0~4</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Physical examination: record vital signs and abnormal conditions</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Adverse events: time of occurrence and termination, grade (CTC 3.0 criteria, see the attachment)</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Concomitant medication: drug name, dosage, usage, time of initiation and termination, reason of use</w:t>
      </w:r>
    </w:p>
    <w:p w:rsidR="00080EB9" w:rsidRPr="004F76AD" w:rsidRDefault="00080EB9" w:rsidP="001D216C">
      <w:pPr>
        <w:numPr>
          <w:ilvl w:val="0"/>
          <w:numId w:val="3"/>
        </w:numPr>
        <w:spacing w:line="360" w:lineRule="auto"/>
        <w:jc w:val="left"/>
        <w:rPr>
          <w:rFonts w:ascii="Times New Roman" w:hAnsi="Times New Roman"/>
          <w:bCs/>
          <w:sz w:val="22"/>
        </w:rPr>
      </w:pPr>
      <w:r w:rsidRPr="004F76AD">
        <w:rPr>
          <w:rFonts w:ascii="Times New Roman" w:hAnsi="Times New Roman"/>
          <w:bCs/>
          <w:sz w:val="22"/>
        </w:rPr>
        <w:t xml:space="preserve">Disease progression (or occurrence of symptomatic brain metastasis): time, location; </w:t>
      </w:r>
      <w:r w:rsidRPr="004F76AD">
        <w:rPr>
          <w:rFonts w:ascii="Times New Roman" w:hAnsi="Times New Roman"/>
          <w:bCs/>
          <w:sz w:val="22"/>
        </w:rPr>
        <w:lastRenderedPageBreak/>
        <w:t>post-progression therapy</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Survival</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Date of death</w:t>
      </w:r>
    </w:p>
    <w:p w:rsidR="00080EB9" w:rsidRPr="004F76AD" w:rsidRDefault="00080EB9" w:rsidP="006A5753">
      <w:pPr>
        <w:numPr>
          <w:ilvl w:val="0"/>
          <w:numId w:val="3"/>
        </w:numPr>
        <w:spacing w:line="360" w:lineRule="auto"/>
        <w:rPr>
          <w:rFonts w:ascii="Times New Roman" w:hAnsi="Times New Roman"/>
          <w:bCs/>
          <w:sz w:val="22"/>
        </w:rPr>
      </w:pPr>
      <w:r w:rsidRPr="004F76AD">
        <w:rPr>
          <w:rFonts w:ascii="Times New Roman" w:hAnsi="Times New Roman"/>
          <w:bCs/>
          <w:sz w:val="22"/>
        </w:rPr>
        <w:t>Reason of death: die of this disease, secondary tumor, non-tumor, complication, treatment toxicity or unclear reason.</w:t>
      </w:r>
    </w:p>
    <w:p w:rsidR="00080EB9" w:rsidRPr="006C5975" w:rsidRDefault="00080EB9" w:rsidP="00390559">
      <w:pPr>
        <w:pStyle w:val="1"/>
        <w:spacing w:before="0" w:after="0" w:line="360" w:lineRule="auto"/>
        <w:ind w:left="602" w:hangingChars="250" w:hanging="602"/>
        <w:rPr>
          <w:sz w:val="24"/>
          <w:szCs w:val="24"/>
        </w:rPr>
      </w:pPr>
      <w:bookmarkStart w:id="32" w:name="_Toc437617706"/>
      <w:r w:rsidRPr="006C5975">
        <w:rPr>
          <w:sz w:val="24"/>
          <w:szCs w:val="24"/>
        </w:rPr>
        <w:t>8. Efficacy and Safety Evaluations</w:t>
      </w:r>
      <w:bookmarkEnd w:id="32"/>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This study mainly performs treatment intervention using erlotinib</w:t>
      </w:r>
      <w:r>
        <w:rPr>
          <w:rFonts w:ascii="Times New Roman" w:hAnsi="Times New Roman"/>
          <w:sz w:val="22"/>
          <w:szCs w:val="24"/>
        </w:rPr>
        <w:t xml:space="preserve"> </w:t>
      </w:r>
      <w:r w:rsidRPr="006C5975">
        <w:rPr>
          <w:rFonts w:ascii="Times New Roman" w:hAnsi="Times New Roman"/>
          <w:sz w:val="22"/>
          <w:szCs w:val="24"/>
        </w:rPr>
        <w:t>/</w:t>
      </w:r>
      <w:r>
        <w:rPr>
          <w:rFonts w:ascii="Times New Roman" w:hAnsi="Times New Roman"/>
          <w:sz w:val="22"/>
          <w:szCs w:val="24"/>
        </w:rPr>
        <w:t xml:space="preserve"> </w:t>
      </w:r>
      <w:r w:rsidRPr="006C5975">
        <w:rPr>
          <w:rFonts w:ascii="Times New Roman" w:hAnsi="Times New Roman"/>
          <w:sz w:val="22"/>
          <w:szCs w:val="24"/>
        </w:rPr>
        <w:t xml:space="preserve">gefitinib </w:t>
      </w:r>
      <w:r>
        <w:rPr>
          <w:rFonts w:ascii="Times New Roman" w:hAnsi="Times New Roman"/>
          <w:sz w:val="22"/>
          <w:szCs w:val="24"/>
        </w:rPr>
        <w:t>in</w:t>
      </w:r>
      <w:r w:rsidRPr="006C5975">
        <w:rPr>
          <w:rFonts w:ascii="Times New Roman" w:hAnsi="Times New Roman"/>
          <w:sz w:val="22"/>
          <w:szCs w:val="24"/>
        </w:rPr>
        <w:t xml:space="preserve"> patients with exon21 mutation. The </w:t>
      </w:r>
      <w:r w:rsidRPr="00D35889">
        <w:rPr>
          <w:rFonts w:ascii="Times New Roman" w:hAnsi="Times New Roman"/>
          <w:sz w:val="22"/>
        </w:rPr>
        <w:t>primary</w:t>
      </w:r>
      <w:r w:rsidRPr="006C5975">
        <w:rPr>
          <w:rFonts w:ascii="Times New Roman" w:hAnsi="Times New Roman"/>
          <w:sz w:val="22"/>
          <w:szCs w:val="24"/>
        </w:rPr>
        <w:t xml:space="preserve"> endpoint is the remission rate and the effect to prolong survival in patients with exon21 mutation.</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33" w:name="_Toc437617707"/>
      <w:r w:rsidRPr="006C5975">
        <w:rPr>
          <w:rFonts w:ascii="Times New Roman" w:eastAsia="宋体" w:hAnsi="Times New Roman"/>
          <w:sz w:val="24"/>
          <w:szCs w:val="24"/>
        </w:rPr>
        <w:t>8.1 Efficacy assessment</w:t>
      </w:r>
      <w:bookmarkEnd w:id="33"/>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The patients will undergo </w:t>
      </w:r>
      <w:r w:rsidRPr="00D35889">
        <w:rPr>
          <w:rFonts w:ascii="Times New Roman" w:hAnsi="Times New Roman"/>
          <w:sz w:val="22"/>
        </w:rPr>
        <w:t>efficacy</w:t>
      </w:r>
      <w:r w:rsidRPr="006C5975">
        <w:rPr>
          <w:rFonts w:ascii="Times New Roman" w:hAnsi="Times New Roman"/>
          <w:sz w:val="22"/>
          <w:szCs w:val="24"/>
        </w:rPr>
        <w:t xml:space="preserve"> assessment at Visit 2 after enrollment and every 3 months later:</w:t>
      </w:r>
    </w:p>
    <w:p w:rsidR="00080EB9" w:rsidRPr="006C5975" w:rsidRDefault="00080EB9" w:rsidP="00E66F7A">
      <w:pPr>
        <w:pStyle w:val="ad"/>
        <w:numPr>
          <w:ilvl w:val="0"/>
          <w:numId w:val="31"/>
        </w:numPr>
        <w:spacing w:line="360" w:lineRule="auto"/>
        <w:rPr>
          <w:rFonts w:ascii="Times New Roman" w:hAnsi="Times New Roman"/>
          <w:sz w:val="22"/>
          <w:szCs w:val="24"/>
        </w:rPr>
      </w:pPr>
      <w:r w:rsidRPr="006C5975">
        <w:rPr>
          <w:rFonts w:ascii="Times New Roman" w:hAnsi="Times New Roman"/>
          <w:sz w:val="22"/>
          <w:szCs w:val="24"/>
        </w:rPr>
        <w:t>Remission rate</w:t>
      </w:r>
    </w:p>
    <w:p w:rsidR="00080EB9" w:rsidRPr="006C5975" w:rsidRDefault="00080EB9" w:rsidP="00E66F7A">
      <w:pPr>
        <w:pStyle w:val="ad"/>
        <w:numPr>
          <w:ilvl w:val="0"/>
          <w:numId w:val="31"/>
        </w:numPr>
        <w:spacing w:line="360" w:lineRule="auto"/>
        <w:rPr>
          <w:rFonts w:ascii="Times New Roman" w:hAnsi="Times New Roman"/>
          <w:sz w:val="22"/>
          <w:szCs w:val="24"/>
        </w:rPr>
      </w:pPr>
      <w:r w:rsidRPr="006C5975">
        <w:rPr>
          <w:rFonts w:ascii="Times New Roman" w:hAnsi="Times New Roman"/>
          <w:sz w:val="22"/>
          <w:szCs w:val="24"/>
        </w:rPr>
        <w:t>PFS time</w:t>
      </w:r>
    </w:p>
    <w:p w:rsidR="00080EB9" w:rsidRPr="006C5975" w:rsidRDefault="00080EB9" w:rsidP="00E66F7A">
      <w:pPr>
        <w:pStyle w:val="ad"/>
        <w:numPr>
          <w:ilvl w:val="0"/>
          <w:numId w:val="31"/>
        </w:numPr>
        <w:spacing w:line="360" w:lineRule="auto"/>
        <w:rPr>
          <w:rFonts w:ascii="Times New Roman" w:hAnsi="Times New Roman"/>
          <w:sz w:val="22"/>
          <w:szCs w:val="24"/>
        </w:rPr>
      </w:pPr>
      <w:r w:rsidRPr="006C5975">
        <w:rPr>
          <w:rFonts w:ascii="Times New Roman" w:hAnsi="Times New Roman"/>
          <w:sz w:val="22"/>
          <w:szCs w:val="24"/>
        </w:rPr>
        <w:t>Overall survival</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34" w:name="_Toc437617708"/>
      <w:r w:rsidRPr="006C5975">
        <w:rPr>
          <w:rFonts w:ascii="Times New Roman" w:eastAsia="宋体" w:hAnsi="Times New Roman"/>
          <w:sz w:val="24"/>
          <w:szCs w:val="24"/>
        </w:rPr>
        <w:t>8.2 Adverse reactions</w:t>
      </w:r>
      <w:bookmarkEnd w:id="34"/>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The subjective and objective symptoms are recorded according to “</w:t>
      </w:r>
      <w:r w:rsidRPr="004F76AD">
        <w:rPr>
          <w:rFonts w:ascii="Times New Roman" w:hAnsi="Times New Roman"/>
          <w:sz w:val="22"/>
          <w:szCs w:val="24"/>
        </w:rPr>
        <w:t xml:space="preserve">CTC3.0 solid tumor toxicity grading </w:t>
      </w:r>
      <w:r>
        <w:rPr>
          <w:rFonts w:ascii="Times New Roman" w:hAnsi="Times New Roman"/>
          <w:sz w:val="22"/>
          <w:szCs w:val="24"/>
        </w:rPr>
        <w:t>criteria</w:t>
      </w:r>
      <w:r w:rsidRPr="006C5975">
        <w:rPr>
          <w:rFonts w:ascii="Times New Roman" w:hAnsi="Times New Roman"/>
          <w:sz w:val="22"/>
          <w:szCs w:val="24"/>
        </w:rPr>
        <w:t xml:space="preserve">”. The adverse reactions described in this evaluation </w:t>
      </w:r>
      <w:r>
        <w:rPr>
          <w:rFonts w:ascii="Times New Roman" w:hAnsi="Times New Roman"/>
          <w:sz w:val="22"/>
          <w:szCs w:val="24"/>
        </w:rPr>
        <w:t>criteria</w:t>
      </w:r>
      <w:r w:rsidRPr="006C5975">
        <w:rPr>
          <w:rFonts w:ascii="Times New Roman" w:hAnsi="Times New Roman"/>
          <w:sz w:val="22"/>
          <w:szCs w:val="24"/>
        </w:rPr>
        <w:t xml:space="preserve"> are recorded by severity (Grade 0-4). The side effects that are not mentioned in the standard are recorded by mild (+), moderate (++), moderate-severe (+++) and severe (++++), and the details of side effects should be recorded in the remarks of case report form to ensure the side effects will be evaluated consistently in the future. (30 days after discontinuation, original or new treatment-related AE as determined by the investigators needs to be followed up until the subject is recorded or died, and SAE should be reported as required.)</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35" w:name="_Toc437617709"/>
      <w:r w:rsidRPr="006C5975">
        <w:rPr>
          <w:rFonts w:ascii="Times New Roman" w:eastAsia="宋体" w:hAnsi="Times New Roman"/>
          <w:sz w:val="24"/>
          <w:szCs w:val="24"/>
        </w:rPr>
        <w:t xml:space="preserve">8.3 </w:t>
      </w:r>
      <w:bookmarkStart w:id="36" w:name="_Toc15750223"/>
      <w:bookmarkStart w:id="37" w:name="_Toc19549614"/>
      <w:bookmarkStart w:id="38" w:name="_Toc19549729"/>
      <w:bookmarkStart w:id="39" w:name="_Toc19550306"/>
      <w:bookmarkStart w:id="40" w:name="_Toc19550536"/>
      <w:bookmarkStart w:id="41" w:name="_Toc19630382"/>
      <w:r w:rsidRPr="006C5975">
        <w:rPr>
          <w:rFonts w:ascii="Times New Roman" w:eastAsia="宋体" w:hAnsi="Times New Roman"/>
          <w:sz w:val="24"/>
          <w:szCs w:val="24"/>
        </w:rPr>
        <w:t>PS</w:t>
      </w:r>
      <w:bookmarkEnd w:id="36"/>
      <w:bookmarkEnd w:id="37"/>
      <w:bookmarkEnd w:id="38"/>
      <w:bookmarkEnd w:id="39"/>
      <w:bookmarkEnd w:id="40"/>
      <w:bookmarkEnd w:id="41"/>
      <w:r w:rsidRPr="006C5975">
        <w:rPr>
          <w:rFonts w:ascii="Times New Roman" w:eastAsia="宋体" w:hAnsi="Times New Roman"/>
          <w:sz w:val="24"/>
          <w:szCs w:val="24"/>
        </w:rPr>
        <w:t xml:space="preserve"> score</w:t>
      </w:r>
      <w:bookmarkEnd w:id="35"/>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PS scores follow </w:t>
      </w:r>
      <w:r w:rsidRPr="00D35889">
        <w:rPr>
          <w:rFonts w:ascii="Times New Roman" w:hAnsi="Times New Roman"/>
          <w:sz w:val="22"/>
        </w:rPr>
        <w:t>ECOG</w:t>
      </w:r>
      <w:r w:rsidRPr="006C5975">
        <w:rPr>
          <w:rFonts w:ascii="Times New Roman" w:hAnsi="Times New Roman"/>
          <w:sz w:val="22"/>
          <w:szCs w:val="24"/>
        </w:rPr>
        <w:t xml:space="preserve"> (Zubrod) scoring </w:t>
      </w:r>
      <w:r>
        <w:rPr>
          <w:rFonts w:ascii="Times New Roman" w:hAnsi="Times New Roman"/>
          <w:sz w:val="22"/>
          <w:szCs w:val="24"/>
        </w:rPr>
        <w:t>criteria</w:t>
      </w:r>
      <w:r w:rsidRPr="006C5975">
        <w:rPr>
          <w:rFonts w:ascii="Times New Roman" w:hAnsi="Times New Roman"/>
          <w:sz w:val="22"/>
          <w:szCs w:val="24"/>
        </w:rPr>
        <w:t>.</w:t>
      </w:r>
    </w:p>
    <w:p w:rsidR="00080EB9" w:rsidRPr="006C5975" w:rsidRDefault="00080EB9" w:rsidP="00390559">
      <w:pPr>
        <w:pStyle w:val="1"/>
        <w:spacing w:before="0" w:after="0" w:line="360" w:lineRule="auto"/>
        <w:ind w:left="602" w:hangingChars="250" w:hanging="602"/>
        <w:rPr>
          <w:sz w:val="24"/>
          <w:szCs w:val="24"/>
        </w:rPr>
      </w:pPr>
      <w:bookmarkStart w:id="42" w:name="_Toc437617710"/>
      <w:r w:rsidRPr="006C5975">
        <w:rPr>
          <w:sz w:val="24"/>
          <w:szCs w:val="24"/>
        </w:rPr>
        <w:t>9. Ethical Requirements</w:t>
      </w:r>
      <w:bookmarkEnd w:id="42"/>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This study will be performed in compliance with Helsinki Declaration and existing Good Clinical Practice (GCP). As required </w:t>
      </w:r>
      <w:r w:rsidRPr="00D35889">
        <w:rPr>
          <w:rFonts w:ascii="Times New Roman" w:hAnsi="Times New Roman"/>
          <w:sz w:val="22"/>
        </w:rPr>
        <w:t>by</w:t>
      </w:r>
      <w:r w:rsidRPr="006C5975">
        <w:rPr>
          <w:rFonts w:ascii="Times New Roman" w:hAnsi="Times New Roman"/>
          <w:sz w:val="22"/>
          <w:szCs w:val="24"/>
        </w:rPr>
        <w:t xml:space="preserve"> GCP, this study must be implemented after the medical ethics committee of the study site approves. The principal investigator needs to participate in GCP training </w:t>
      </w:r>
      <w:r w:rsidRPr="006C5975">
        <w:rPr>
          <w:rFonts w:ascii="Times New Roman" w:hAnsi="Times New Roman"/>
          <w:sz w:val="22"/>
          <w:szCs w:val="24"/>
        </w:rPr>
        <w:lastRenderedPageBreak/>
        <w:t>of this study and be responsible for quality of this clinical trial.</w:t>
      </w:r>
    </w:p>
    <w:p w:rsidR="00080EB9" w:rsidRPr="006C5975" w:rsidRDefault="00080EB9" w:rsidP="00D35889">
      <w:pPr>
        <w:spacing w:line="360" w:lineRule="auto"/>
        <w:jc w:val="left"/>
        <w:rPr>
          <w:rFonts w:ascii="Times New Roman" w:hAnsi="Times New Roman"/>
          <w:sz w:val="24"/>
          <w:szCs w:val="24"/>
        </w:rPr>
      </w:pPr>
      <w:r w:rsidRPr="006C5975">
        <w:rPr>
          <w:rFonts w:ascii="Times New Roman" w:hAnsi="Times New Roman"/>
          <w:sz w:val="22"/>
          <w:szCs w:val="24"/>
        </w:rPr>
        <w:t xml:space="preserve">The investigators should explain any </w:t>
      </w:r>
      <w:r>
        <w:rPr>
          <w:rFonts w:ascii="Times New Roman" w:hAnsi="Times New Roman"/>
          <w:sz w:val="22"/>
          <w:szCs w:val="24"/>
        </w:rPr>
        <w:t xml:space="preserve">relevant </w:t>
      </w:r>
      <w:r w:rsidRPr="006C5975">
        <w:rPr>
          <w:rFonts w:ascii="Times New Roman" w:hAnsi="Times New Roman"/>
          <w:sz w:val="22"/>
          <w:szCs w:val="24"/>
        </w:rPr>
        <w:t xml:space="preserve">questions to the patients to be enrolled to eliminate their misgivings about </w:t>
      </w:r>
      <w:r w:rsidRPr="00D35889">
        <w:rPr>
          <w:rFonts w:ascii="Times New Roman" w:hAnsi="Times New Roman"/>
          <w:sz w:val="22"/>
        </w:rPr>
        <w:t>participation</w:t>
      </w:r>
      <w:r w:rsidRPr="006C5975">
        <w:rPr>
          <w:rFonts w:ascii="Times New Roman" w:hAnsi="Times New Roman"/>
          <w:sz w:val="22"/>
          <w:szCs w:val="24"/>
        </w:rPr>
        <w:t xml:space="preserve"> in this study. All participants have to sign the informed consent form before enrollment. The patients have rights to withdraw from this clinical trial at any time. After the subject withdraws from the study, the investigators should provide treatment-related consultation for the patient</w:t>
      </w:r>
      <w:r>
        <w:rPr>
          <w:rFonts w:ascii="Times New Roman" w:hAnsi="Times New Roman"/>
          <w:sz w:val="22"/>
          <w:szCs w:val="24"/>
        </w:rPr>
        <w:t>s</w:t>
      </w:r>
      <w:r w:rsidRPr="006C5975">
        <w:rPr>
          <w:rFonts w:ascii="Times New Roman" w:hAnsi="Times New Roman"/>
          <w:sz w:val="22"/>
          <w:szCs w:val="24"/>
        </w:rPr>
        <w:t xml:space="preserve"> so that </w:t>
      </w:r>
      <w:r>
        <w:rPr>
          <w:rFonts w:ascii="Times New Roman" w:hAnsi="Times New Roman"/>
          <w:sz w:val="22"/>
          <w:szCs w:val="24"/>
        </w:rPr>
        <w:t>they</w:t>
      </w:r>
      <w:r w:rsidRPr="006C5975">
        <w:rPr>
          <w:rFonts w:ascii="Times New Roman" w:hAnsi="Times New Roman"/>
          <w:sz w:val="22"/>
          <w:szCs w:val="24"/>
        </w:rPr>
        <w:t xml:space="preserve"> </w:t>
      </w:r>
      <w:r>
        <w:rPr>
          <w:rFonts w:ascii="Times New Roman" w:hAnsi="Times New Roman"/>
          <w:sz w:val="22"/>
          <w:szCs w:val="24"/>
        </w:rPr>
        <w:t xml:space="preserve">can </w:t>
      </w:r>
      <w:r w:rsidRPr="006C5975">
        <w:rPr>
          <w:rFonts w:ascii="Times New Roman" w:hAnsi="Times New Roman"/>
          <w:sz w:val="22"/>
          <w:szCs w:val="24"/>
        </w:rPr>
        <w:t>continue to receive appropriate treatments.</w:t>
      </w:r>
    </w:p>
    <w:p w:rsidR="00080EB9" w:rsidRPr="006C5975" w:rsidRDefault="00080EB9" w:rsidP="00390559">
      <w:pPr>
        <w:pStyle w:val="1"/>
        <w:spacing w:before="0" w:after="0" w:line="360" w:lineRule="auto"/>
        <w:ind w:left="602" w:hangingChars="250" w:hanging="602"/>
        <w:rPr>
          <w:sz w:val="24"/>
          <w:szCs w:val="24"/>
        </w:rPr>
      </w:pPr>
      <w:bookmarkStart w:id="43" w:name="_Toc437617711"/>
      <w:r w:rsidRPr="006C5975">
        <w:rPr>
          <w:sz w:val="24"/>
          <w:szCs w:val="24"/>
        </w:rPr>
        <w:t>10. Study Quality Control</w:t>
      </w:r>
      <w:bookmarkEnd w:id="43"/>
    </w:p>
    <w:p w:rsidR="00080EB9" w:rsidRPr="006C5975" w:rsidRDefault="00080EB9" w:rsidP="001D216C">
      <w:pPr>
        <w:pStyle w:val="ad"/>
        <w:numPr>
          <w:ilvl w:val="0"/>
          <w:numId w:val="4"/>
        </w:numPr>
        <w:tabs>
          <w:tab w:val="num" w:pos="720"/>
        </w:tabs>
        <w:spacing w:line="360" w:lineRule="auto"/>
        <w:ind w:left="720"/>
        <w:jc w:val="left"/>
        <w:rPr>
          <w:rFonts w:ascii="Times New Roman" w:hAnsi="Times New Roman"/>
          <w:sz w:val="22"/>
          <w:szCs w:val="24"/>
        </w:rPr>
      </w:pPr>
      <w:r w:rsidRPr="006C5975">
        <w:rPr>
          <w:rFonts w:ascii="Times New Roman" w:hAnsi="Times New Roman"/>
          <w:sz w:val="22"/>
          <w:szCs w:val="24"/>
        </w:rPr>
        <w:t xml:space="preserve">Prior to the study, the principal investigator and the investigators of this site should learn GCP principle and discuss this protocol in order to fully understand the requirements and </w:t>
      </w:r>
      <w:r>
        <w:rPr>
          <w:rFonts w:ascii="Times New Roman" w:hAnsi="Times New Roman"/>
          <w:sz w:val="22"/>
          <w:szCs w:val="24"/>
        </w:rPr>
        <w:t xml:space="preserve">the procedure </w:t>
      </w:r>
      <w:r w:rsidRPr="006C5975">
        <w:rPr>
          <w:rFonts w:ascii="Times New Roman" w:hAnsi="Times New Roman"/>
          <w:sz w:val="22"/>
          <w:szCs w:val="24"/>
        </w:rPr>
        <w:t>of this study.</w:t>
      </w:r>
    </w:p>
    <w:p w:rsidR="00080EB9" w:rsidRPr="006C5975" w:rsidRDefault="00080EB9" w:rsidP="001D216C">
      <w:pPr>
        <w:pStyle w:val="ad"/>
        <w:numPr>
          <w:ilvl w:val="0"/>
          <w:numId w:val="4"/>
        </w:numPr>
        <w:tabs>
          <w:tab w:val="num" w:pos="720"/>
        </w:tabs>
        <w:spacing w:line="360" w:lineRule="auto"/>
        <w:ind w:left="720"/>
        <w:jc w:val="left"/>
        <w:rPr>
          <w:rFonts w:ascii="Times New Roman" w:hAnsi="Times New Roman"/>
          <w:sz w:val="22"/>
          <w:szCs w:val="24"/>
        </w:rPr>
      </w:pPr>
      <w:r w:rsidRPr="006C5975">
        <w:rPr>
          <w:rFonts w:ascii="Times New Roman" w:hAnsi="Times New Roman"/>
          <w:sz w:val="22"/>
          <w:szCs w:val="24"/>
        </w:rPr>
        <w:t>The principal investigator and the investigators of this site should assure the study quality, control the inclusion and exclusion criteria strictly, and fill in CRF carefully. Correcting wrong data can be deleted by a single oblique line followed by writing correct number nearby</w:t>
      </w:r>
      <w:r>
        <w:rPr>
          <w:rFonts w:ascii="Times New Roman" w:hAnsi="Times New Roman"/>
          <w:sz w:val="22"/>
          <w:szCs w:val="24"/>
        </w:rPr>
        <w:t xml:space="preserve"> with signature and date</w:t>
      </w:r>
      <w:r w:rsidRPr="006C5975">
        <w:rPr>
          <w:rFonts w:ascii="Times New Roman" w:hAnsi="Times New Roman"/>
          <w:sz w:val="22"/>
          <w:szCs w:val="24"/>
        </w:rPr>
        <w:t>. The original amendment should be identifiable. The principal investigator should inspect every CRF carefully and sign after it is confirmed complete.</w:t>
      </w:r>
    </w:p>
    <w:p w:rsidR="00080EB9" w:rsidRPr="006C5975" w:rsidRDefault="00080EB9" w:rsidP="001D216C">
      <w:pPr>
        <w:pStyle w:val="ad"/>
        <w:numPr>
          <w:ilvl w:val="0"/>
          <w:numId w:val="4"/>
        </w:numPr>
        <w:tabs>
          <w:tab w:val="num" w:pos="720"/>
        </w:tabs>
        <w:spacing w:line="360" w:lineRule="auto"/>
        <w:ind w:left="720"/>
        <w:jc w:val="left"/>
        <w:rPr>
          <w:rFonts w:ascii="Times New Roman" w:hAnsi="Times New Roman"/>
          <w:sz w:val="22"/>
          <w:szCs w:val="24"/>
        </w:rPr>
      </w:pPr>
      <w:r w:rsidRPr="006C5975">
        <w:rPr>
          <w:rFonts w:ascii="Times New Roman" w:hAnsi="Times New Roman"/>
          <w:sz w:val="22"/>
          <w:szCs w:val="24"/>
        </w:rPr>
        <w:t>The medical history is required to be real and reliable and be maintained appropriately for selective examination at any time.</w:t>
      </w:r>
    </w:p>
    <w:p w:rsidR="00080EB9" w:rsidRPr="006C5975" w:rsidRDefault="00080EB9" w:rsidP="00390559">
      <w:pPr>
        <w:pStyle w:val="1"/>
        <w:spacing w:before="0" w:after="0" w:line="360" w:lineRule="auto"/>
        <w:ind w:left="602" w:hangingChars="250" w:hanging="602"/>
        <w:rPr>
          <w:sz w:val="24"/>
          <w:szCs w:val="24"/>
        </w:rPr>
      </w:pPr>
      <w:bookmarkStart w:id="44" w:name="_Toc437617712"/>
      <w:r w:rsidRPr="006C5975">
        <w:rPr>
          <w:sz w:val="24"/>
          <w:szCs w:val="24"/>
        </w:rPr>
        <w:t>11. Data Acquisition and Analytical Methods</w:t>
      </w:r>
      <w:bookmarkEnd w:id="44"/>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45" w:name="_Toc437617713"/>
      <w:r w:rsidRPr="006C5975">
        <w:rPr>
          <w:rFonts w:ascii="Times New Roman" w:eastAsia="宋体" w:hAnsi="Times New Roman"/>
          <w:sz w:val="24"/>
          <w:szCs w:val="24"/>
        </w:rPr>
        <w:t>11.1 Data acquisition</w:t>
      </w:r>
      <w:bookmarkEnd w:id="45"/>
    </w:p>
    <w:p w:rsidR="00080EB9" w:rsidRPr="004F76AD" w:rsidRDefault="00080EB9" w:rsidP="00303C50">
      <w:pPr>
        <w:numPr>
          <w:ilvl w:val="0"/>
          <w:numId w:val="5"/>
        </w:numPr>
        <w:spacing w:line="360" w:lineRule="auto"/>
        <w:rPr>
          <w:rFonts w:ascii="Times New Roman" w:hAnsi="Times New Roman"/>
          <w:sz w:val="22"/>
        </w:rPr>
      </w:pPr>
      <w:r w:rsidRPr="004F76AD">
        <w:rPr>
          <w:rFonts w:ascii="Times New Roman" w:hAnsi="Times New Roman"/>
          <w:sz w:val="22"/>
        </w:rPr>
        <w:t xml:space="preserve">All data should be recorded in the Case Report Form (CRF) or CRF software timely, truly and </w:t>
      </w:r>
      <w:r>
        <w:rPr>
          <w:rFonts w:ascii="Times New Roman" w:hAnsi="Times New Roman"/>
          <w:sz w:val="22"/>
        </w:rPr>
        <w:t xml:space="preserve">in </w:t>
      </w:r>
      <w:r w:rsidRPr="004F76AD">
        <w:rPr>
          <w:rFonts w:ascii="Times New Roman" w:hAnsi="Times New Roman"/>
          <w:sz w:val="22"/>
        </w:rPr>
        <w:t xml:space="preserve">detail. CRF will be considered valid when </w:t>
      </w:r>
      <w:r>
        <w:rPr>
          <w:rFonts w:ascii="Times New Roman" w:hAnsi="Times New Roman"/>
          <w:sz w:val="22"/>
        </w:rPr>
        <w:t xml:space="preserve">they </w:t>
      </w:r>
      <w:r w:rsidRPr="004F76AD">
        <w:rPr>
          <w:rFonts w:ascii="Times New Roman" w:hAnsi="Times New Roman"/>
          <w:sz w:val="22"/>
        </w:rPr>
        <w:t>are filled by specific person</w:t>
      </w:r>
      <w:r>
        <w:rPr>
          <w:rFonts w:ascii="Times New Roman" w:hAnsi="Times New Roman"/>
          <w:sz w:val="22"/>
        </w:rPr>
        <w:t>s</w:t>
      </w:r>
      <w:r w:rsidRPr="004F76AD">
        <w:rPr>
          <w:rFonts w:ascii="Times New Roman" w:hAnsi="Times New Roman"/>
          <w:sz w:val="22"/>
        </w:rPr>
        <w:t xml:space="preserve"> assigned by the study site with the signature of the principal investigator.</w:t>
      </w:r>
    </w:p>
    <w:p w:rsidR="00080EB9" w:rsidRPr="004F76AD" w:rsidRDefault="00080EB9" w:rsidP="00303C50">
      <w:pPr>
        <w:numPr>
          <w:ilvl w:val="0"/>
          <w:numId w:val="5"/>
        </w:numPr>
        <w:spacing w:line="360" w:lineRule="auto"/>
        <w:rPr>
          <w:rFonts w:ascii="Times New Roman" w:hAnsi="Times New Roman"/>
          <w:sz w:val="22"/>
        </w:rPr>
      </w:pPr>
      <w:r w:rsidRPr="004F76AD">
        <w:rPr>
          <w:rFonts w:ascii="Times New Roman" w:hAnsi="Times New Roman"/>
          <w:sz w:val="22"/>
        </w:rPr>
        <w:t>After the clinical trial is completed, the study site will organize all forms and compile a final report as required.</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46" w:name="_Toc437617714"/>
      <w:r w:rsidRPr="006C5975">
        <w:rPr>
          <w:rFonts w:ascii="Times New Roman" w:eastAsia="宋体" w:hAnsi="Times New Roman"/>
          <w:sz w:val="24"/>
          <w:szCs w:val="24"/>
        </w:rPr>
        <w:t>11.2 Statistical analysis</w:t>
      </w:r>
      <w:bookmarkEnd w:id="46"/>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In this study, SPSS17.0 software will be used for data analysis. Quantitative </w:t>
      </w:r>
      <w:r>
        <w:rPr>
          <w:rFonts w:ascii="Times New Roman" w:hAnsi="Times New Roman"/>
          <w:sz w:val="22"/>
          <w:szCs w:val="24"/>
        </w:rPr>
        <w:t>endpoints</w:t>
      </w:r>
      <w:r w:rsidRPr="006C5975">
        <w:rPr>
          <w:rFonts w:ascii="Times New Roman" w:hAnsi="Times New Roman"/>
          <w:sz w:val="22"/>
          <w:szCs w:val="24"/>
        </w:rPr>
        <w:t xml:space="preserve"> are described by median, minimum and maximum, qualitative </w:t>
      </w:r>
      <w:r>
        <w:rPr>
          <w:rFonts w:ascii="Times New Roman" w:hAnsi="Times New Roman"/>
          <w:sz w:val="22"/>
          <w:szCs w:val="24"/>
        </w:rPr>
        <w:t>endpoints</w:t>
      </w:r>
      <w:r w:rsidRPr="006C5975">
        <w:rPr>
          <w:rFonts w:ascii="Times New Roman" w:hAnsi="Times New Roman"/>
          <w:sz w:val="22"/>
          <w:szCs w:val="24"/>
        </w:rPr>
        <w:t xml:space="preserve"> are expressed by frequency and percentage. The general </w:t>
      </w:r>
      <w:r w:rsidRPr="00D35889">
        <w:rPr>
          <w:rFonts w:ascii="Times New Roman" w:hAnsi="Times New Roman"/>
          <w:sz w:val="22"/>
        </w:rPr>
        <w:t>demographic</w:t>
      </w:r>
      <w:r w:rsidRPr="006C5975">
        <w:rPr>
          <w:rFonts w:ascii="Times New Roman" w:hAnsi="Times New Roman"/>
          <w:sz w:val="22"/>
          <w:szCs w:val="24"/>
        </w:rPr>
        <w:t xml:space="preserve"> characteristics of subjects</w:t>
      </w:r>
      <w:r>
        <w:rPr>
          <w:rFonts w:ascii="Times New Roman" w:hAnsi="Times New Roman"/>
          <w:sz w:val="22"/>
          <w:szCs w:val="24"/>
        </w:rPr>
        <w:t xml:space="preserve"> </w:t>
      </w:r>
      <w:r w:rsidRPr="006C5975">
        <w:rPr>
          <w:rFonts w:ascii="Times New Roman" w:hAnsi="Times New Roman"/>
          <w:sz w:val="22"/>
          <w:szCs w:val="24"/>
        </w:rPr>
        <w:t xml:space="preserve">are shown by descriptive analysis; chi-square test and </w:t>
      </w:r>
      <w:r w:rsidRPr="00CB7A72">
        <w:rPr>
          <w:rFonts w:ascii="Times New Roman" w:hAnsi="Times New Roman"/>
          <w:sz w:val="22"/>
          <w:szCs w:val="24"/>
        </w:rPr>
        <w:t>Fisher's exact test</w:t>
      </w:r>
      <w:r w:rsidRPr="006C5975">
        <w:rPr>
          <w:rFonts w:ascii="Times New Roman" w:hAnsi="Times New Roman"/>
          <w:sz w:val="22"/>
          <w:szCs w:val="24"/>
        </w:rPr>
        <w:t xml:space="preserve"> are used to compare the equivalence of demographic characteristics, efficacy </w:t>
      </w:r>
      <w:r w:rsidRPr="006C5975">
        <w:rPr>
          <w:rFonts w:ascii="Times New Roman" w:hAnsi="Times New Roman"/>
          <w:sz w:val="22"/>
          <w:szCs w:val="24"/>
        </w:rPr>
        <w:lastRenderedPageBreak/>
        <w:t xml:space="preserve">evaluation and occurrence of adverse events between both groups; log-rank test is used to analyze the disease progression and survival of subjects; </w:t>
      </w:r>
      <w:r w:rsidRPr="00CB7A72">
        <w:rPr>
          <w:rFonts w:ascii="Times New Roman" w:hAnsi="Times New Roman"/>
          <w:sz w:val="22"/>
          <w:szCs w:val="24"/>
        </w:rPr>
        <w:t>COX regression multivariate analysis</w:t>
      </w:r>
      <w:r w:rsidRPr="006C5975">
        <w:rPr>
          <w:rFonts w:ascii="Times New Roman" w:hAnsi="Times New Roman"/>
          <w:sz w:val="22"/>
          <w:szCs w:val="24"/>
        </w:rPr>
        <w:t xml:space="preserve"> is used to analyze the prognostic factors for disease progression and survival of subjects. All statistical tests are performed two-sided, and a statistically significant difference is considered when P value is less than or equal to 0.05.</w:t>
      </w:r>
    </w:p>
    <w:p w:rsidR="00080EB9" w:rsidRPr="006C5975" w:rsidRDefault="00080EB9" w:rsidP="00390559">
      <w:pPr>
        <w:pStyle w:val="2"/>
        <w:spacing w:before="0" w:after="0" w:line="360" w:lineRule="auto"/>
        <w:ind w:left="723" w:hangingChars="300" w:hanging="723"/>
        <w:rPr>
          <w:rFonts w:ascii="Times New Roman" w:eastAsia="宋体" w:hAnsi="Times New Roman"/>
          <w:sz w:val="24"/>
          <w:szCs w:val="24"/>
        </w:rPr>
      </w:pPr>
      <w:bookmarkStart w:id="47" w:name="_Toc437617715"/>
      <w:r w:rsidRPr="006C5975">
        <w:rPr>
          <w:rFonts w:ascii="Times New Roman" w:eastAsia="宋体" w:hAnsi="Times New Roman"/>
          <w:sz w:val="24"/>
          <w:szCs w:val="24"/>
        </w:rPr>
        <w:t>11.3 Mid-term analysis</w:t>
      </w:r>
      <w:bookmarkEnd w:id="47"/>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After 70 eligible subjects are enrolled in this randomized, controlled phase II clinical trial and the 70th subject completes 12-month follow-up, a mid-term analysis will be performed </w:t>
      </w:r>
      <w:r>
        <w:rPr>
          <w:rFonts w:ascii="Times New Roman" w:hAnsi="Times New Roman"/>
          <w:sz w:val="22"/>
          <w:szCs w:val="24"/>
        </w:rPr>
        <w:t>as follows:</w:t>
      </w:r>
    </w:p>
    <w:p w:rsidR="00080EB9" w:rsidRPr="006C5975" w:rsidRDefault="00080EB9" w:rsidP="001D216C">
      <w:pPr>
        <w:pStyle w:val="ad"/>
        <w:numPr>
          <w:ilvl w:val="0"/>
          <w:numId w:val="35"/>
        </w:numPr>
        <w:spacing w:line="360" w:lineRule="auto"/>
        <w:rPr>
          <w:rFonts w:ascii="Times New Roman" w:hAnsi="Times New Roman"/>
          <w:sz w:val="22"/>
          <w:szCs w:val="24"/>
        </w:rPr>
      </w:pPr>
      <w:r w:rsidRPr="006C5975">
        <w:rPr>
          <w:rFonts w:ascii="Times New Roman" w:hAnsi="Times New Roman"/>
          <w:sz w:val="22"/>
          <w:szCs w:val="24"/>
        </w:rPr>
        <w:t>Number of enrolled patients and time to be completed;</w:t>
      </w:r>
    </w:p>
    <w:p w:rsidR="00080EB9" w:rsidRPr="006C5975" w:rsidRDefault="00080EB9" w:rsidP="001D216C">
      <w:pPr>
        <w:pStyle w:val="ad"/>
        <w:numPr>
          <w:ilvl w:val="0"/>
          <w:numId w:val="35"/>
        </w:numPr>
        <w:spacing w:line="360" w:lineRule="auto"/>
        <w:rPr>
          <w:rFonts w:ascii="Times New Roman" w:hAnsi="Times New Roman"/>
          <w:sz w:val="22"/>
          <w:szCs w:val="24"/>
        </w:rPr>
      </w:pPr>
      <w:r w:rsidRPr="006C5975">
        <w:rPr>
          <w:rFonts w:ascii="Times New Roman" w:hAnsi="Times New Roman"/>
          <w:sz w:val="22"/>
          <w:szCs w:val="24"/>
        </w:rPr>
        <w:t>Number of compliance and non-compliance to the therapeutic regimen</w:t>
      </w:r>
      <w:r>
        <w:rPr>
          <w:rFonts w:ascii="Times New Roman" w:hAnsi="Times New Roman"/>
          <w:sz w:val="22"/>
          <w:szCs w:val="24"/>
        </w:rPr>
        <w:t>s</w:t>
      </w:r>
      <w:r w:rsidRPr="006C5975">
        <w:rPr>
          <w:rFonts w:ascii="Times New Roman" w:hAnsi="Times New Roman"/>
          <w:sz w:val="22"/>
          <w:szCs w:val="24"/>
        </w:rPr>
        <w:t>;</w:t>
      </w:r>
    </w:p>
    <w:p w:rsidR="00080EB9" w:rsidRPr="006C5975" w:rsidRDefault="00080EB9" w:rsidP="001D216C">
      <w:pPr>
        <w:pStyle w:val="ad"/>
        <w:numPr>
          <w:ilvl w:val="0"/>
          <w:numId w:val="35"/>
        </w:numPr>
        <w:spacing w:line="360" w:lineRule="auto"/>
        <w:rPr>
          <w:rFonts w:ascii="Times New Roman" w:hAnsi="Times New Roman"/>
          <w:sz w:val="22"/>
          <w:szCs w:val="24"/>
        </w:rPr>
      </w:pPr>
      <w:r w:rsidRPr="006C5975">
        <w:rPr>
          <w:rFonts w:ascii="Times New Roman" w:hAnsi="Times New Roman"/>
          <w:sz w:val="22"/>
          <w:szCs w:val="24"/>
        </w:rPr>
        <w:t>Evaluate the quality of data based on the time when submitting the data, and the integrity and the accuracy;</w:t>
      </w:r>
    </w:p>
    <w:p w:rsidR="00080EB9" w:rsidRPr="006C5975" w:rsidRDefault="00080EB9" w:rsidP="001D216C">
      <w:pPr>
        <w:pStyle w:val="ad"/>
        <w:numPr>
          <w:ilvl w:val="0"/>
          <w:numId w:val="35"/>
        </w:numPr>
        <w:spacing w:line="360" w:lineRule="auto"/>
        <w:rPr>
          <w:rFonts w:ascii="Times New Roman" w:hAnsi="Times New Roman"/>
          <w:sz w:val="22"/>
          <w:szCs w:val="24"/>
        </w:rPr>
      </w:pPr>
      <w:r w:rsidRPr="006C5975">
        <w:rPr>
          <w:rFonts w:ascii="Times New Roman" w:hAnsi="Times New Roman"/>
          <w:sz w:val="22"/>
          <w:szCs w:val="24"/>
        </w:rPr>
        <w:t>Occurrence and grading of toxic and side effects.</w:t>
      </w:r>
    </w:p>
    <w:p w:rsidR="00080EB9" w:rsidRPr="006C5975" w:rsidRDefault="00080EB9" w:rsidP="00D35889">
      <w:pPr>
        <w:spacing w:line="360" w:lineRule="auto"/>
        <w:jc w:val="left"/>
        <w:rPr>
          <w:rFonts w:ascii="Times New Roman" w:hAnsi="Times New Roman"/>
          <w:sz w:val="22"/>
          <w:szCs w:val="24"/>
        </w:rPr>
      </w:pPr>
      <w:r w:rsidRPr="006C5975">
        <w:rPr>
          <w:rFonts w:ascii="Times New Roman" w:hAnsi="Times New Roman"/>
          <w:sz w:val="22"/>
          <w:szCs w:val="24"/>
        </w:rPr>
        <w:t xml:space="preserve">Based on the </w:t>
      </w:r>
      <w:r w:rsidRPr="00D35889">
        <w:rPr>
          <w:rFonts w:ascii="Times New Roman" w:hAnsi="Times New Roman"/>
          <w:sz w:val="22"/>
        </w:rPr>
        <w:t>above</w:t>
      </w:r>
      <w:r w:rsidRPr="006C5975">
        <w:rPr>
          <w:rFonts w:ascii="Times New Roman" w:hAnsi="Times New Roman"/>
          <w:sz w:val="22"/>
          <w:szCs w:val="24"/>
        </w:rPr>
        <w:t xml:space="preserve"> data, the central office will summarize and report at the study site meeting periodically. If necessary, the protocol may be revised or terminated.</w:t>
      </w:r>
    </w:p>
    <w:p w:rsidR="00080EB9" w:rsidRPr="006C5975" w:rsidRDefault="00080EB9" w:rsidP="00D35889">
      <w:pPr>
        <w:spacing w:line="360" w:lineRule="auto"/>
        <w:jc w:val="left"/>
        <w:rPr>
          <w:rFonts w:ascii="Times New Roman" w:hAnsi="Times New Roman"/>
          <w:sz w:val="24"/>
          <w:szCs w:val="24"/>
        </w:rPr>
      </w:pPr>
    </w:p>
    <w:p w:rsidR="00080EB9" w:rsidRPr="006C5975" w:rsidRDefault="00080EB9" w:rsidP="00390559">
      <w:pPr>
        <w:pStyle w:val="1"/>
        <w:spacing w:before="0" w:after="0" w:line="360" w:lineRule="auto"/>
        <w:ind w:left="602" w:hangingChars="250" w:hanging="602"/>
        <w:rPr>
          <w:sz w:val="24"/>
          <w:szCs w:val="24"/>
        </w:rPr>
      </w:pPr>
      <w:bookmarkStart w:id="48" w:name="_Toc437617716"/>
      <w:r w:rsidRPr="006C5975">
        <w:rPr>
          <w:sz w:val="24"/>
          <w:szCs w:val="24"/>
        </w:rPr>
        <w:t>References</w:t>
      </w:r>
      <w:bookmarkEnd w:id="48"/>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1. Thatcher N, Chang A, Parikh P et al: Gefitinib plus best supportive care in previously treated patients with refractory advanced non-small-cell lung cancer: Results from a randomised, placebo-controlled, multicentre study (Iressa Survival Evaluation in Lung Cancer). Lancet 366:1527–1537, 2005</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2. Shepherd FA, Rodrigues Pereira J, Ciuleanu T, et al: Erlotinib in previously treated non-small-cell lung cancer. N Engl J Med 353:123–132, 2005</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3. Fukuoka M, Yano S, Giaccone G, et al: Multiinstitutional randomized phase II trial of gefitinib for previously treated patients with advanced non-small-cell lung cancer (the IDEAL 1 trial). J Clin Oncol 21:2237–2246, 2003</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4. Giaccone G, Herbst RS, Manegold C, et al: Gefitinib in combination with gemcitabine and cisplatin in advanced non-small-cell lung cancer: A phase III trial—INTACT 1. J Clin Oncol 22:777–784, 2004</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lastRenderedPageBreak/>
        <w:t>5. Paez JG, J¨anne PA, Lee JC, et al: EGFR mutations in lung cancer: Correlation with clinical response to gefitinib therapy. Science 304:1497–1500, 2004</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6. Lynch TJ, Bell DW, Sordella R, et al: Activating mutations in the epidermal growth factor receptor underlying responsiveness of non-small-cell lung cancer to gefitinib. N Engl J Med 350:2129–2139, 2004</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7. Bell DW, Lynch TJ, Haserlat SM, et al. Epidermal growth factor receptor mutations and gene amplification in non-small-cell lung cancer: molecular analysis of the IDEAL/INTACT gefitinib trials. J Clin Oncol. 2005,23(31):8081-92.</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8. Mok T, Wu Y-L, Thongprasert S, et al: Phase III, randomised, open-label, first-line study of gefitinib (G) vs carboplatin/paclitaxel (C/P) in clinically selected patients (PTS) with advanced non-small-cell lung cancer (NSCLC) (IPASS). Ann Oncol 19 (S8): viii1- viii4, 2008 (suppl 8)</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9. Jackman DM, Yeap BY, Sequist LV, et al: Exon 19 deletion mutations of epidermal growth factor receptor are associated with prolonged survival in non-small cell lung cancer patients treated with gefitinib or erlotinib. Clin Cancer Res 12: 3908-3914, 2006</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10. Riely GJ, Pao W, Pham DK, et al: Clinical course of patients with non-small cell lung cancer and epidermal growth factor receptor exon 19 and exon 21 mutations treated with gefitinib or erlotinib. Clin Cancer Res 12: 839-8444, 2006</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11. Massuti B, Morán T, Porta R, et al: Multicenter prospective trial of customized erlotinib for advanced non-small cell lung cancer (NSCLC) patients (p) with epidermal growth factor receptor (EGFR) mutations: Final results of the Spanish Lung Cancer Group (SLCG) trial. J Clin Oncol 27:15s, 2009 (suppl; abstr 8023)</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12.Yang CH, Yu CJ, Shih JY, et al. Specific EGFR Mutations Predict Treatment Outcome of Stage IIIB/IV Patients With Chemotherapy-Naïve Non–Small-Cell Lung Cancer Receiving First-Line Gefitinib Monotherapy. J Clin Oncol 26(16): 2745-2753, 2008</w:t>
      </w:r>
    </w:p>
    <w:p w:rsidR="00080EB9" w:rsidRPr="006C5975" w:rsidRDefault="00080EB9" w:rsidP="00390559">
      <w:pPr>
        <w:spacing w:line="360" w:lineRule="auto"/>
        <w:ind w:left="220" w:hangingChars="100" w:hanging="220"/>
        <w:jc w:val="left"/>
        <w:rPr>
          <w:rFonts w:ascii="Times New Roman" w:hAnsi="Times New Roman"/>
          <w:sz w:val="22"/>
        </w:rPr>
      </w:pPr>
      <w:r w:rsidRPr="006C5975">
        <w:rPr>
          <w:rFonts w:ascii="Times New Roman" w:hAnsi="Times New Roman"/>
          <w:sz w:val="22"/>
        </w:rPr>
        <w:t>13.</w:t>
      </w:r>
      <w:r w:rsidR="00390559" w:rsidRPr="00390559">
        <w:t xml:space="preserve"> </w:t>
      </w:r>
      <w:r w:rsidR="00390559" w:rsidRPr="00390559">
        <w:rPr>
          <w:rFonts w:ascii="Times New Roman" w:hAnsi="Times New Roman"/>
          <w:sz w:val="22"/>
        </w:rPr>
        <w:t>Fukuoka M, Wu Y, Thongprasert S, et al. Biomarker analyses from a phase III, randomized, open-label, first-line study of gefitinib (G) versus carboplatin/paclitaxel (C/P) in clinically selected patients (pts) with advanced non-small cell lung cancer (NSCLC) in Asia (IPASS). J Clin Oncol 27:15s, 2009 (suppl; abstr 8006).</w:t>
      </w:r>
    </w:p>
    <w:p w:rsidR="00080EB9" w:rsidRPr="006C5975" w:rsidRDefault="00080EB9" w:rsidP="00E16F36">
      <w:pPr>
        <w:spacing w:line="360" w:lineRule="auto"/>
        <w:ind w:left="220" w:hangingChars="100" w:hanging="220"/>
        <w:jc w:val="left"/>
        <w:rPr>
          <w:rFonts w:ascii="Times New Roman" w:hAnsi="Times New Roman"/>
          <w:sz w:val="22"/>
        </w:rPr>
      </w:pPr>
      <w:r w:rsidRPr="006C5975">
        <w:rPr>
          <w:rFonts w:ascii="Times New Roman" w:hAnsi="Times New Roman"/>
          <w:sz w:val="22"/>
        </w:rPr>
        <w:t xml:space="preserve">14. Costa DB, Schumer ST, Tenen DG, et al. Differential responses to erlotinib in epidermal growth </w:t>
      </w:r>
      <w:r w:rsidRPr="006C5975">
        <w:rPr>
          <w:rFonts w:ascii="Times New Roman" w:hAnsi="Times New Roman"/>
          <w:sz w:val="22"/>
        </w:rPr>
        <w:lastRenderedPageBreak/>
        <w:t>factor receptor (EGFR)-mutated lung cancers with acquired resistance to gefitinib carrying the L747S or T790M secondary mutations. J Clin Oncol. 2008,26(7):1182-4.</w:t>
      </w:r>
    </w:p>
    <w:sectPr w:rsidR="00080EB9" w:rsidRPr="006C5975" w:rsidSect="00303C50">
      <w:headerReference w:type="default" r:id="rId9"/>
      <w:footerReference w:type="default" r:id="rId10"/>
      <w:pgSz w:w="11906" w:h="16838" w:code="9"/>
      <w:pgMar w:top="1440" w:right="1440" w:bottom="1440" w:left="1440"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838" w:rsidRDefault="00125838" w:rsidP="00AB24F0">
      <w:r>
        <w:separator/>
      </w:r>
    </w:p>
  </w:endnote>
  <w:endnote w:type="continuationSeparator" w:id="0">
    <w:p w:rsidR="00125838" w:rsidRDefault="00125838" w:rsidP="00AB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E2" w:rsidRPr="008B3185" w:rsidRDefault="009170E2" w:rsidP="008B3185">
    <w:pPr>
      <w:pStyle w:val="a4"/>
      <w:jc w:val="center"/>
      <w:rPr>
        <w:rFonts w:ascii="Times New Roman" w:hAnsi="Times New Roman"/>
      </w:rPr>
    </w:pPr>
    <w:r w:rsidRPr="008B3185">
      <w:rPr>
        <w:rFonts w:ascii="Times New Roman" w:hAnsi="Times New Roman"/>
      </w:rPr>
      <w:fldChar w:fldCharType="begin"/>
    </w:r>
    <w:r w:rsidRPr="008B3185">
      <w:rPr>
        <w:rFonts w:ascii="Times New Roman" w:hAnsi="Times New Roman"/>
      </w:rPr>
      <w:instrText>PAGE   \* MERGEFORMAT</w:instrText>
    </w:r>
    <w:r w:rsidRPr="008B3185">
      <w:rPr>
        <w:rFonts w:ascii="Times New Roman" w:hAnsi="Times New Roman"/>
      </w:rPr>
      <w:fldChar w:fldCharType="separate"/>
    </w:r>
    <w:r w:rsidR="001578F4" w:rsidRPr="001578F4">
      <w:rPr>
        <w:rFonts w:ascii="Times New Roman" w:hAnsi="Times New Roman"/>
        <w:noProof/>
        <w:lang w:val="zh-CN"/>
      </w:rPr>
      <w:t>4</w:t>
    </w:r>
    <w:r w:rsidRPr="008B3185">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838" w:rsidRDefault="00125838" w:rsidP="00AB24F0">
      <w:r>
        <w:separator/>
      </w:r>
    </w:p>
  </w:footnote>
  <w:footnote w:type="continuationSeparator" w:id="0">
    <w:p w:rsidR="00125838" w:rsidRDefault="00125838" w:rsidP="00AB24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E2" w:rsidRPr="002D535A" w:rsidRDefault="009170E2">
    <w:pPr>
      <w:pStyle w:val="a3"/>
      <w:rPr>
        <w:rFonts w:ascii="Times New Roman" w:hAnsi="Times New Roman"/>
        <w:sz w:val="21"/>
        <w:szCs w:val="21"/>
      </w:rPr>
    </w:pPr>
    <w:r w:rsidRPr="002D535A">
      <w:rPr>
        <w:rFonts w:ascii="Times New Roman" w:hAnsi="Times New Roman"/>
        <w:sz w:val="21"/>
        <w:szCs w:val="21"/>
      </w:rPr>
      <w:t>A randomized, controlled phase II/III trial to evaluate the efficacy of elortinib vs gefitinib in advanced non-small-cell lung cancer with EGFR exon 19 or 21 mutations</w:t>
    </w:r>
  </w:p>
  <w:p w:rsidR="009170E2" w:rsidRPr="008B3185" w:rsidRDefault="009170E2">
    <w:pPr>
      <w:pStyle w:val="a3"/>
      <w:rPr>
        <w:rFonts w:ascii="Times New Roman" w:hAnsi="Times New Roman"/>
        <w:sz w:val="21"/>
        <w:szCs w:val="21"/>
      </w:rPr>
    </w:pPr>
    <w:r w:rsidRPr="002D535A">
      <w:rPr>
        <w:rFonts w:ascii="Times New Roman" w:hAnsi="Times New Roman"/>
        <w:sz w:val="21"/>
        <w:szCs w:val="21"/>
      </w:rPr>
      <w:t xml:space="preserve">Version No.: </w:t>
    </w:r>
    <w:r w:rsidRPr="008B3185">
      <w:rPr>
        <w:rFonts w:ascii="Times New Roman" w:hAnsi="Times New Roman"/>
        <w:sz w:val="21"/>
        <w:szCs w:val="21"/>
      </w:rPr>
      <w:t xml:space="preserve">1     </w:t>
    </w:r>
    <w:r>
      <w:rPr>
        <w:rFonts w:ascii="Times New Roman" w:hAnsi="Times New Roman"/>
        <w:sz w:val="21"/>
        <w:szCs w:val="21"/>
      </w:rPr>
      <w:t xml:space="preserve">Date: </w:t>
    </w:r>
    <w:r w:rsidRPr="008B3185">
      <w:rPr>
        <w:rFonts w:ascii="Times New Roman" w:hAnsi="Times New Roman"/>
        <w:sz w:val="21"/>
        <w:szCs w:val="21"/>
      </w:rPr>
      <w:t>2009-6-26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A49920"/>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9A0056E8"/>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02EDCFE"/>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A3FEB606"/>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1EAACEEA"/>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3A44AEE6"/>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0D4A557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24A413C6"/>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125EF1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518B250"/>
    <w:lvl w:ilvl="0">
      <w:start w:val="1"/>
      <w:numFmt w:val="bullet"/>
      <w:lvlText w:val=""/>
      <w:lvlJc w:val="left"/>
      <w:pPr>
        <w:tabs>
          <w:tab w:val="num" w:pos="360"/>
        </w:tabs>
        <w:ind w:left="360" w:hanging="360"/>
      </w:pPr>
      <w:rPr>
        <w:rFonts w:ascii="Wingdings" w:hAnsi="Wingdings" w:hint="default"/>
      </w:rPr>
    </w:lvl>
  </w:abstractNum>
  <w:abstractNum w:abstractNumId="10">
    <w:nsid w:val="006A05BA"/>
    <w:multiLevelType w:val="hybridMultilevel"/>
    <w:tmpl w:val="2AA8C1EA"/>
    <w:lvl w:ilvl="0" w:tplc="0409000F">
      <w:start w:val="1"/>
      <w:numFmt w:val="decimal"/>
      <w:lvlText w:val="%1."/>
      <w:lvlJc w:val="left"/>
      <w:pPr>
        <w:tabs>
          <w:tab w:val="num" w:pos="980"/>
        </w:tabs>
        <w:ind w:left="980" w:hanging="420"/>
      </w:pPr>
      <w:rPr>
        <w:rFonts w:cs="Times New Roman"/>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11">
    <w:nsid w:val="01316D3A"/>
    <w:multiLevelType w:val="hybridMultilevel"/>
    <w:tmpl w:val="635675A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31317F9"/>
    <w:multiLevelType w:val="hybridMultilevel"/>
    <w:tmpl w:val="C8A849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086A7B36"/>
    <w:multiLevelType w:val="hybridMultilevel"/>
    <w:tmpl w:val="C4F21A14"/>
    <w:lvl w:ilvl="0" w:tplc="F104E3C6">
      <w:start w:val="1"/>
      <w:numFmt w:val="decimal"/>
      <w:lvlText w:val="%1."/>
      <w:lvlJc w:val="left"/>
      <w:pPr>
        <w:tabs>
          <w:tab w:val="num" w:pos="840"/>
        </w:tabs>
        <w:ind w:left="840" w:hanging="360"/>
      </w:pPr>
      <w:rPr>
        <w:rFonts w:cs="Times New Roman" w:hint="eastAsia"/>
        <w:b w:val="0"/>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4">
    <w:nsid w:val="096649BC"/>
    <w:multiLevelType w:val="hybridMultilevel"/>
    <w:tmpl w:val="C8A849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0E3B192D"/>
    <w:multiLevelType w:val="hybridMultilevel"/>
    <w:tmpl w:val="E3164976"/>
    <w:lvl w:ilvl="0" w:tplc="84BC8822">
      <w:start w:val="1"/>
      <w:numFmt w:val="decimal"/>
      <w:lvlText w:val="%1."/>
      <w:lvlJc w:val="left"/>
      <w:pPr>
        <w:tabs>
          <w:tab w:val="num" w:pos="360"/>
        </w:tabs>
        <w:ind w:left="360" w:hanging="36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12CF541E"/>
    <w:multiLevelType w:val="hybridMultilevel"/>
    <w:tmpl w:val="043EFDC8"/>
    <w:lvl w:ilvl="0" w:tplc="B6544D5A">
      <w:start w:val="1"/>
      <w:numFmt w:val="lowerLetter"/>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136947AE"/>
    <w:multiLevelType w:val="hybridMultilevel"/>
    <w:tmpl w:val="1F8C915E"/>
    <w:lvl w:ilvl="0" w:tplc="094AA198">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8">
    <w:nsid w:val="19C130A5"/>
    <w:multiLevelType w:val="hybridMultilevel"/>
    <w:tmpl w:val="C8A849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1F31539D"/>
    <w:multiLevelType w:val="hybridMultilevel"/>
    <w:tmpl w:val="08E82E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0FF7EB0"/>
    <w:multiLevelType w:val="hybridMultilevel"/>
    <w:tmpl w:val="5D341CF6"/>
    <w:lvl w:ilvl="0" w:tplc="4BD82B6E">
      <w:numFmt w:val="bullet"/>
      <w:lvlText w:val="◆"/>
      <w:lvlJc w:val="left"/>
      <w:pPr>
        <w:tabs>
          <w:tab w:val="num" w:pos="990"/>
        </w:tabs>
        <w:ind w:left="990" w:hanging="360"/>
      </w:pPr>
      <w:rPr>
        <w:rFonts w:ascii="宋体" w:eastAsia="宋体" w:hAnsi="宋体" w:hint="eastAsia"/>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21">
    <w:nsid w:val="232335D4"/>
    <w:multiLevelType w:val="hybridMultilevel"/>
    <w:tmpl w:val="2A80DD3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3536E47"/>
    <w:multiLevelType w:val="hybridMultilevel"/>
    <w:tmpl w:val="D654F2DE"/>
    <w:lvl w:ilvl="0" w:tplc="97088EB8">
      <w:start w:val="1"/>
      <w:numFmt w:val="decimal"/>
      <w:lvlText w:val="%1."/>
      <w:lvlJc w:val="left"/>
      <w:pPr>
        <w:tabs>
          <w:tab w:val="num" w:pos="540"/>
        </w:tabs>
        <w:ind w:left="540" w:hanging="360"/>
      </w:pPr>
      <w:rPr>
        <w:rFonts w:cs="Times New Roman" w:hint="eastAsia"/>
        <w:b w:val="0"/>
      </w:rPr>
    </w:lvl>
    <w:lvl w:ilvl="1" w:tplc="04090019" w:tentative="1">
      <w:start w:val="1"/>
      <w:numFmt w:val="lowerLetter"/>
      <w:lvlText w:val="%2)"/>
      <w:lvlJc w:val="left"/>
      <w:pPr>
        <w:tabs>
          <w:tab w:val="num" w:pos="1020"/>
        </w:tabs>
        <w:ind w:left="1020" w:hanging="420"/>
      </w:pPr>
      <w:rPr>
        <w:rFonts w:cs="Times New Roman"/>
      </w:rPr>
    </w:lvl>
    <w:lvl w:ilvl="2" w:tplc="0409001B" w:tentative="1">
      <w:start w:val="1"/>
      <w:numFmt w:val="lowerRoman"/>
      <w:lvlText w:val="%3."/>
      <w:lvlJc w:val="righ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9" w:tentative="1">
      <w:start w:val="1"/>
      <w:numFmt w:val="lowerLetter"/>
      <w:lvlText w:val="%5)"/>
      <w:lvlJc w:val="left"/>
      <w:pPr>
        <w:tabs>
          <w:tab w:val="num" w:pos="2280"/>
        </w:tabs>
        <w:ind w:left="2280" w:hanging="420"/>
      </w:pPr>
      <w:rPr>
        <w:rFonts w:cs="Times New Roman"/>
      </w:rPr>
    </w:lvl>
    <w:lvl w:ilvl="5" w:tplc="0409001B" w:tentative="1">
      <w:start w:val="1"/>
      <w:numFmt w:val="lowerRoman"/>
      <w:lvlText w:val="%6."/>
      <w:lvlJc w:val="righ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9" w:tentative="1">
      <w:start w:val="1"/>
      <w:numFmt w:val="lowerLetter"/>
      <w:lvlText w:val="%8)"/>
      <w:lvlJc w:val="left"/>
      <w:pPr>
        <w:tabs>
          <w:tab w:val="num" w:pos="3540"/>
        </w:tabs>
        <w:ind w:left="3540" w:hanging="420"/>
      </w:pPr>
      <w:rPr>
        <w:rFonts w:cs="Times New Roman"/>
      </w:rPr>
    </w:lvl>
    <w:lvl w:ilvl="8" w:tplc="0409001B" w:tentative="1">
      <w:start w:val="1"/>
      <w:numFmt w:val="lowerRoman"/>
      <w:lvlText w:val="%9."/>
      <w:lvlJc w:val="right"/>
      <w:pPr>
        <w:tabs>
          <w:tab w:val="num" w:pos="3960"/>
        </w:tabs>
        <w:ind w:left="3960" w:hanging="420"/>
      </w:pPr>
      <w:rPr>
        <w:rFonts w:cs="Times New Roman"/>
      </w:rPr>
    </w:lvl>
  </w:abstractNum>
  <w:abstractNum w:abstractNumId="23">
    <w:nsid w:val="26CA54EE"/>
    <w:multiLevelType w:val="hybridMultilevel"/>
    <w:tmpl w:val="E250C1CA"/>
    <w:lvl w:ilvl="0" w:tplc="094AA198">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360"/>
        </w:tabs>
        <w:ind w:left="360" w:hanging="420"/>
      </w:pPr>
      <w:rPr>
        <w:rFonts w:ascii="Wingdings" w:hAnsi="Wingdings" w:hint="default"/>
      </w:rPr>
    </w:lvl>
    <w:lvl w:ilvl="2" w:tplc="04090005" w:tentative="1">
      <w:start w:val="1"/>
      <w:numFmt w:val="bullet"/>
      <w:lvlText w:val=""/>
      <w:lvlJc w:val="left"/>
      <w:pPr>
        <w:tabs>
          <w:tab w:val="num" w:pos="780"/>
        </w:tabs>
        <w:ind w:left="780" w:hanging="420"/>
      </w:pPr>
      <w:rPr>
        <w:rFonts w:ascii="Wingdings" w:hAnsi="Wingdings" w:hint="default"/>
      </w:rPr>
    </w:lvl>
    <w:lvl w:ilvl="3" w:tplc="04090001" w:tentative="1">
      <w:start w:val="1"/>
      <w:numFmt w:val="bullet"/>
      <w:lvlText w:val=""/>
      <w:lvlJc w:val="left"/>
      <w:pPr>
        <w:tabs>
          <w:tab w:val="num" w:pos="1200"/>
        </w:tabs>
        <w:ind w:left="1200" w:hanging="420"/>
      </w:pPr>
      <w:rPr>
        <w:rFonts w:ascii="Wingdings" w:hAnsi="Wingdings" w:hint="default"/>
      </w:rPr>
    </w:lvl>
    <w:lvl w:ilvl="4" w:tplc="04090003" w:tentative="1">
      <w:start w:val="1"/>
      <w:numFmt w:val="bullet"/>
      <w:lvlText w:val=""/>
      <w:lvlJc w:val="left"/>
      <w:pPr>
        <w:tabs>
          <w:tab w:val="num" w:pos="1620"/>
        </w:tabs>
        <w:ind w:left="1620" w:hanging="420"/>
      </w:pPr>
      <w:rPr>
        <w:rFonts w:ascii="Wingdings" w:hAnsi="Wingdings" w:hint="default"/>
      </w:rPr>
    </w:lvl>
    <w:lvl w:ilvl="5" w:tplc="04090005" w:tentative="1">
      <w:start w:val="1"/>
      <w:numFmt w:val="bullet"/>
      <w:lvlText w:val=""/>
      <w:lvlJc w:val="left"/>
      <w:pPr>
        <w:tabs>
          <w:tab w:val="num" w:pos="2040"/>
        </w:tabs>
        <w:ind w:left="2040" w:hanging="420"/>
      </w:pPr>
      <w:rPr>
        <w:rFonts w:ascii="Wingdings" w:hAnsi="Wingdings" w:hint="default"/>
      </w:rPr>
    </w:lvl>
    <w:lvl w:ilvl="6" w:tplc="04090001" w:tentative="1">
      <w:start w:val="1"/>
      <w:numFmt w:val="bullet"/>
      <w:lvlText w:val=""/>
      <w:lvlJc w:val="left"/>
      <w:pPr>
        <w:tabs>
          <w:tab w:val="num" w:pos="2460"/>
        </w:tabs>
        <w:ind w:left="2460" w:hanging="420"/>
      </w:pPr>
      <w:rPr>
        <w:rFonts w:ascii="Wingdings" w:hAnsi="Wingdings" w:hint="default"/>
      </w:rPr>
    </w:lvl>
    <w:lvl w:ilvl="7" w:tplc="04090003" w:tentative="1">
      <w:start w:val="1"/>
      <w:numFmt w:val="bullet"/>
      <w:lvlText w:val=""/>
      <w:lvlJc w:val="left"/>
      <w:pPr>
        <w:tabs>
          <w:tab w:val="num" w:pos="2880"/>
        </w:tabs>
        <w:ind w:left="2880" w:hanging="420"/>
      </w:pPr>
      <w:rPr>
        <w:rFonts w:ascii="Wingdings" w:hAnsi="Wingdings" w:hint="default"/>
      </w:rPr>
    </w:lvl>
    <w:lvl w:ilvl="8" w:tplc="04090005" w:tentative="1">
      <w:start w:val="1"/>
      <w:numFmt w:val="bullet"/>
      <w:lvlText w:val=""/>
      <w:lvlJc w:val="left"/>
      <w:pPr>
        <w:tabs>
          <w:tab w:val="num" w:pos="3300"/>
        </w:tabs>
        <w:ind w:left="3300" w:hanging="420"/>
      </w:pPr>
      <w:rPr>
        <w:rFonts w:ascii="Wingdings" w:hAnsi="Wingdings" w:hint="default"/>
      </w:rPr>
    </w:lvl>
  </w:abstractNum>
  <w:abstractNum w:abstractNumId="24">
    <w:nsid w:val="2EB17069"/>
    <w:multiLevelType w:val="hybridMultilevel"/>
    <w:tmpl w:val="9CFE53CC"/>
    <w:lvl w:ilvl="0" w:tplc="094AA198">
      <w:start w:val="1"/>
      <w:numFmt w:val="bullet"/>
      <w:lvlText w:val=""/>
      <w:lvlJc w:val="left"/>
      <w:pPr>
        <w:tabs>
          <w:tab w:val="num" w:pos="1530"/>
        </w:tabs>
        <w:ind w:left="1530" w:hanging="420"/>
      </w:pPr>
      <w:rPr>
        <w:rFonts w:ascii="Wingdings" w:hAnsi="Wingdings" w:hint="default"/>
      </w:rPr>
    </w:lvl>
    <w:lvl w:ilvl="1" w:tplc="04090003">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25">
    <w:nsid w:val="340D2365"/>
    <w:multiLevelType w:val="hybridMultilevel"/>
    <w:tmpl w:val="18BE7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7AA19B3"/>
    <w:multiLevelType w:val="hybridMultilevel"/>
    <w:tmpl w:val="4732CDD4"/>
    <w:lvl w:ilvl="0" w:tplc="094AA198">
      <w:start w:val="1"/>
      <w:numFmt w:val="bullet"/>
      <w:lvlText w:val=""/>
      <w:lvlJc w:val="left"/>
      <w:pPr>
        <w:tabs>
          <w:tab w:val="num" w:pos="900"/>
        </w:tabs>
        <w:ind w:left="90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nsid w:val="4A52753E"/>
    <w:multiLevelType w:val="multilevel"/>
    <w:tmpl w:val="5D341CF6"/>
    <w:lvl w:ilvl="0">
      <w:numFmt w:val="bullet"/>
      <w:lvlText w:val="◆"/>
      <w:lvlJc w:val="left"/>
      <w:pPr>
        <w:tabs>
          <w:tab w:val="num" w:pos="990"/>
        </w:tabs>
        <w:ind w:left="990" w:hanging="360"/>
      </w:pPr>
      <w:rPr>
        <w:rFonts w:ascii="宋体" w:eastAsia="宋体" w:hAnsi="宋体" w:hint="eastAsia"/>
      </w:rPr>
    </w:lvl>
    <w:lvl w:ilvl="1">
      <w:start w:val="1"/>
      <w:numFmt w:val="bullet"/>
      <w:lvlText w:val=""/>
      <w:lvlJc w:val="left"/>
      <w:pPr>
        <w:tabs>
          <w:tab w:val="num" w:pos="1470"/>
        </w:tabs>
        <w:ind w:left="1470" w:hanging="420"/>
      </w:pPr>
      <w:rPr>
        <w:rFonts w:ascii="Wingdings" w:hAnsi="Wingdings" w:hint="default"/>
      </w:rPr>
    </w:lvl>
    <w:lvl w:ilvl="2">
      <w:start w:val="1"/>
      <w:numFmt w:val="bullet"/>
      <w:lvlText w:val=""/>
      <w:lvlJc w:val="left"/>
      <w:pPr>
        <w:tabs>
          <w:tab w:val="num" w:pos="1890"/>
        </w:tabs>
        <w:ind w:left="1890" w:hanging="420"/>
      </w:pPr>
      <w:rPr>
        <w:rFonts w:ascii="Wingdings" w:hAnsi="Wingdings" w:hint="default"/>
      </w:rPr>
    </w:lvl>
    <w:lvl w:ilvl="3">
      <w:start w:val="1"/>
      <w:numFmt w:val="bullet"/>
      <w:lvlText w:val=""/>
      <w:lvlJc w:val="left"/>
      <w:pPr>
        <w:tabs>
          <w:tab w:val="num" w:pos="2310"/>
        </w:tabs>
        <w:ind w:left="2310" w:hanging="420"/>
      </w:pPr>
      <w:rPr>
        <w:rFonts w:ascii="Wingdings" w:hAnsi="Wingdings" w:hint="default"/>
      </w:rPr>
    </w:lvl>
    <w:lvl w:ilvl="4">
      <w:start w:val="1"/>
      <w:numFmt w:val="bullet"/>
      <w:lvlText w:val=""/>
      <w:lvlJc w:val="left"/>
      <w:pPr>
        <w:tabs>
          <w:tab w:val="num" w:pos="2730"/>
        </w:tabs>
        <w:ind w:left="2730" w:hanging="420"/>
      </w:pPr>
      <w:rPr>
        <w:rFonts w:ascii="Wingdings" w:hAnsi="Wingdings" w:hint="default"/>
      </w:rPr>
    </w:lvl>
    <w:lvl w:ilvl="5">
      <w:start w:val="1"/>
      <w:numFmt w:val="bullet"/>
      <w:lvlText w:val=""/>
      <w:lvlJc w:val="left"/>
      <w:pPr>
        <w:tabs>
          <w:tab w:val="num" w:pos="3150"/>
        </w:tabs>
        <w:ind w:left="3150" w:hanging="420"/>
      </w:pPr>
      <w:rPr>
        <w:rFonts w:ascii="Wingdings" w:hAnsi="Wingdings" w:hint="default"/>
      </w:rPr>
    </w:lvl>
    <w:lvl w:ilvl="6">
      <w:start w:val="1"/>
      <w:numFmt w:val="bullet"/>
      <w:lvlText w:val=""/>
      <w:lvlJc w:val="left"/>
      <w:pPr>
        <w:tabs>
          <w:tab w:val="num" w:pos="3570"/>
        </w:tabs>
        <w:ind w:left="3570" w:hanging="420"/>
      </w:pPr>
      <w:rPr>
        <w:rFonts w:ascii="Wingdings" w:hAnsi="Wingdings" w:hint="default"/>
      </w:rPr>
    </w:lvl>
    <w:lvl w:ilvl="7">
      <w:start w:val="1"/>
      <w:numFmt w:val="bullet"/>
      <w:lvlText w:val=""/>
      <w:lvlJc w:val="left"/>
      <w:pPr>
        <w:tabs>
          <w:tab w:val="num" w:pos="3990"/>
        </w:tabs>
        <w:ind w:left="3990" w:hanging="420"/>
      </w:pPr>
      <w:rPr>
        <w:rFonts w:ascii="Wingdings" w:hAnsi="Wingdings" w:hint="default"/>
      </w:rPr>
    </w:lvl>
    <w:lvl w:ilvl="8">
      <w:start w:val="1"/>
      <w:numFmt w:val="bullet"/>
      <w:lvlText w:val=""/>
      <w:lvlJc w:val="left"/>
      <w:pPr>
        <w:tabs>
          <w:tab w:val="num" w:pos="4410"/>
        </w:tabs>
        <w:ind w:left="4410" w:hanging="420"/>
      </w:pPr>
      <w:rPr>
        <w:rFonts w:ascii="Wingdings" w:hAnsi="Wingdings" w:hint="default"/>
      </w:rPr>
    </w:lvl>
  </w:abstractNum>
  <w:abstractNum w:abstractNumId="28">
    <w:nsid w:val="5D9D0F7B"/>
    <w:multiLevelType w:val="hybridMultilevel"/>
    <w:tmpl w:val="C582ACCC"/>
    <w:lvl w:ilvl="0" w:tplc="B39E2376">
      <w:start w:val="1"/>
      <w:numFmt w:val="decimal"/>
      <w:lvlText w:val="%1."/>
      <w:lvlJc w:val="left"/>
      <w:pPr>
        <w:tabs>
          <w:tab w:val="num" w:pos="840"/>
        </w:tabs>
        <w:ind w:left="840" w:hanging="360"/>
      </w:pPr>
      <w:rPr>
        <w:rFonts w:ascii="Times New Roman" w:hAnsi="Times New Roman" w:cs="Times New Roman" w:hint="eastAsia"/>
        <w:b w:val="0"/>
        <w:color w:val="auto"/>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29">
    <w:nsid w:val="6F1A7CB2"/>
    <w:multiLevelType w:val="hybridMultilevel"/>
    <w:tmpl w:val="379E0046"/>
    <w:lvl w:ilvl="0" w:tplc="ECD08C48">
      <w:start w:val="1"/>
      <w:numFmt w:val="decimal"/>
      <w:lvlText w:val="%1."/>
      <w:lvlJc w:val="left"/>
      <w:pPr>
        <w:tabs>
          <w:tab w:val="num" w:pos="855"/>
        </w:tabs>
        <w:ind w:left="855" w:hanging="360"/>
      </w:pPr>
      <w:rPr>
        <w:rFonts w:cs="Times New Roman" w:hint="eastAsia"/>
        <w:b w:val="0"/>
      </w:rPr>
    </w:lvl>
    <w:lvl w:ilvl="1" w:tplc="04090019" w:tentative="1">
      <w:start w:val="1"/>
      <w:numFmt w:val="lowerLetter"/>
      <w:lvlText w:val="%2)"/>
      <w:lvlJc w:val="left"/>
      <w:pPr>
        <w:tabs>
          <w:tab w:val="num" w:pos="1335"/>
        </w:tabs>
        <w:ind w:left="1335" w:hanging="420"/>
      </w:pPr>
      <w:rPr>
        <w:rFonts w:cs="Times New Roman"/>
      </w:rPr>
    </w:lvl>
    <w:lvl w:ilvl="2" w:tplc="0409001B" w:tentative="1">
      <w:start w:val="1"/>
      <w:numFmt w:val="lowerRoman"/>
      <w:lvlText w:val="%3."/>
      <w:lvlJc w:val="right"/>
      <w:pPr>
        <w:tabs>
          <w:tab w:val="num" w:pos="1755"/>
        </w:tabs>
        <w:ind w:left="1755" w:hanging="420"/>
      </w:pPr>
      <w:rPr>
        <w:rFonts w:cs="Times New Roman"/>
      </w:rPr>
    </w:lvl>
    <w:lvl w:ilvl="3" w:tplc="0409000F" w:tentative="1">
      <w:start w:val="1"/>
      <w:numFmt w:val="decimal"/>
      <w:lvlText w:val="%4."/>
      <w:lvlJc w:val="left"/>
      <w:pPr>
        <w:tabs>
          <w:tab w:val="num" w:pos="2175"/>
        </w:tabs>
        <w:ind w:left="2175" w:hanging="420"/>
      </w:pPr>
      <w:rPr>
        <w:rFonts w:cs="Times New Roman"/>
      </w:rPr>
    </w:lvl>
    <w:lvl w:ilvl="4" w:tplc="04090019" w:tentative="1">
      <w:start w:val="1"/>
      <w:numFmt w:val="lowerLetter"/>
      <w:lvlText w:val="%5)"/>
      <w:lvlJc w:val="left"/>
      <w:pPr>
        <w:tabs>
          <w:tab w:val="num" w:pos="2595"/>
        </w:tabs>
        <w:ind w:left="2595" w:hanging="420"/>
      </w:pPr>
      <w:rPr>
        <w:rFonts w:cs="Times New Roman"/>
      </w:rPr>
    </w:lvl>
    <w:lvl w:ilvl="5" w:tplc="0409001B" w:tentative="1">
      <w:start w:val="1"/>
      <w:numFmt w:val="lowerRoman"/>
      <w:lvlText w:val="%6."/>
      <w:lvlJc w:val="right"/>
      <w:pPr>
        <w:tabs>
          <w:tab w:val="num" w:pos="3015"/>
        </w:tabs>
        <w:ind w:left="3015" w:hanging="420"/>
      </w:pPr>
      <w:rPr>
        <w:rFonts w:cs="Times New Roman"/>
      </w:rPr>
    </w:lvl>
    <w:lvl w:ilvl="6" w:tplc="0409000F" w:tentative="1">
      <w:start w:val="1"/>
      <w:numFmt w:val="decimal"/>
      <w:lvlText w:val="%7."/>
      <w:lvlJc w:val="left"/>
      <w:pPr>
        <w:tabs>
          <w:tab w:val="num" w:pos="3435"/>
        </w:tabs>
        <w:ind w:left="3435" w:hanging="420"/>
      </w:pPr>
      <w:rPr>
        <w:rFonts w:cs="Times New Roman"/>
      </w:rPr>
    </w:lvl>
    <w:lvl w:ilvl="7" w:tplc="04090019" w:tentative="1">
      <w:start w:val="1"/>
      <w:numFmt w:val="lowerLetter"/>
      <w:lvlText w:val="%8)"/>
      <w:lvlJc w:val="left"/>
      <w:pPr>
        <w:tabs>
          <w:tab w:val="num" w:pos="3855"/>
        </w:tabs>
        <w:ind w:left="3855" w:hanging="420"/>
      </w:pPr>
      <w:rPr>
        <w:rFonts w:cs="Times New Roman"/>
      </w:rPr>
    </w:lvl>
    <w:lvl w:ilvl="8" w:tplc="0409001B" w:tentative="1">
      <w:start w:val="1"/>
      <w:numFmt w:val="lowerRoman"/>
      <w:lvlText w:val="%9."/>
      <w:lvlJc w:val="right"/>
      <w:pPr>
        <w:tabs>
          <w:tab w:val="num" w:pos="4275"/>
        </w:tabs>
        <w:ind w:left="4275" w:hanging="420"/>
      </w:pPr>
      <w:rPr>
        <w:rFonts w:cs="Times New Roman"/>
      </w:rPr>
    </w:lvl>
  </w:abstractNum>
  <w:abstractNum w:abstractNumId="30">
    <w:nsid w:val="739739EB"/>
    <w:multiLevelType w:val="hybridMultilevel"/>
    <w:tmpl w:val="5DA01AE6"/>
    <w:lvl w:ilvl="0" w:tplc="2BF6E4EC">
      <w:start w:val="1"/>
      <w:numFmt w:val="decimal"/>
      <w:lvlText w:val="%1."/>
      <w:lvlJc w:val="left"/>
      <w:pPr>
        <w:tabs>
          <w:tab w:val="num" w:pos="210"/>
        </w:tabs>
        <w:ind w:left="210" w:hanging="360"/>
      </w:pPr>
      <w:rPr>
        <w:rFonts w:cs="Times New Roman" w:hint="eastAsia"/>
        <w:b w:val="0"/>
      </w:rPr>
    </w:lvl>
    <w:lvl w:ilvl="1" w:tplc="04090019" w:tentative="1">
      <w:start w:val="1"/>
      <w:numFmt w:val="lowerLetter"/>
      <w:lvlText w:val="%2)"/>
      <w:lvlJc w:val="left"/>
      <w:pPr>
        <w:tabs>
          <w:tab w:val="num" w:pos="690"/>
        </w:tabs>
        <w:ind w:left="690" w:hanging="420"/>
      </w:pPr>
      <w:rPr>
        <w:rFonts w:cs="Times New Roman"/>
      </w:rPr>
    </w:lvl>
    <w:lvl w:ilvl="2" w:tplc="0409001B" w:tentative="1">
      <w:start w:val="1"/>
      <w:numFmt w:val="lowerRoman"/>
      <w:lvlText w:val="%3."/>
      <w:lvlJc w:val="right"/>
      <w:pPr>
        <w:tabs>
          <w:tab w:val="num" w:pos="1110"/>
        </w:tabs>
        <w:ind w:left="1110" w:hanging="420"/>
      </w:pPr>
      <w:rPr>
        <w:rFonts w:cs="Times New Roman"/>
      </w:rPr>
    </w:lvl>
    <w:lvl w:ilvl="3" w:tplc="0409000F" w:tentative="1">
      <w:start w:val="1"/>
      <w:numFmt w:val="decimal"/>
      <w:lvlText w:val="%4."/>
      <w:lvlJc w:val="left"/>
      <w:pPr>
        <w:tabs>
          <w:tab w:val="num" w:pos="1530"/>
        </w:tabs>
        <w:ind w:left="1530" w:hanging="420"/>
      </w:pPr>
      <w:rPr>
        <w:rFonts w:cs="Times New Roman"/>
      </w:rPr>
    </w:lvl>
    <w:lvl w:ilvl="4" w:tplc="04090019" w:tentative="1">
      <w:start w:val="1"/>
      <w:numFmt w:val="lowerLetter"/>
      <w:lvlText w:val="%5)"/>
      <w:lvlJc w:val="left"/>
      <w:pPr>
        <w:tabs>
          <w:tab w:val="num" w:pos="1950"/>
        </w:tabs>
        <w:ind w:left="1950" w:hanging="420"/>
      </w:pPr>
      <w:rPr>
        <w:rFonts w:cs="Times New Roman"/>
      </w:rPr>
    </w:lvl>
    <w:lvl w:ilvl="5" w:tplc="0409001B" w:tentative="1">
      <w:start w:val="1"/>
      <w:numFmt w:val="lowerRoman"/>
      <w:lvlText w:val="%6."/>
      <w:lvlJc w:val="right"/>
      <w:pPr>
        <w:tabs>
          <w:tab w:val="num" w:pos="2370"/>
        </w:tabs>
        <w:ind w:left="2370" w:hanging="420"/>
      </w:pPr>
      <w:rPr>
        <w:rFonts w:cs="Times New Roman"/>
      </w:rPr>
    </w:lvl>
    <w:lvl w:ilvl="6" w:tplc="0409000F" w:tentative="1">
      <w:start w:val="1"/>
      <w:numFmt w:val="decimal"/>
      <w:lvlText w:val="%7."/>
      <w:lvlJc w:val="left"/>
      <w:pPr>
        <w:tabs>
          <w:tab w:val="num" w:pos="2790"/>
        </w:tabs>
        <w:ind w:left="2790" w:hanging="420"/>
      </w:pPr>
      <w:rPr>
        <w:rFonts w:cs="Times New Roman"/>
      </w:rPr>
    </w:lvl>
    <w:lvl w:ilvl="7" w:tplc="04090019" w:tentative="1">
      <w:start w:val="1"/>
      <w:numFmt w:val="lowerLetter"/>
      <w:lvlText w:val="%8)"/>
      <w:lvlJc w:val="left"/>
      <w:pPr>
        <w:tabs>
          <w:tab w:val="num" w:pos="3210"/>
        </w:tabs>
        <w:ind w:left="3210" w:hanging="420"/>
      </w:pPr>
      <w:rPr>
        <w:rFonts w:cs="Times New Roman"/>
      </w:rPr>
    </w:lvl>
    <w:lvl w:ilvl="8" w:tplc="0409001B" w:tentative="1">
      <w:start w:val="1"/>
      <w:numFmt w:val="lowerRoman"/>
      <w:lvlText w:val="%9."/>
      <w:lvlJc w:val="right"/>
      <w:pPr>
        <w:tabs>
          <w:tab w:val="num" w:pos="3630"/>
        </w:tabs>
        <w:ind w:left="3630" w:hanging="420"/>
      </w:pPr>
      <w:rPr>
        <w:rFonts w:cs="Times New Roman"/>
      </w:rPr>
    </w:lvl>
  </w:abstractNum>
  <w:abstractNum w:abstractNumId="31">
    <w:nsid w:val="798B2974"/>
    <w:multiLevelType w:val="hybridMultilevel"/>
    <w:tmpl w:val="1C66E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BBD444C"/>
    <w:multiLevelType w:val="hybridMultilevel"/>
    <w:tmpl w:val="AA3A1188"/>
    <w:lvl w:ilvl="0" w:tplc="B4081FF6">
      <w:start w:val="1"/>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CFD4913"/>
    <w:multiLevelType w:val="hybridMultilevel"/>
    <w:tmpl w:val="C8A849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7F361D17"/>
    <w:multiLevelType w:val="hybridMultilevel"/>
    <w:tmpl w:val="E7D68D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28"/>
  </w:num>
  <w:num w:numId="3">
    <w:abstractNumId w:val="15"/>
  </w:num>
  <w:num w:numId="4">
    <w:abstractNumId w:val="30"/>
  </w:num>
  <w:num w:numId="5">
    <w:abstractNumId w:val="22"/>
  </w:num>
  <w:num w:numId="6">
    <w:abstractNumId w:val="29"/>
  </w:num>
  <w:num w:numId="7">
    <w:abstractNumId w:val="1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0"/>
  </w:num>
  <w:num w:numId="11">
    <w:abstractNumId w:val="27"/>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26"/>
  </w:num>
  <w:num w:numId="24">
    <w:abstractNumId w:val="21"/>
  </w:num>
  <w:num w:numId="25">
    <w:abstractNumId w:val="18"/>
  </w:num>
  <w:num w:numId="26">
    <w:abstractNumId w:val="34"/>
  </w:num>
  <w:num w:numId="27">
    <w:abstractNumId w:val="14"/>
  </w:num>
  <w:num w:numId="28">
    <w:abstractNumId w:val="33"/>
  </w:num>
  <w:num w:numId="29">
    <w:abstractNumId w:val="32"/>
  </w:num>
  <w:num w:numId="30">
    <w:abstractNumId w:val="11"/>
  </w:num>
  <w:num w:numId="31">
    <w:abstractNumId w:val="19"/>
  </w:num>
  <w:num w:numId="32">
    <w:abstractNumId w:val="25"/>
  </w:num>
  <w:num w:numId="33">
    <w:abstractNumId w:val="12"/>
  </w:num>
  <w:num w:numId="34">
    <w:abstractNumId w:val="3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3AB1"/>
    <w:rsid w:val="000075C0"/>
    <w:rsid w:val="00025C8D"/>
    <w:rsid w:val="00032817"/>
    <w:rsid w:val="00080EB9"/>
    <w:rsid w:val="00083B32"/>
    <w:rsid w:val="0009518B"/>
    <w:rsid w:val="000A18A3"/>
    <w:rsid w:val="000A2F22"/>
    <w:rsid w:val="00125838"/>
    <w:rsid w:val="001260AC"/>
    <w:rsid w:val="00134FEB"/>
    <w:rsid w:val="001578F4"/>
    <w:rsid w:val="00164875"/>
    <w:rsid w:val="001D216C"/>
    <w:rsid w:val="001D7D9C"/>
    <w:rsid w:val="001F5072"/>
    <w:rsid w:val="00235C52"/>
    <w:rsid w:val="002415D7"/>
    <w:rsid w:val="002431D4"/>
    <w:rsid w:val="00272F3F"/>
    <w:rsid w:val="002A77D0"/>
    <w:rsid w:val="002D0A66"/>
    <w:rsid w:val="002D535A"/>
    <w:rsid w:val="002E7EA7"/>
    <w:rsid w:val="00303541"/>
    <w:rsid w:val="00303C50"/>
    <w:rsid w:val="00331528"/>
    <w:rsid w:val="00337D69"/>
    <w:rsid w:val="003450C4"/>
    <w:rsid w:val="00375967"/>
    <w:rsid w:val="00390559"/>
    <w:rsid w:val="00394208"/>
    <w:rsid w:val="003A76CE"/>
    <w:rsid w:val="003C6A3C"/>
    <w:rsid w:val="003D14FD"/>
    <w:rsid w:val="00416D44"/>
    <w:rsid w:val="00424047"/>
    <w:rsid w:val="004A308C"/>
    <w:rsid w:val="004F76AD"/>
    <w:rsid w:val="00517ADE"/>
    <w:rsid w:val="005238B8"/>
    <w:rsid w:val="0054499C"/>
    <w:rsid w:val="00577E86"/>
    <w:rsid w:val="00584DE4"/>
    <w:rsid w:val="005A5C52"/>
    <w:rsid w:val="005E68A5"/>
    <w:rsid w:val="005F1285"/>
    <w:rsid w:val="006909DD"/>
    <w:rsid w:val="006A5753"/>
    <w:rsid w:val="006A6907"/>
    <w:rsid w:val="006C5975"/>
    <w:rsid w:val="00707C08"/>
    <w:rsid w:val="00712271"/>
    <w:rsid w:val="00777616"/>
    <w:rsid w:val="007820F2"/>
    <w:rsid w:val="007A084D"/>
    <w:rsid w:val="007A1704"/>
    <w:rsid w:val="007D5ACB"/>
    <w:rsid w:val="0083061D"/>
    <w:rsid w:val="008322E2"/>
    <w:rsid w:val="0083587C"/>
    <w:rsid w:val="0086659B"/>
    <w:rsid w:val="00873AB1"/>
    <w:rsid w:val="008B3185"/>
    <w:rsid w:val="008D1F9E"/>
    <w:rsid w:val="00900CB5"/>
    <w:rsid w:val="009170E2"/>
    <w:rsid w:val="00956781"/>
    <w:rsid w:val="00971302"/>
    <w:rsid w:val="00982AED"/>
    <w:rsid w:val="00996A03"/>
    <w:rsid w:val="009C68C0"/>
    <w:rsid w:val="00A002EB"/>
    <w:rsid w:val="00A27C37"/>
    <w:rsid w:val="00A31B94"/>
    <w:rsid w:val="00A461C7"/>
    <w:rsid w:val="00A471E2"/>
    <w:rsid w:val="00A547C4"/>
    <w:rsid w:val="00A85EA4"/>
    <w:rsid w:val="00A92F3D"/>
    <w:rsid w:val="00AA5EE5"/>
    <w:rsid w:val="00AB24F0"/>
    <w:rsid w:val="00AB2579"/>
    <w:rsid w:val="00B20B56"/>
    <w:rsid w:val="00B539E5"/>
    <w:rsid w:val="00BD214B"/>
    <w:rsid w:val="00C213CB"/>
    <w:rsid w:val="00C30D10"/>
    <w:rsid w:val="00C576B6"/>
    <w:rsid w:val="00CB7A72"/>
    <w:rsid w:val="00CC09DD"/>
    <w:rsid w:val="00CF4123"/>
    <w:rsid w:val="00D35889"/>
    <w:rsid w:val="00D46F76"/>
    <w:rsid w:val="00E16F36"/>
    <w:rsid w:val="00E244F6"/>
    <w:rsid w:val="00E66F7A"/>
    <w:rsid w:val="00EA16AB"/>
    <w:rsid w:val="00EB1E8D"/>
    <w:rsid w:val="00ED3407"/>
    <w:rsid w:val="00EE10EF"/>
    <w:rsid w:val="00EF2BDB"/>
    <w:rsid w:val="00F6621C"/>
    <w:rsid w:val="00F9545C"/>
    <w:rsid w:val="00FB16EF"/>
    <w:rsid w:val="00FC0118"/>
    <w:rsid w:val="00FC175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locked="1" w:semiHidden="0" w:uiPriority="0"/>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1"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rsid w:val="00AB24F0"/>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9"/>
    <w:qFormat/>
    <w:rsid w:val="00AB24F0"/>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rsid w:val="00AB24F0"/>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9"/>
    <w:locked/>
    <w:rsid w:val="00AB24F0"/>
    <w:rPr>
      <w:rFonts w:ascii="Times New Roman" w:eastAsia="宋体" w:hAnsi="Times New Roman"/>
      <w:b/>
      <w:kern w:val="44"/>
      <w:sz w:val="44"/>
    </w:rPr>
  </w:style>
  <w:style w:type="character" w:customStyle="1" w:styleId="2Char">
    <w:name w:val="标题 2 Char"/>
    <w:link w:val="2"/>
    <w:uiPriority w:val="99"/>
    <w:locked/>
    <w:rsid w:val="00AB24F0"/>
    <w:rPr>
      <w:rFonts w:ascii="Arial" w:eastAsia="黑体" w:hAnsi="Arial"/>
      <w:b/>
      <w:sz w:val="32"/>
    </w:rPr>
  </w:style>
  <w:style w:type="character" w:customStyle="1" w:styleId="3Char">
    <w:name w:val="标题 3 Char"/>
    <w:link w:val="3"/>
    <w:uiPriority w:val="99"/>
    <w:locked/>
    <w:rsid w:val="00AB24F0"/>
    <w:rPr>
      <w:rFonts w:ascii="Times New Roman" w:eastAsia="宋体" w:hAnsi="Times New Roman"/>
      <w:b/>
      <w:sz w:val="32"/>
    </w:rPr>
  </w:style>
  <w:style w:type="paragraph" w:styleId="a3">
    <w:name w:val="header"/>
    <w:basedOn w:val="a"/>
    <w:link w:val="Char"/>
    <w:uiPriority w:val="99"/>
    <w:rsid w:val="00AB24F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AB24F0"/>
    <w:rPr>
      <w:sz w:val="18"/>
    </w:rPr>
  </w:style>
  <w:style w:type="paragraph" w:styleId="a4">
    <w:name w:val="footer"/>
    <w:basedOn w:val="a"/>
    <w:link w:val="Char0"/>
    <w:uiPriority w:val="99"/>
    <w:rsid w:val="00AB24F0"/>
    <w:pPr>
      <w:tabs>
        <w:tab w:val="center" w:pos="4153"/>
        <w:tab w:val="right" w:pos="8306"/>
      </w:tabs>
      <w:snapToGrid w:val="0"/>
      <w:jc w:val="left"/>
    </w:pPr>
    <w:rPr>
      <w:sz w:val="18"/>
      <w:szCs w:val="18"/>
    </w:rPr>
  </w:style>
  <w:style w:type="character" w:customStyle="1" w:styleId="Char0">
    <w:name w:val="页脚 Char"/>
    <w:link w:val="a4"/>
    <w:uiPriority w:val="99"/>
    <w:locked/>
    <w:rsid w:val="00AB24F0"/>
    <w:rPr>
      <w:sz w:val="18"/>
    </w:rPr>
  </w:style>
  <w:style w:type="character" w:styleId="a5">
    <w:name w:val="Hyperlink"/>
    <w:uiPriority w:val="99"/>
    <w:rsid w:val="00AB24F0"/>
    <w:rPr>
      <w:rFonts w:cs="Times New Roman"/>
      <w:color w:val="0000FF"/>
      <w:u w:val="single"/>
    </w:rPr>
  </w:style>
  <w:style w:type="paragraph" w:styleId="10">
    <w:name w:val="toc 1"/>
    <w:basedOn w:val="a"/>
    <w:next w:val="a"/>
    <w:autoRedefine/>
    <w:uiPriority w:val="39"/>
    <w:rsid w:val="002431D4"/>
    <w:pPr>
      <w:tabs>
        <w:tab w:val="right" w:leader="dot" w:pos="9000"/>
      </w:tabs>
      <w:spacing w:line="360" w:lineRule="auto"/>
    </w:pPr>
    <w:rPr>
      <w:rFonts w:ascii="Times New Roman" w:hAnsi="Times New Roman"/>
      <w:szCs w:val="24"/>
    </w:rPr>
  </w:style>
  <w:style w:type="paragraph" w:styleId="20">
    <w:name w:val="toc 2"/>
    <w:basedOn w:val="a"/>
    <w:next w:val="a"/>
    <w:autoRedefine/>
    <w:uiPriority w:val="39"/>
    <w:rsid w:val="002431D4"/>
    <w:pPr>
      <w:tabs>
        <w:tab w:val="right" w:leader="dot" w:pos="9016"/>
      </w:tabs>
    </w:pPr>
    <w:rPr>
      <w:rFonts w:ascii="Times New Roman" w:hAnsi="Times New Roman"/>
      <w:szCs w:val="24"/>
    </w:rPr>
  </w:style>
  <w:style w:type="paragraph" w:styleId="a6">
    <w:name w:val="Normal (Web)"/>
    <w:basedOn w:val="a"/>
    <w:uiPriority w:val="99"/>
    <w:rsid w:val="00AB24F0"/>
    <w:pPr>
      <w:widowControl/>
      <w:jc w:val="left"/>
    </w:pPr>
    <w:rPr>
      <w:rFonts w:ascii="宋体" w:hAnsi="宋体" w:cs="宋体"/>
      <w:kern w:val="0"/>
      <w:sz w:val="24"/>
      <w:szCs w:val="24"/>
    </w:rPr>
  </w:style>
  <w:style w:type="character" w:customStyle="1" w:styleId="yycc1">
    <w:name w:val="yycc1"/>
    <w:uiPriority w:val="99"/>
    <w:rsid w:val="00AB24F0"/>
    <w:rPr>
      <w:vanish/>
    </w:rPr>
  </w:style>
  <w:style w:type="paragraph" w:styleId="a7">
    <w:name w:val="Document Map"/>
    <w:basedOn w:val="a"/>
    <w:link w:val="Char1"/>
    <w:uiPriority w:val="99"/>
    <w:semiHidden/>
    <w:rsid w:val="00AB24F0"/>
    <w:pPr>
      <w:shd w:val="clear" w:color="auto" w:fill="000080"/>
    </w:pPr>
    <w:rPr>
      <w:rFonts w:ascii="Times New Roman" w:hAnsi="Times New Roman"/>
      <w:szCs w:val="24"/>
    </w:rPr>
  </w:style>
  <w:style w:type="character" w:customStyle="1" w:styleId="Char1">
    <w:name w:val="文档结构图 Char"/>
    <w:link w:val="a7"/>
    <w:uiPriority w:val="99"/>
    <w:semiHidden/>
    <w:locked/>
    <w:rsid w:val="00AB24F0"/>
    <w:rPr>
      <w:rFonts w:ascii="Times New Roman" w:eastAsia="宋体" w:hAnsi="Times New Roman"/>
      <w:sz w:val="24"/>
      <w:shd w:val="clear" w:color="auto" w:fill="000080"/>
    </w:rPr>
  </w:style>
  <w:style w:type="paragraph" w:styleId="a8">
    <w:name w:val="Balloon Text"/>
    <w:basedOn w:val="a"/>
    <w:link w:val="Char2"/>
    <w:uiPriority w:val="99"/>
    <w:semiHidden/>
    <w:rsid w:val="00AB24F0"/>
    <w:rPr>
      <w:rFonts w:ascii="Times New Roman" w:hAnsi="Times New Roman"/>
      <w:sz w:val="18"/>
      <w:szCs w:val="18"/>
    </w:rPr>
  </w:style>
  <w:style w:type="character" w:customStyle="1" w:styleId="Char2">
    <w:name w:val="批注框文本 Char"/>
    <w:link w:val="a8"/>
    <w:uiPriority w:val="99"/>
    <w:semiHidden/>
    <w:locked/>
    <w:rsid w:val="00AB24F0"/>
    <w:rPr>
      <w:rFonts w:ascii="Times New Roman" w:eastAsia="宋体" w:hAnsi="Times New Roman"/>
      <w:sz w:val="18"/>
    </w:rPr>
  </w:style>
  <w:style w:type="character" w:styleId="a9">
    <w:name w:val="page number"/>
    <w:uiPriority w:val="99"/>
    <w:rsid w:val="00AB24F0"/>
    <w:rPr>
      <w:rFonts w:cs="Times New Roman"/>
    </w:rPr>
  </w:style>
  <w:style w:type="character" w:styleId="aa">
    <w:name w:val="annotation reference"/>
    <w:uiPriority w:val="99"/>
    <w:semiHidden/>
    <w:rsid w:val="00AB24F0"/>
    <w:rPr>
      <w:rFonts w:cs="Times New Roman"/>
      <w:sz w:val="21"/>
    </w:rPr>
  </w:style>
  <w:style w:type="paragraph" w:styleId="ab">
    <w:name w:val="annotation text"/>
    <w:basedOn w:val="a"/>
    <w:link w:val="Char3"/>
    <w:uiPriority w:val="99"/>
    <w:semiHidden/>
    <w:rsid w:val="00AB24F0"/>
    <w:pPr>
      <w:jc w:val="left"/>
    </w:pPr>
    <w:rPr>
      <w:rFonts w:ascii="Times New Roman" w:hAnsi="Times New Roman"/>
      <w:szCs w:val="24"/>
    </w:rPr>
  </w:style>
  <w:style w:type="character" w:customStyle="1" w:styleId="Char3">
    <w:name w:val="批注文字 Char"/>
    <w:link w:val="ab"/>
    <w:uiPriority w:val="99"/>
    <w:semiHidden/>
    <w:locked/>
    <w:rsid w:val="00AB24F0"/>
    <w:rPr>
      <w:rFonts w:ascii="Times New Roman" w:eastAsia="宋体" w:hAnsi="Times New Roman"/>
      <w:sz w:val="24"/>
    </w:rPr>
  </w:style>
  <w:style w:type="paragraph" w:styleId="ac">
    <w:name w:val="annotation subject"/>
    <w:basedOn w:val="ab"/>
    <w:next w:val="ab"/>
    <w:link w:val="Char4"/>
    <w:uiPriority w:val="99"/>
    <w:semiHidden/>
    <w:rsid w:val="00AB24F0"/>
    <w:rPr>
      <w:b/>
      <w:bCs/>
    </w:rPr>
  </w:style>
  <w:style w:type="character" w:customStyle="1" w:styleId="Char4">
    <w:name w:val="批注主题 Char"/>
    <w:link w:val="ac"/>
    <w:uiPriority w:val="99"/>
    <w:semiHidden/>
    <w:locked/>
    <w:rsid w:val="00AB24F0"/>
    <w:rPr>
      <w:rFonts w:ascii="Times New Roman" w:eastAsia="宋体" w:hAnsi="Times New Roman"/>
      <w:b/>
      <w:sz w:val="24"/>
    </w:rPr>
  </w:style>
  <w:style w:type="paragraph" w:customStyle="1" w:styleId="11">
    <w:name w:val="样式1"/>
    <w:basedOn w:val="2"/>
    <w:uiPriority w:val="99"/>
    <w:rsid w:val="006A6907"/>
    <w:pPr>
      <w:spacing w:before="120" w:after="120" w:line="240" w:lineRule="auto"/>
      <w:ind w:left="723" w:hangingChars="300" w:hanging="723"/>
    </w:pPr>
    <w:rPr>
      <w:rFonts w:ascii="Times New Roman" w:eastAsia="宋体" w:hAnsi="Times New Roman"/>
      <w:sz w:val="24"/>
      <w:szCs w:val="24"/>
    </w:rPr>
  </w:style>
  <w:style w:type="paragraph" w:styleId="ad">
    <w:name w:val="List Paragraph"/>
    <w:basedOn w:val="a"/>
    <w:uiPriority w:val="99"/>
    <w:qFormat/>
    <w:rsid w:val="00CF4123"/>
    <w:pPr>
      <w:ind w:left="720"/>
      <w:contextualSpacing/>
    </w:pPr>
  </w:style>
  <w:style w:type="character" w:styleId="ae">
    <w:name w:val="Emphasis"/>
    <w:uiPriority w:val="99"/>
    <w:qFormat/>
    <w:rsid w:val="00CF4123"/>
    <w:rPr>
      <w:rFonts w:cs="Times New Roman"/>
      <w:color w:val="CC0000"/>
    </w:rPr>
  </w:style>
  <w:style w:type="character" w:customStyle="1" w:styleId="highlight1">
    <w:name w:val="highlight1"/>
    <w:uiPriority w:val="99"/>
    <w:rsid w:val="007A1704"/>
    <w:rPr>
      <w:shd w:val="clear" w:color="auto" w:fill="E8E5C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TotalTime>
  <Pages>19</Pages>
  <Words>4351</Words>
  <Characters>24807</Characters>
  <Application>Microsoft Office Word</Application>
  <DocSecurity>0</DocSecurity>
  <Lines>206</Lines>
  <Paragraphs>58</Paragraphs>
  <ScaleCrop>false</ScaleCrop>
  <Company/>
  <LinksUpToDate>false</LinksUpToDate>
  <CharactersWithSpaces>29100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netuser</cp:lastModifiedBy>
  <cp:revision>27</cp:revision>
  <dcterms:created xsi:type="dcterms:W3CDTF">2015-08-31T13:48:00Z</dcterms:created>
  <dcterms:modified xsi:type="dcterms:W3CDTF">2015-12-11T09:20:00Z</dcterms:modified>
</cp:coreProperties>
</file>