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49BE5" w14:textId="2EC19985" w:rsidR="002D650B" w:rsidRPr="000C4A71" w:rsidRDefault="002D650B" w:rsidP="002D650B">
      <w:pPr>
        <w:spacing w:line="480" w:lineRule="auto"/>
        <w:jc w:val="both"/>
        <w:rPr>
          <w:rFonts w:ascii="Arial" w:eastAsia="Times New Roman" w:hAnsi="Arial" w:cs="Arial"/>
          <w:sz w:val="24"/>
          <w:szCs w:val="24"/>
          <w:lang w:val="en-US" w:eastAsia="es-ES"/>
        </w:rPr>
      </w:pPr>
      <w:bookmarkStart w:id="0" w:name="_GoBack"/>
      <w:bookmarkEnd w:id="0"/>
      <w:r w:rsidRPr="008852DC">
        <w:rPr>
          <w:rFonts w:ascii="Arial" w:hAnsi="Arial" w:cs="Arial"/>
          <w:b/>
          <w:sz w:val="24"/>
          <w:szCs w:val="24"/>
          <w:lang w:val="en-US"/>
        </w:rPr>
        <w:t>MM cell lines, patient samples and cultures</w:t>
      </w:r>
      <w:r w:rsidRPr="008852DC">
        <w:rPr>
          <w:rFonts w:ascii="Arial" w:hAnsi="Arial" w:cs="Arial"/>
          <w:b/>
          <w:bCs/>
          <w:sz w:val="24"/>
          <w:szCs w:val="24"/>
          <w:lang w:val="en-US"/>
        </w:rPr>
        <w:t>.</w:t>
      </w:r>
      <w:r>
        <w:rPr>
          <w:rFonts w:cs="Arial"/>
          <w:b/>
          <w:bCs/>
          <w:lang w:val="en-US"/>
        </w:rPr>
        <w:t xml:space="preserve"> </w:t>
      </w:r>
      <w:r w:rsidRPr="008852DC">
        <w:rPr>
          <w:rFonts w:ascii="Arial" w:hAnsi="Arial" w:cs="Arial"/>
          <w:sz w:val="24"/>
          <w:szCs w:val="24"/>
          <w:lang w:val="en-US"/>
        </w:rPr>
        <w:t xml:space="preserve">Bone marrow (BM) samples from patients with MM were obtained after the approval of the </w:t>
      </w:r>
      <w:proofErr w:type="spellStart"/>
      <w:r w:rsidRPr="008852DC">
        <w:rPr>
          <w:rFonts w:ascii="Arial" w:hAnsi="Arial" w:cs="Arial"/>
          <w:sz w:val="24"/>
          <w:szCs w:val="24"/>
          <w:lang w:val="en-US"/>
        </w:rPr>
        <w:t>Compl</w:t>
      </w:r>
      <w:r>
        <w:rPr>
          <w:rFonts w:ascii="Arial" w:hAnsi="Arial" w:cs="Arial"/>
          <w:sz w:val="24"/>
          <w:szCs w:val="24"/>
          <w:lang w:val="en-US"/>
        </w:rPr>
        <w:t>ejo</w:t>
      </w:r>
      <w:proofErr w:type="spellEnd"/>
      <w:r>
        <w:rPr>
          <w:rFonts w:ascii="Arial" w:hAnsi="Arial" w:cs="Arial"/>
          <w:sz w:val="24"/>
          <w:szCs w:val="24"/>
          <w:lang w:val="en-US"/>
        </w:rPr>
        <w:t xml:space="preserve"> </w:t>
      </w:r>
      <w:proofErr w:type="spellStart"/>
      <w:r>
        <w:rPr>
          <w:rFonts w:ascii="Arial" w:hAnsi="Arial" w:cs="Arial"/>
          <w:sz w:val="24"/>
          <w:szCs w:val="24"/>
          <w:lang w:val="en-US"/>
        </w:rPr>
        <w:t>Asistencial</w:t>
      </w:r>
      <w:proofErr w:type="spellEnd"/>
      <w:r>
        <w:rPr>
          <w:rFonts w:ascii="Arial" w:hAnsi="Arial" w:cs="Arial"/>
          <w:sz w:val="24"/>
          <w:szCs w:val="24"/>
          <w:lang w:val="en-US"/>
        </w:rPr>
        <w:t xml:space="preserve"> </w:t>
      </w:r>
      <w:proofErr w:type="spellStart"/>
      <w:r>
        <w:rPr>
          <w:rFonts w:ascii="Arial" w:hAnsi="Arial" w:cs="Arial"/>
          <w:sz w:val="24"/>
          <w:szCs w:val="24"/>
          <w:lang w:val="en-US"/>
        </w:rPr>
        <w:t>Universitario</w:t>
      </w:r>
      <w:proofErr w:type="spellEnd"/>
      <w:r>
        <w:rPr>
          <w:rFonts w:ascii="Arial" w:hAnsi="Arial" w:cs="Arial"/>
          <w:sz w:val="24"/>
          <w:szCs w:val="24"/>
          <w:lang w:val="en-US"/>
        </w:rPr>
        <w:t xml:space="preserve"> of</w:t>
      </w:r>
      <w:r w:rsidRPr="008852DC">
        <w:rPr>
          <w:rFonts w:ascii="Arial" w:hAnsi="Arial" w:cs="Arial"/>
          <w:sz w:val="24"/>
          <w:szCs w:val="24"/>
          <w:lang w:val="en-US"/>
        </w:rPr>
        <w:t xml:space="preserve"> Salamanca Review Board and </w:t>
      </w:r>
      <w:r>
        <w:rPr>
          <w:rFonts w:ascii="Arial" w:hAnsi="Arial" w:cs="Arial"/>
          <w:sz w:val="24"/>
          <w:szCs w:val="24"/>
          <w:lang w:val="en-US"/>
        </w:rPr>
        <w:t xml:space="preserve">after </w:t>
      </w:r>
      <w:r w:rsidRPr="008852DC">
        <w:rPr>
          <w:rFonts w:ascii="Arial" w:hAnsi="Arial" w:cs="Arial"/>
          <w:sz w:val="24"/>
          <w:szCs w:val="24"/>
          <w:lang w:val="en-US"/>
        </w:rPr>
        <w:t>having obtained informed consent from participating subjects. Cells were cultured as previously described.</w:t>
      </w:r>
      <w:r w:rsidRPr="008852DC">
        <w:rPr>
          <w:rFonts w:ascii="Arial" w:hAnsi="Arial" w:cs="Arial"/>
          <w:sz w:val="24"/>
          <w:szCs w:val="24"/>
          <w:lang w:val="en-US"/>
        </w:rPr>
        <w:fldChar w:fldCharType="begin" w:fldLock="1"/>
      </w:r>
      <w:r w:rsidR="00F73F0D">
        <w:rPr>
          <w:rFonts w:ascii="Arial" w:hAnsi="Arial" w:cs="Arial"/>
          <w:sz w:val="24"/>
          <w:szCs w:val="24"/>
          <w:lang w:val="en-US"/>
        </w:rPr>
        <w:instrText>ADDIN CSL_CITATION { "citationItems" : [ { "id" : "ITEM-1", "itemData" : { "DOI" : "10.1158/0008-5472.CAN-05-4186", "ISSN" : "0008-5472", "PMID" : "16740717", "abstract" : "Multiple myeloma represents an incurable disease, for which development of new therapies is required. Here, we report the effect on myeloma cells of LBH589, a new hydroxamic acid-derived histone deacetylase inhibitor. LBH589 was a potent antimyeloma agent (IC(50) &lt; 40 nmol/L) on both cell lines and fresh cells from multiple myeloma patients, including cells resistant to conventional chemotherapeutic agents. In addition, LBH589 potentiated the action of drugs, such as bortezomib, dexamethasone, or melphalan. Using gene array, quantitative PCR, and Western analyses, we observed that LBH589 affected a large number of genes involved in cell cycle and cell death pathways. LBH589 blocked cell cycle progression, and this was accompanied by p21, p53, and p57 up-regulation. LBH589 induced cell death through an increase in the mitochondrial outer membrane permeability. LBH589 favored apoptosome formation by inducing cytochrome c release, Apaf-1 up-regulation, and caspase-9 cleavage. In addition, LBH589 stimulated a caspase-independent pathway through the release of AIF from the mitochondria. LBH589 down-regulated Bcl-2 and particularly Bcl-X. Moreover, overexpression of Bcl-X in multiple myeloma cells prevented LBH589-induced cell death. All these data indicate that LBH589 could be a useful drug for the treatment of multiple myeloma patients.", "author" : [ { "dropping-particle" : "", "family" : "Maiso", "given" : "Patricia", "non-dropping-particle" : "", "parse-names" : false, "suffix" : "" }, { "dropping-particle" : "", "family" : "Carvajal-Vergara", "given" : "Xonia", "non-dropping-particle" : "", "parse-names" : false, "suffix" : "" }, { "dropping-particle" : "", "family" : "Ocio", "given" : "Enrique M", "non-dropping-particle" : "", "parse-names" : false, "suffix" : "" }, { "dropping-particle" : "", "family" : "L\u00f3pez-P\u00e9rez", "given" : "Ricardo", "non-dropping-particle" : "", "parse-names" : false, "suffix" : "" }, { "dropping-particle" : "", "family" : "Mateo", "given" : "Gema", "non-dropping-particle" : "", "parse-names" : false, "suffix" : "" }, { "dropping-particle" : "", "family" : "Guti\u00e9rrez", "given" : "Norma", "non-dropping-particle" : "", "parse-names" : false, "suffix" : "" }, { "dropping-particle" : "", "family" : "Atadja", "given" : "Peter", "non-dropping-particle" : "", "parse-names" : false, "suffix" : "" }, { "dropping-particle" : "", "family" : "Pandiella", "given" : "Atanasio", "non-dropping-particle" : "", "parse-names" : false, "suffix" : "" }, { "dropping-particle" : "", "family" : "San Miguel", "given" : "Jes\u00fas F", "non-dropping-particle" : "", "parse-names" : false, "suffix" : "" } ], "container-title" : "Cancer research", "id" : "ITEM-1", "issue" : "11", "issued" : { "date-parts" : [ [ "2006", "6", "1" ] ] }, "page" : "5781-5789", "title" : "The histone deacetylase inhibitor LBH589 is a potent antimyeloma agent that overcomes drug resistance.", "type" : "article-journal", "volume" : "66" }, "uris" : [ "http://www.mendeley.com/documents/?uuid=ba200cf6-4bcc-4bd0-87b6-18a56fc215bd" ] } ], "mendeley" : { "formattedCitation" : "&lt;sup&gt;1&lt;/sup&gt;", "plainTextFormattedCitation" : "1", "previouslyFormattedCitation" : "&lt;sup&gt;1&lt;/sup&gt;" }, "properties" : { "noteIndex" : 0 }, "schema" : "https://github.com/citation-style-language/schema/raw/master/csl-citation.json" }</w:instrText>
      </w:r>
      <w:r w:rsidRPr="008852DC">
        <w:rPr>
          <w:rFonts w:ascii="Arial" w:hAnsi="Arial" w:cs="Arial"/>
          <w:sz w:val="24"/>
          <w:szCs w:val="24"/>
          <w:lang w:val="en-US"/>
        </w:rPr>
        <w:fldChar w:fldCharType="separate"/>
      </w:r>
      <w:r w:rsidR="00A379CC" w:rsidRPr="00A379CC">
        <w:rPr>
          <w:rFonts w:ascii="Arial" w:hAnsi="Arial" w:cs="Arial"/>
          <w:noProof/>
          <w:sz w:val="24"/>
          <w:szCs w:val="24"/>
          <w:vertAlign w:val="superscript"/>
          <w:lang w:val="en-US"/>
        </w:rPr>
        <w:t>1</w:t>
      </w:r>
      <w:r w:rsidRPr="008852DC">
        <w:rPr>
          <w:rFonts w:ascii="Arial" w:hAnsi="Arial" w:cs="Arial"/>
          <w:sz w:val="24"/>
          <w:szCs w:val="24"/>
          <w:lang w:val="en-US"/>
        </w:rPr>
        <w:fldChar w:fldCharType="end"/>
      </w:r>
      <w:r w:rsidRPr="008852DC">
        <w:rPr>
          <w:rFonts w:ascii="Arial" w:hAnsi="Arial" w:cs="Arial"/>
          <w:sz w:val="24"/>
          <w:szCs w:val="24"/>
          <w:lang w:val="en-US"/>
        </w:rPr>
        <w:t xml:space="preserve"> </w:t>
      </w:r>
      <w:r w:rsidR="00F73F0D">
        <w:rPr>
          <w:rFonts w:ascii="Arial" w:hAnsi="Arial" w:cs="Arial"/>
          <w:sz w:val="24"/>
          <w:szCs w:val="24"/>
          <w:lang w:val="en-US"/>
        </w:rPr>
        <w:t>Details of other tested compounds have been specified elsewhere.</w:t>
      </w:r>
      <w:r w:rsidR="00F73F0D" w:rsidRPr="002145CA">
        <w:rPr>
          <w:rFonts w:ascii="Arial" w:hAnsi="Arial" w:cs="Arial"/>
          <w:sz w:val="24"/>
          <w:szCs w:val="24"/>
          <w:vertAlign w:val="superscript"/>
          <w:lang w:val="en-US"/>
        </w:rPr>
        <w:fldChar w:fldCharType="begin" w:fldLock="1"/>
      </w:r>
      <w:r w:rsidR="000801D5">
        <w:rPr>
          <w:rFonts w:ascii="Arial" w:hAnsi="Arial" w:cs="Arial"/>
          <w:sz w:val="24"/>
          <w:szCs w:val="24"/>
          <w:vertAlign w:val="superscript"/>
          <w:lang w:val="en-US"/>
        </w:rPr>
        <w:instrText>ADDIN CSL_CITATION { "citationItems" : [ { "id" : "ITEM-1", "itemData" : { "DOI" : "10.1016/j.ccr.2008.01.007", "ISSN" : "1535-6108", "PMID" : "18242516", "abstract" : "By misdirecting the activity of Activation-Induced Deaminase (AID) to a conditional MYC transgene, we have achieved sporadic, AID-dependent MYC activation in germinal center B cells of Vk*MYC mice. Whereas control C57BL/6 mice develop benign monoclonal gammopathy with age, all Vk*MYC mice progress to an indolent multiple myeloma associated with the biological and clinical features highly characteristic of the human disease. Furthermore, antigen-dependent myeloma could be induced by immunization with a T-dependent antigen. Consistent with these findings in mice, more frequent MYC rearrangements, elevated levels of MYC mRNA, and MYC target genes distinguish human patients with multiple myeloma from individuals with monoclonal gammopathy, implicating a causal role for MYC in the progression of monoclonal gammopathy to multiple myeloma.", "author" : [ { "dropping-particle" : "", "family" : "Chesi", "given" : "Marta", "non-dropping-particle" : "", "parse-names" : false, "suffix" : "" }, { "dropping-particle" : "", "family" : "Robbiani", "given" : "Davide F", "non-dropping-particle" : "", "parse-names" : false, "suffix" : "" }, { "dropping-particle" : "", "family" : "Sebag", "given" : "Michael", "non-dropping-particle" : "", "parse-names" : false, "suffix" : "" }, { "dropping-particle" : "", "family" : "Chng", "given" : "Wee Joo", "non-dropping-particle" : "", "parse-names" : false, "suffix" : "" }, { "dropping-particle" : "", "family" : "Affer", "given" : "Maurizio", "non-dropping-particle" : "", "parse-names" : false, "suffix" : "" }, { "dropping-particle" : "", "family" : "Tiedemann", "given" : "Rodger", "non-dropping-particle" : "", "parse-names" : false, "suffix" : "" }, { "dropping-particle" : "", "family" : "Valdez", "given" : "Riccardo", "non-dropping-particle" : "", "parse-names" : false, "suffix" : "" }, { "dropping-particle" : "", "family" : "Palmer", "given" : "Stephen E", "non-dropping-particle" : "", "parse-names" : false, "suffix" : "" }, { "dropping-particle" : "", "family" : "Haas", "given" : "Stephanie S", "non-dropping-particle" : "", "parse-names" : false, "suffix" : "" }, { "dropping-particle" : "", "family" : "Stewart", "given" : "A Keith", "non-dropping-particle" : "", "parse-names" : false, "suffix" : "" }, { "dropping-particle" : "", "family" : "Fonseca", "given" : "Rafael", "non-dropping-particle" : "", "parse-names" : false, "suffix" : "" }, { "dropping-particle" : "", "family" : "Kremer", "given" : "Richard", "non-dropping-particle" : "", "parse-names" : false, "suffix" : "" }, { "dropping-particle" : "", "family" : "Cattoretti", "given" : "Giorgio", "non-dropping-particle" : "", "parse-names" : false, "suffix" : "" }, { "dropping-particle" : "", "family" : "Bergsagel", "given" : "P Leif", "non-dropping-particle" : "", "parse-names" : false, "suffix" : "" } ], "container-title" : "Cancer cell", "id" : "ITEM-1", "issue" : "2", "issued" : { "date-parts" : [ [ "2008", "2" ] ] }, "page" : "167-80", "title" : "AID-dependent activation of a MYC transgene induces multiple myeloma in a conditional mouse model of post-germinal center malignancies.", "type" : "article-journal", "volume" : "13" }, "uris" : [ "http://www.mendeley.com/documents/?uuid=76ddec96-9bf3-4be8-9faf-bb3cdf746726" ] } ], "mendeley" : { "formattedCitation" : "&lt;sup&gt;2&lt;/sup&gt;", "plainTextFormattedCitation" : "2", "previouslyFormattedCitation" : "&lt;sup&gt;20&lt;/sup&gt;" }, "properties" : { "noteIndex" : 0 }, "schema" : "https://github.com/citation-style-language/schema/raw/master/csl-citation.json" }</w:instrText>
      </w:r>
      <w:r w:rsidR="00F73F0D" w:rsidRPr="002145CA">
        <w:rPr>
          <w:rFonts w:ascii="Arial" w:hAnsi="Arial" w:cs="Arial"/>
          <w:sz w:val="24"/>
          <w:szCs w:val="24"/>
          <w:vertAlign w:val="superscript"/>
          <w:lang w:val="en-US"/>
        </w:rPr>
        <w:fldChar w:fldCharType="separate"/>
      </w:r>
      <w:r w:rsidR="000801D5" w:rsidRPr="000801D5">
        <w:rPr>
          <w:rFonts w:ascii="Arial" w:hAnsi="Arial" w:cs="Arial"/>
          <w:noProof/>
          <w:sz w:val="24"/>
          <w:szCs w:val="24"/>
          <w:vertAlign w:val="superscript"/>
          <w:lang w:val="en-US"/>
        </w:rPr>
        <w:t>2</w:t>
      </w:r>
      <w:r w:rsidR="00F73F0D" w:rsidRPr="002145CA">
        <w:rPr>
          <w:rFonts w:ascii="Arial" w:hAnsi="Arial" w:cs="Arial"/>
          <w:sz w:val="24"/>
          <w:szCs w:val="24"/>
          <w:vertAlign w:val="superscript"/>
          <w:lang w:val="en-US"/>
        </w:rPr>
        <w:fldChar w:fldCharType="end"/>
      </w:r>
    </w:p>
    <w:p w14:paraId="03CD808E" w14:textId="161A8249" w:rsidR="002D650B" w:rsidRPr="008852DC" w:rsidRDefault="002D650B" w:rsidP="002D650B">
      <w:pPr>
        <w:spacing w:line="480" w:lineRule="auto"/>
        <w:jc w:val="both"/>
        <w:rPr>
          <w:rFonts w:ascii="Arial" w:hAnsi="Arial" w:cs="Arial"/>
          <w:sz w:val="24"/>
          <w:szCs w:val="24"/>
          <w:lang w:val="en-US"/>
        </w:rPr>
      </w:pPr>
      <w:r>
        <w:rPr>
          <w:rFonts w:ascii="Arial" w:hAnsi="Arial" w:cs="Arial"/>
          <w:b/>
          <w:sz w:val="24"/>
          <w:szCs w:val="24"/>
          <w:lang w:val="en-US"/>
        </w:rPr>
        <w:t>C</w:t>
      </w:r>
      <w:r w:rsidRPr="008852DC">
        <w:rPr>
          <w:rFonts w:ascii="Arial" w:hAnsi="Arial" w:cs="Arial"/>
          <w:b/>
          <w:sz w:val="24"/>
          <w:szCs w:val="24"/>
          <w:lang w:val="en-US"/>
        </w:rPr>
        <w:t xml:space="preserve">ell cycle </w:t>
      </w:r>
      <w:r w:rsidR="00312924" w:rsidRPr="008852DC">
        <w:rPr>
          <w:rFonts w:ascii="Arial" w:hAnsi="Arial" w:cs="Arial"/>
          <w:b/>
          <w:sz w:val="24"/>
          <w:szCs w:val="24"/>
          <w:lang w:val="en-US"/>
        </w:rPr>
        <w:t>and apoptosis assays</w:t>
      </w:r>
      <w:r w:rsidRPr="008852DC">
        <w:rPr>
          <w:rFonts w:ascii="Arial" w:hAnsi="Arial" w:cs="Arial"/>
          <w:b/>
          <w:sz w:val="24"/>
          <w:szCs w:val="24"/>
          <w:lang w:val="en-US"/>
        </w:rPr>
        <w:t>.</w:t>
      </w:r>
      <w:r>
        <w:rPr>
          <w:rFonts w:ascii="Arial" w:hAnsi="Arial" w:cs="Arial"/>
          <w:b/>
          <w:sz w:val="24"/>
          <w:szCs w:val="24"/>
          <w:lang w:val="en-US"/>
        </w:rPr>
        <w:t xml:space="preserve"> </w:t>
      </w:r>
      <w:r w:rsidR="00312924" w:rsidRPr="008852DC">
        <w:rPr>
          <w:rFonts w:ascii="Arial" w:hAnsi="Arial" w:cs="Arial"/>
          <w:sz w:val="24"/>
          <w:szCs w:val="24"/>
          <w:lang w:val="en-US"/>
        </w:rPr>
        <w:t>The half-maximal inhibitory concentration (IC</w:t>
      </w:r>
      <w:r w:rsidR="00312924" w:rsidRPr="008852DC">
        <w:rPr>
          <w:rFonts w:ascii="Arial" w:hAnsi="Arial" w:cs="Arial"/>
          <w:sz w:val="24"/>
          <w:szCs w:val="24"/>
          <w:vertAlign w:val="subscript"/>
          <w:lang w:val="en-US"/>
        </w:rPr>
        <w:t>50</w:t>
      </w:r>
      <w:r w:rsidR="00312924" w:rsidRPr="008852DC">
        <w:rPr>
          <w:rFonts w:ascii="Arial" w:hAnsi="Arial" w:cs="Arial"/>
          <w:sz w:val="24"/>
          <w:szCs w:val="24"/>
          <w:lang w:val="en-US"/>
        </w:rPr>
        <w:t xml:space="preserve">) of the drug was calculated using </w:t>
      </w:r>
      <w:r w:rsidR="00312924">
        <w:rPr>
          <w:rFonts w:ascii="Arial" w:hAnsi="Arial" w:cs="Arial"/>
          <w:sz w:val="24"/>
          <w:szCs w:val="24"/>
          <w:lang w:val="en-US"/>
        </w:rPr>
        <w:t xml:space="preserve">the </w:t>
      </w:r>
      <w:proofErr w:type="spellStart"/>
      <w:r w:rsidR="00312924" w:rsidRPr="008852DC">
        <w:rPr>
          <w:rFonts w:ascii="Arial" w:hAnsi="Arial" w:cs="Arial"/>
          <w:sz w:val="24"/>
          <w:szCs w:val="24"/>
          <w:lang w:val="en-US"/>
        </w:rPr>
        <w:t>SigmaPlot</w:t>
      </w:r>
      <w:proofErr w:type="spellEnd"/>
      <w:r w:rsidR="00312924" w:rsidRPr="008852DC">
        <w:rPr>
          <w:rFonts w:ascii="Arial" w:hAnsi="Arial" w:cs="Arial"/>
          <w:sz w:val="24"/>
          <w:szCs w:val="24"/>
          <w:lang w:val="en-US"/>
        </w:rPr>
        <w:t xml:space="preserve"> software. The cell-</w:t>
      </w:r>
      <w:r w:rsidR="00312924" w:rsidRPr="00354CF7">
        <w:rPr>
          <w:rFonts w:ascii="Arial" w:hAnsi="Arial" w:cs="Arial"/>
          <w:sz w:val="24"/>
          <w:szCs w:val="24"/>
          <w:lang w:val="en-US"/>
        </w:rPr>
        <w:t xml:space="preserve">cycle profile and apoptosis induction </w:t>
      </w:r>
      <w:r w:rsidR="00312924" w:rsidRPr="00D86A10">
        <w:rPr>
          <w:rFonts w:ascii="Arial" w:hAnsi="Arial" w:cs="Arial"/>
          <w:sz w:val="24"/>
          <w:szCs w:val="24"/>
          <w:lang w:val="en-US"/>
        </w:rPr>
        <w:t xml:space="preserve">were evaluated </w:t>
      </w:r>
      <w:r w:rsidR="00312924" w:rsidRPr="00465B9B">
        <w:rPr>
          <w:rFonts w:ascii="Arial" w:hAnsi="Arial" w:cs="Arial"/>
          <w:sz w:val="24"/>
          <w:szCs w:val="24"/>
          <w:lang w:val="en-US"/>
        </w:rPr>
        <w:t xml:space="preserve">using commercial kits provided by </w:t>
      </w:r>
      <w:proofErr w:type="spellStart"/>
      <w:r w:rsidR="00312924" w:rsidRPr="00465B9B">
        <w:rPr>
          <w:rFonts w:ascii="Arial" w:hAnsi="Arial" w:cs="Arial"/>
          <w:sz w:val="24"/>
          <w:szCs w:val="24"/>
          <w:lang w:val="en-US"/>
        </w:rPr>
        <w:t>Immunost</w:t>
      </w:r>
      <w:r w:rsidR="00312924" w:rsidRPr="00856BA3">
        <w:rPr>
          <w:rFonts w:ascii="Arial" w:hAnsi="Arial" w:cs="Arial"/>
          <w:sz w:val="24"/>
          <w:szCs w:val="24"/>
          <w:lang w:val="en-US"/>
        </w:rPr>
        <w:t>ep</w:t>
      </w:r>
      <w:proofErr w:type="spellEnd"/>
      <w:r w:rsidR="00312924" w:rsidRPr="00856BA3">
        <w:rPr>
          <w:rFonts w:ascii="Arial" w:hAnsi="Arial" w:cs="Arial"/>
          <w:sz w:val="24"/>
          <w:szCs w:val="24"/>
          <w:lang w:val="en-US"/>
        </w:rPr>
        <w:t xml:space="preserve"> (Salamanca, Spain) as described elsewhere.</w:t>
      </w:r>
      <w:r w:rsidR="00312924" w:rsidRPr="00D86A10">
        <w:rPr>
          <w:rFonts w:ascii="Arial" w:hAnsi="Arial" w:cs="Arial"/>
          <w:sz w:val="24"/>
          <w:szCs w:val="24"/>
          <w:lang w:val="en-US"/>
        </w:rPr>
        <w:fldChar w:fldCharType="begin" w:fldLock="1"/>
      </w:r>
      <w:r w:rsidR="000801D5">
        <w:rPr>
          <w:rFonts w:ascii="Arial" w:hAnsi="Arial" w:cs="Arial"/>
          <w:sz w:val="24"/>
          <w:szCs w:val="24"/>
          <w:lang w:val="en-US"/>
        </w:rPr>
        <w:instrText>ADDIN CSL_CITATION { "citationItems" : [ { "id" : "ITEM-1", "itemData" : { "DOI" : "10.1158/0008-5472.CAN-05-4186", "ISBN" : "0008-5472", "ISSN" : "00085472", "PMID" : "16740717", "abstract" : "Multiple myeloma represents an incurable disease, for which development of new therapies is required. Here, we report the effect on myeloma cells of LBH589, a new hydroxamic acid-derived histone deacetylase inhibitor. LBH589 was a potent antimyeloma agent (IC(50) &lt; 40 nmol/L) on both cell lines and fresh cells from multiple myeloma patients, including cells resistant to conventional chemotherapeutic agents. In addition, LBH589 potentiated the action of drugs, such as bortezomib, dexamethasone, or melphalan. Using gene array, quantitative PCR, and Western analyses, we observed that LBH589 affected a large number of genes involved in cell cycle and cell death pathways. LBH589 blocked cell cycle progression, and this was accompanied by p21, p53, and p57 up-regulation. LBH589 induced cell death through an increase in the mitochondrial outer membrane permeability. LBH589 favored apoptosome formation by inducing cytochrome c release, Apaf-1 up-regulation, and caspase-9 cleavage. In addition, LBH589 stimulated a caspase-independent pathway through the release of AIF from the mitochondria. LBH589 down-regulated Bcl-2 and particularly Bcl-X. Moreover, overexpression of Bcl-X in multiple myeloma cells prevented LBH589-induced cell death. All these data indicate that LBH589 could be a useful drug for the treatment of multiple myeloma patients.", "author" : [ { "dropping-particle" : "", "family" : "Maiso", "given" : "Patricia", "non-dropping-particle" : "", "parse-names" : false, "suffix" : "" }, { "dropping-particle" : "", "family" : "Carvajal-Vergara", "given" : "Xonia", "non-dropping-particle" : "", "parse-names" : false, "suffix" : "" }, { "dropping-particle" : "", "family" : "Ocio", "given" : "Enrique M.", "non-dropping-particle" : "", "parse-names" : false, "suffix" : "" }, { "dropping-particle" : "", "family" : "L\u00f3pez-P\u00e9rez", "given" : "Ricardo", "non-dropping-particle" : "", "parse-names" : false, "suffix" : "" }, { "dropping-particle" : "", "family" : "Mateo", "given" : "Gema", "non-dropping-particle" : "", "parse-names" : false, "suffix" : "" }, { "dropping-particle" : "", "family" : "Guti\u00e9rrez", "given" : "Norma", "non-dropping-particle" : "", "parse-names" : false, "suffix" : "" }, { "dropping-particle" : "", "family" : "Atadja", "given" : "Peter", "non-dropping-particle" : "", "parse-names" : false, "suffix" : "" }, { "dropping-particle" : "", "family" : "Pandiella", "given" : "Atanasio", "non-dropping-particle" : "", "parse-names" : false, "suffix" : "" }, { "dropping-particle" : "", "family" : "San Miguel", "given" : "Jesus F.", "non-dropping-particle" : "", "parse-names" : false, "suffix" : "" } ], "container-title" : "Cancer Research", "id" : "ITEM-1", "issued" : { "date-parts" : [ [ "2006" ] ] }, "page" : "5781-5789", "title" : "The histone deacetylase inhibitor LBH589 is a potent antimyeloma agent that overcomes drug resistance", "type" : "article-journal", "volume" : "66" }, "uris" : [ "http://www.mendeley.com/documents/?uuid=c99c123b-6e57-4aa0-bf7e-df5c423ef993" ] } ], "mendeley" : { "formattedCitation" : "&lt;sup&gt;3&lt;/sup&gt;", "plainTextFormattedCitation" : "3", "previouslyFormattedCitation" : "&lt;sup&gt;23&lt;/sup&gt;" }, "properties" : { "noteIndex" : 0 }, "schema" : "https://github.com/citation-style-language/schema/raw/master/csl-citation.json" }</w:instrText>
      </w:r>
      <w:r w:rsidR="00312924" w:rsidRPr="00D86A10">
        <w:rPr>
          <w:rFonts w:ascii="Arial" w:hAnsi="Arial" w:cs="Arial"/>
          <w:sz w:val="24"/>
          <w:szCs w:val="24"/>
          <w:lang w:val="en-US"/>
        </w:rPr>
        <w:fldChar w:fldCharType="separate"/>
      </w:r>
      <w:r w:rsidR="000801D5" w:rsidRPr="000801D5">
        <w:rPr>
          <w:rFonts w:ascii="Arial" w:hAnsi="Arial" w:cs="Arial"/>
          <w:noProof/>
          <w:sz w:val="24"/>
          <w:szCs w:val="24"/>
          <w:vertAlign w:val="superscript"/>
          <w:lang w:val="en-US"/>
        </w:rPr>
        <w:t>3</w:t>
      </w:r>
      <w:r w:rsidR="00312924" w:rsidRPr="00D86A10">
        <w:rPr>
          <w:rFonts w:ascii="Arial" w:hAnsi="Arial" w:cs="Arial"/>
          <w:sz w:val="24"/>
          <w:szCs w:val="24"/>
          <w:lang w:val="en-US"/>
        </w:rPr>
        <w:fldChar w:fldCharType="end"/>
      </w:r>
      <w:r w:rsidR="00312924" w:rsidRPr="00354CF7">
        <w:rPr>
          <w:rFonts w:ascii="Arial" w:hAnsi="Arial" w:cs="Arial"/>
          <w:sz w:val="24"/>
          <w:szCs w:val="24"/>
          <w:lang w:val="en-US"/>
        </w:rPr>
        <w:t xml:space="preserve"> </w:t>
      </w:r>
      <w:r w:rsidRPr="008E2F80">
        <w:rPr>
          <w:rFonts w:ascii="Arial" w:hAnsi="Arial" w:cs="Arial"/>
          <w:sz w:val="24"/>
          <w:szCs w:val="24"/>
          <w:lang w:val="en-US"/>
        </w:rPr>
        <w:t xml:space="preserve">The percentage of cells </w:t>
      </w:r>
      <w:r>
        <w:rPr>
          <w:rFonts w:ascii="Arial" w:hAnsi="Arial" w:cs="Arial"/>
          <w:sz w:val="24"/>
          <w:szCs w:val="24"/>
          <w:lang w:val="en-US"/>
        </w:rPr>
        <w:t>at</w:t>
      </w:r>
      <w:r w:rsidRPr="008E2F80">
        <w:rPr>
          <w:rFonts w:ascii="Arial" w:hAnsi="Arial" w:cs="Arial"/>
          <w:sz w:val="24"/>
          <w:szCs w:val="24"/>
          <w:lang w:val="en-US"/>
        </w:rPr>
        <w:t xml:space="preserve"> each </w:t>
      </w:r>
      <w:r>
        <w:rPr>
          <w:rFonts w:ascii="Arial" w:hAnsi="Arial" w:cs="Arial"/>
          <w:sz w:val="24"/>
          <w:szCs w:val="24"/>
          <w:lang w:val="en-US"/>
        </w:rPr>
        <w:t xml:space="preserve">cycle </w:t>
      </w:r>
      <w:r w:rsidRPr="008E2F80">
        <w:rPr>
          <w:rFonts w:ascii="Arial" w:hAnsi="Arial" w:cs="Arial"/>
          <w:sz w:val="24"/>
          <w:szCs w:val="24"/>
          <w:lang w:val="en-US"/>
        </w:rPr>
        <w:t xml:space="preserve">phase was calculated on the </w:t>
      </w:r>
      <w:proofErr w:type="gramStart"/>
      <w:r w:rsidRPr="008E2F80">
        <w:rPr>
          <w:rFonts w:ascii="Arial" w:hAnsi="Arial" w:cs="Arial"/>
          <w:sz w:val="24"/>
          <w:szCs w:val="24"/>
          <w:lang w:val="en-US"/>
        </w:rPr>
        <w:t>alive</w:t>
      </w:r>
      <w:proofErr w:type="gramEnd"/>
      <w:r w:rsidRPr="008E2F80">
        <w:rPr>
          <w:rFonts w:ascii="Arial" w:hAnsi="Arial" w:cs="Arial"/>
          <w:sz w:val="24"/>
          <w:szCs w:val="24"/>
          <w:lang w:val="en-US"/>
        </w:rPr>
        <w:t xml:space="preserve"> cells, no</w:t>
      </w:r>
      <w:r>
        <w:rPr>
          <w:rFonts w:ascii="Arial" w:hAnsi="Arial" w:cs="Arial"/>
          <w:sz w:val="24"/>
          <w:szCs w:val="24"/>
          <w:lang w:val="en-US"/>
        </w:rPr>
        <w:t>t</w:t>
      </w:r>
      <w:r w:rsidRPr="008E2F80">
        <w:rPr>
          <w:rFonts w:ascii="Arial" w:hAnsi="Arial" w:cs="Arial"/>
          <w:sz w:val="24"/>
          <w:szCs w:val="24"/>
          <w:lang w:val="en-US"/>
        </w:rPr>
        <w:t xml:space="preserve"> considering sub-G0 (apoptotic) cells in the computation.</w:t>
      </w:r>
      <w:r>
        <w:rPr>
          <w:rFonts w:ascii="Arial" w:hAnsi="Arial" w:cs="Arial"/>
          <w:sz w:val="24"/>
          <w:szCs w:val="24"/>
          <w:lang w:val="en-US"/>
        </w:rPr>
        <w:t xml:space="preserve"> </w:t>
      </w:r>
    </w:p>
    <w:p w14:paraId="1172A0E4" w14:textId="0FAA20C5" w:rsidR="000C4A71" w:rsidRDefault="000C4A71" w:rsidP="00A379CC">
      <w:pPr>
        <w:spacing w:line="480" w:lineRule="auto"/>
        <w:jc w:val="both"/>
        <w:rPr>
          <w:rFonts w:ascii="Arial" w:hAnsi="Arial" w:cs="Arial"/>
          <w:b/>
          <w:sz w:val="24"/>
          <w:szCs w:val="24"/>
          <w:lang w:val="en-US"/>
        </w:rPr>
      </w:pPr>
      <w:r>
        <w:rPr>
          <w:rFonts w:ascii="Arial" w:hAnsi="Arial" w:cs="Arial"/>
          <w:b/>
          <w:sz w:val="24"/>
          <w:szCs w:val="24"/>
          <w:lang w:val="en-US"/>
        </w:rPr>
        <w:t xml:space="preserve">Immunohistochemistry anti-bodies. </w:t>
      </w:r>
      <w:proofErr w:type="gramStart"/>
      <w:r>
        <w:rPr>
          <w:rFonts w:ascii="Arial" w:hAnsi="Arial" w:cs="Arial"/>
          <w:sz w:val="24"/>
          <w:szCs w:val="24"/>
          <w:lang w:val="en-US"/>
        </w:rPr>
        <w:t>A</w:t>
      </w:r>
      <w:r w:rsidRPr="008852DC">
        <w:rPr>
          <w:rFonts w:ascii="Arial" w:hAnsi="Arial" w:cs="Arial"/>
          <w:sz w:val="24"/>
          <w:szCs w:val="24"/>
          <w:lang w:val="en-US"/>
        </w:rPr>
        <w:t xml:space="preserve">nti-cleaved PARP, </w:t>
      </w:r>
      <w:r w:rsidRPr="00857FE3">
        <w:rPr>
          <w:rFonts w:ascii="Arial" w:hAnsi="Arial" w:cs="Arial"/>
          <w:sz w:val="24"/>
          <w:szCs w:val="24"/>
          <w:lang w:val="en-US"/>
        </w:rPr>
        <w:t>anti-</w:t>
      </w:r>
      <w:proofErr w:type="spellStart"/>
      <w:r w:rsidRPr="00857FE3">
        <w:rPr>
          <w:rFonts w:ascii="Arial" w:eastAsia="Times New Roman" w:hAnsi="Arial" w:cs="Arial"/>
          <w:color w:val="000000"/>
          <w:sz w:val="24"/>
          <w:szCs w:val="24"/>
          <w:shd w:val="clear" w:color="auto" w:fill="FFFFFF"/>
          <w:lang w:val="en-US" w:eastAsia="es-ES"/>
        </w:rPr>
        <w:t>phospho</w:t>
      </w:r>
      <w:proofErr w:type="spellEnd"/>
      <w:r w:rsidRPr="00857FE3">
        <w:rPr>
          <w:rFonts w:ascii="Arial" w:eastAsia="Times New Roman" w:hAnsi="Arial" w:cs="Arial"/>
          <w:color w:val="000000"/>
          <w:sz w:val="24"/>
          <w:szCs w:val="24"/>
          <w:shd w:val="clear" w:color="auto" w:fill="FFFFFF"/>
          <w:lang w:val="en-US" w:eastAsia="es-ES"/>
        </w:rPr>
        <w:t xml:space="preserve">-histone H2AX (Ser139), </w:t>
      </w:r>
      <w:r w:rsidRPr="00857FE3">
        <w:rPr>
          <w:rFonts w:ascii="Arial" w:hAnsi="Arial" w:cs="Arial"/>
          <w:sz w:val="24"/>
          <w:szCs w:val="24"/>
          <w:lang w:val="en-US"/>
        </w:rPr>
        <w:t>anti-acetyl-histone H3</w:t>
      </w:r>
      <w:r w:rsidRPr="008852DC">
        <w:rPr>
          <w:rFonts w:ascii="Arial" w:hAnsi="Arial" w:cs="Arial"/>
          <w:sz w:val="24"/>
          <w:szCs w:val="24"/>
          <w:lang w:val="en-US"/>
        </w:rPr>
        <w:t xml:space="preserve"> (Cell Signaling, Boston, MA, USA) and anti-Ki67 (Thermo Scientific, Fremont, CA, USA).</w:t>
      </w:r>
      <w:proofErr w:type="gramEnd"/>
    </w:p>
    <w:p w14:paraId="7DC96B53" w14:textId="77777777" w:rsidR="00A379CC" w:rsidRDefault="002D650B" w:rsidP="00A379CC">
      <w:pPr>
        <w:spacing w:line="480" w:lineRule="auto"/>
        <w:jc w:val="both"/>
        <w:rPr>
          <w:rFonts w:ascii="Arial" w:hAnsi="Arial"/>
          <w:sz w:val="24"/>
          <w:szCs w:val="24"/>
          <w:shd w:val="clear" w:color="auto" w:fill="FFFFFF"/>
          <w:lang w:val="en-US"/>
        </w:rPr>
      </w:pPr>
      <w:r w:rsidRPr="002D650B">
        <w:rPr>
          <w:rFonts w:ascii="Arial" w:hAnsi="Arial" w:cs="Arial"/>
          <w:b/>
          <w:sz w:val="24"/>
          <w:szCs w:val="24"/>
          <w:lang w:val="en-US"/>
        </w:rPr>
        <w:t>Western blot.</w:t>
      </w:r>
      <w:r>
        <w:rPr>
          <w:rFonts w:ascii="Arial" w:hAnsi="Arial" w:cs="Arial"/>
          <w:sz w:val="24"/>
          <w:szCs w:val="24"/>
          <w:lang w:val="en-US"/>
        </w:rPr>
        <w:t xml:space="preserve"> The origin of the primary antibodies used in </w:t>
      </w:r>
      <w:r w:rsidRPr="008852DC">
        <w:rPr>
          <w:rFonts w:ascii="Arial" w:hAnsi="Arial" w:cs="Arial"/>
          <w:sz w:val="24"/>
          <w:szCs w:val="24"/>
          <w:lang w:val="en-US"/>
        </w:rPr>
        <w:t>western blot analyses was as follows</w:t>
      </w:r>
      <w:r w:rsidRPr="00857FE3">
        <w:rPr>
          <w:rFonts w:ascii="Arial" w:hAnsi="Arial" w:cs="Arial"/>
          <w:sz w:val="24"/>
          <w:szCs w:val="24"/>
          <w:lang w:val="en-US"/>
        </w:rPr>
        <w:t xml:space="preserve">: anti-pH2AX, </w:t>
      </w:r>
      <w:r w:rsidRPr="00857FE3">
        <w:rPr>
          <w:rFonts w:ascii="Arial" w:eastAsia="Times New Roman" w:hAnsi="Arial" w:cs="Arial"/>
          <w:color w:val="000000"/>
          <w:sz w:val="24"/>
          <w:szCs w:val="24"/>
          <w:shd w:val="clear" w:color="auto" w:fill="FFFFFF"/>
          <w:lang w:val="en-US" w:eastAsia="es-ES"/>
        </w:rPr>
        <w:t>anti-phospho-CHK1 (Ser345), anti-phospho-CHK2 (Thr68), anti-phospho-BRCA1 (1524), anti-</w:t>
      </w:r>
      <w:proofErr w:type="spellStart"/>
      <w:r w:rsidRPr="00857FE3">
        <w:rPr>
          <w:rFonts w:ascii="Arial" w:eastAsia="Times New Roman" w:hAnsi="Arial" w:cs="Arial"/>
          <w:color w:val="000000"/>
          <w:sz w:val="24"/>
          <w:szCs w:val="24"/>
          <w:shd w:val="clear" w:color="auto" w:fill="FFFFFF"/>
          <w:lang w:val="en-US" w:eastAsia="es-ES"/>
        </w:rPr>
        <w:t>phospho</w:t>
      </w:r>
      <w:proofErr w:type="spellEnd"/>
      <w:r w:rsidRPr="00857FE3">
        <w:rPr>
          <w:rFonts w:ascii="Arial" w:eastAsia="Times New Roman" w:hAnsi="Arial" w:cs="Arial"/>
          <w:color w:val="000000"/>
          <w:sz w:val="24"/>
          <w:szCs w:val="24"/>
          <w:shd w:val="clear" w:color="auto" w:fill="FFFFFF"/>
          <w:lang w:val="en-US" w:eastAsia="es-ES"/>
        </w:rPr>
        <w:t>-ATM (</w:t>
      </w:r>
      <w:proofErr w:type="spellStart"/>
      <w:r w:rsidRPr="00857FE3">
        <w:rPr>
          <w:rFonts w:ascii="Arial" w:eastAsia="Times New Roman" w:hAnsi="Arial" w:cs="Arial"/>
          <w:color w:val="000000"/>
          <w:sz w:val="24"/>
          <w:szCs w:val="24"/>
          <w:shd w:val="clear" w:color="auto" w:fill="FFFFFF"/>
          <w:lang w:val="en-US" w:eastAsia="es-ES"/>
        </w:rPr>
        <w:t>Ser</w:t>
      </w:r>
      <w:proofErr w:type="spellEnd"/>
      <w:r w:rsidRPr="00857FE3">
        <w:rPr>
          <w:rFonts w:ascii="Arial" w:eastAsia="Times New Roman" w:hAnsi="Arial" w:cs="Arial"/>
          <w:color w:val="000000"/>
          <w:sz w:val="24"/>
          <w:szCs w:val="24"/>
          <w:shd w:val="clear" w:color="auto" w:fill="FFFFFF"/>
          <w:lang w:val="en-US" w:eastAsia="es-ES"/>
        </w:rPr>
        <w:t xml:space="preserve"> 1981), anti-</w:t>
      </w:r>
      <w:proofErr w:type="spellStart"/>
      <w:r w:rsidRPr="00857FE3">
        <w:rPr>
          <w:rFonts w:ascii="Arial" w:eastAsia="Times New Roman" w:hAnsi="Arial" w:cs="Arial"/>
          <w:color w:val="000000"/>
          <w:sz w:val="24"/>
          <w:szCs w:val="24"/>
          <w:shd w:val="clear" w:color="auto" w:fill="FFFFFF"/>
          <w:lang w:val="en-US" w:eastAsia="es-ES"/>
        </w:rPr>
        <w:t>phospho</w:t>
      </w:r>
      <w:proofErr w:type="spellEnd"/>
      <w:r w:rsidRPr="00857FE3">
        <w:rPr>
          <w:rFonts w:ascii="Arial" w:eastAsia="Times New Roman" w:hAnsi="Arial" w:cs="Arial"/>
          <w:color w:val="000000"/>
          <w:sz w:val="24"/>
          <w:szCs w:val="24"/>
          <w:shd w:val="clear" w:color="auto" w:fill="FFFFFF"/>
          <w:lang w:val="en-US" w:eastAsia="es-ES"/>
        </w:rPr>
        <w:t>-ATR (</w:t>
      </w:r>
      <w:proofErr w:type="spellStart"/>
      <w:r w:rsidRPr="00857FE3">
        <w:rPr>
          <w:rFonts w:ascii="Arial" w:eastAsia="Times New Roman" w:hAnsi="Arial" w:cs="Arial"/>
          <w:color w:val="000000"/>
          <w:sz w:val="24"/>
          <w:szCs w:val="24"/>
          <w:shd w:val="clear" w:color="auto" w:fill="FFFFFF"/>
          <w:lang w:val="en-US" w:eastAsia="es-ES"/>
        </w:rPr>
        <w:t>Ser</w:t>
      </w:r>
      <w:proofErr w:type="spellEnd"/>
      <w:r w:rsidRPr="00857FE3">
        <w:rPr>
          <w:rFonts w:ascii="Arial" w:eastAsia="Times New Roman" w:hAnsi="Arial" w:cs="Arial"/>
          <w:color w:val="000000"/>
          <w:sz w:val="24"/>
          <w:szCs w:val="24"/>
          <w:shd w:val="clear" w:color="auto" w:fill="FFFFFF"/>
          <w:lang w:val="en-US" w:eastAsia="es-ES"/>
        </w:rPr>
        <w:t xml:space="preserve"> 428), anti-p53</w:t>
      </w:r>
      <w:r w:rsidRPr="00C54ADC">
        <w:rPr>
          <w:rFonts w:ascii="Arial" w:eastAsia="Times New Roman" w:hAnsi="Arial" w:cs="Arial"/>
          <w:color w:val="000000"/>
          <w:sz w:val="24"/>
          <w:szCs w:val="24"/>
          <w:shd w:val="clear" w:color="auto" w:fill="FFFFFF"/>
          <w:lang w:val="en-US" w:eastAsia="es-ES"/>
        </w:rPr>
        <w:t xml:space="preserve">, </w:t>
      </w:r>
      <w:r w:rsidRPr="00857FE3">
        <w:rPr>
          <w:rFonts w:ascii="Arial" w:eastAsia="Times New Roman" w:hAnsi="Arial" w:cs="Arial"/>
          <w:color w:val="000000"/>
          <w:sz w:val="24"/>
          <w:szCs w:val="24"/>
          <w:shd w:val="clear" w:color="auto" w:fill="FFFFFF"/>
          <w:lang w:val="en-US" w:eastAsia="es-ES"/>
        </w:rPr>
        <w:t>anti-ac-histone 3, anti-acetyl-histone 4, anti-</w:t>
      </w:r>
      <w:proofErr w:type="spellStart"/>
      <w:r w:rsidRPr="00857FE3">
        <w:rPr>
          <w:rFonts w:ascii="Arial" w:eastAsia="Times New Roman" w:hAnsi="Arial" w:cs="Arial"/>
          <w:color w:val="000000"/>
          <w:sz w:val="24"/>
          <w:szCs w:val="24"/>
          <w:shd w:val="clear" w:color="auto" w:fill="FFFFFF"/>
          <w:lang w:val="en-US" w:eastAsia="es-ES"/>
        </w:rPr>
        <w:t>Bcl</w:t>
      </w:r>
      <w:proofErr w:type="spellEnd"/>
      <w:r w:rsidRPr="00C54ADC">
        <w:rPr>
          <w:rFonts w:ascii="Arial" w:eastAsia="Times New Roman" w:hAnsi="Arial" w:cs="Arial"/>
          <w:color w:val="000000"/>
          <w:sz w:val="24"/>
          <w:szCs w:val="24"/>
          <w:shd w:val="clear" w:color="auto" w:fill="FFFFFF"/>
          <w:lang w:val="en-US" w:eastAsia="es-ES"/>
        </w:rPr>
        <w:t xml:space="preserve">-XL, anti-Mcl1, anti-Bcl2 and anti-AIF </w:t>
      </w:r>
      <w:r w:rsidRPr="00C54ADC">
        <w:rPr>
          <w:rFonts w:ascii="Arial" w:hAnsi="Arial" w:cs="Arial"/>
          <w:sz w:val="24"/>
          <w:szCs w:val="24"/>
          <w:lang w:val="en-US"/>
        </w:rPr>
        <w:t>(Cell Signaling, Boston, MA, USA)</w:t>
      </w:r>
      <w:r w:rsidRPr="00C54ADC">
        <w:rPr>
          <w:rFonts w:ascii="Arial" w:eastAsia="Times New Roman" w:hAnsi="Arial" w:cs="Arial"/>
          <w:color w:val="000000"/>
          <w:sz w:val="24"/>
          <w:szCs w:val="24"/>
          <w:shd w:val="clear" w:color="auto" w:fill="FFFFFF"/>
          <w:lang w:val="en-US" w:eastAsia="es-ES"/>
        </w:rPr>
        <w:t>.</w:t>
      </w:r>
      <w:r w:rsidRPr="00C54ADC">
        <w:rPr>
          <w:rFonts w:ascii="Arial" w:eastAsia="Times New Roman" w:hAnsi="Arial" w:cs="Arial"/>
          <w:color w:val="000000"/>
          <w:sz w:val="24"/>
          <w:szCs w:val="24"/>
          <w:shd w:val="clear" w:color="auto" w:fill="FFFFFF"/>
          <w:lang w:val="en-US"/>
        </w:rPr>
        <w:t xml:space="preserve"> </w:t>
      </w:r>
      <w:r w:rsidRPr="00D21E93">
        <w:rPr>
          <w:rFonts w:ascii="Arial" w:hAnsi="Arial"/>
          <w:sz w:val="24"/>
          <w:szCs w:val="24"/>
          <w:shd w:val="clear" w:color="auto" w:fill="FFFFFF"/>
          <w:lang w:val="en-US"/>
        </w:rPr>
        <w:t>H</w:t>
      </w:r>
      <w:r w:rsidRPr="00CB463C">
        <w:rPr>
          <w:rFonts w:ascii="Arial" w:hAnsi="Arial"/>
          <w:sz w:val="24"/>
          <w:szCs w:val="24"/>
          <w:shd w:val="clear" w:color="auto" w:fill="FFFFFF"/>
          <w:lang w:val="en-US"/>
        </w:rPr>
        <w:t>orseradish</w:t>
      </w:r>
      <w:r w:rsidR="00A379CC">
        <w:rPr>
          <w:rFonts w:ascii="Arial" w:hAnsi="Arial"/>
          <w:sz w:val="24"/>
          <w:szCs w:val="24"/>
          <w:shd w:val="clear" w:color="auto" w:fill="FFFFFF"/>
          <w:lang w:val="en-US"/>
        </w:rPr>
        <w:t xml:space="preserve"> p</w:t>
      </w:r>
      <w:r w:rsidR="00A379CC" w:rsidRPr="00CB463C">
        <w:rPr>
          <w:rFonts w:ascii="Arial" w:hAnsi="Arial"/>
          <w:sz w:val="24"/>
          <w:szCs w:val="24"/>
          <w:shd w:val="clear" w:color="auto" w:fill="FFFFFF"/>
          <w:lang w:val="en-US"/>
        </w:rPr>
        <w:t>eroxidase linked-donkey (anti</w:t>
      </w:r>
      <w:r w:rsidR="00A379CC" w:rsidRPr="008852DC">
        <w:rPr>
          <w:rFonts w:ascii="Arial" w:hAnsi="Arial"/>
          <w:sz w:val="24"/>
          <w:szCs w:val="24"/>
          <w:shd w:val="clear" w:color="auto" w:fill="FFFFFF"/>
          <w:lang w:val="en-US"/>
        </w:rPr>
        <w:t xml:space="preserve">-rabbit), sheep (anti-mouse) or mouse (anti-goat) </w:t>
      </w:r>
      <w:proofErr w:type="spellStart"/>
      <w:r w:rsidR="00A379CC">
        <w:rPr>
          <w:rFonts w:ascii="Arial" w:hAnsi="Arial"/>
          <w:sz w:val="24"/>
          <w:szCs w:val="24"/>
          <w:shd w:val="clear" w:color="auto" w:fill="FFFFFF"/>
          <w:lang w:val="en-US"/>
        </w:rPr>
        <w:t>immunoglobulins</w:t>
      </w:r>
      <w:proofErr w:type="spellEnd"/>
      <w:r w:rsidR="00A379CC">
        <w:rPr>
          <w:rFonts w:ascii="Arial" w:hAnsi="Arial"/>
          <w:sz w:val="24"/>
          <w:szCs w:val="24"/>
          <w:shd w:val="clear" w:color="auto" w:fill="FFFFFF"/>
          <w:lang w:val="en-US"/>
        </w:rPr>
        <w:t xml:space="preserve"> </w:t>
      </w:r>
      <w:r w:rsidR="00A379CC" w:rsidRPr="008852DC">
        <w:rPr>
          <w:rFonts w:ascii="Arial" w:hAnsi="Arial"/>
          <w:sz w:val="24"/>
          <w:szCs w:val="24"/>
          <w:shd w:val="clear" w:color="auto" w:fill="FFFFFF"/>
          <w:lang w:val="en-US"/>
        </w:rPr>
        <w:t xml:space="preserve">were used as secondary antibodies at 1:5000 </w:t>
      </w:r>
      <w:proofErr w:type="gramStart"/>
      <w:r w:rsidR="00A379CC" w:rsidRPr="008852DC">
        <w:rPr>
          <w:rFonts w:ascii="Arial" w:hAnsi="Arial"/>
          <w:sz w:val="24"/>
          <w:szCs w:val="24"/>
          <w:shd w:val="clear" w:color="auto" w:fill="FFFFFF"/>
          <w:lang w:val="en-US"/>
        </w:rPr>
        <w:t>dilution</w:t>
      </w:r>
      <w:proofErr w:type="gramEnd"/>
      <w:r w:rsidR="00A379CC" w:rsidRPr="008852DC">
        <w:rPr>
          <w:rFonts w:ascii="Arial" w:hAnsi="Arial"/>
          <w:sz w:val="24"/>
          <w:szCs w:val="24"/>
          <w:shd w:val="clear" w:color="auto" w:fill="FFFFFF"/>
          <w:lang w:val="en-US"/>
        </w:rPr>
        <w:t xml:space="preserve"> (Santa Cruz Biotechnology, Santa Cruz, CA, USA).</w:t>
      </w:r>
    </w:p>
    <w:p w14:paraId="332741A5" w14:textId="77777777" w:rsidR="00D50944" w:rsidRPr="008852DC" w:rsidRDefault="00D50944" w:rsidP="00D50944">
      <w:pPr>
        <w:spacing w:line="480" w:lineRule="auto"/>
        <w:jc w:val="both"/>
        <w:rPr>
          <w:rFonts w:ascii="Arial" w:eastAsia="Times New Roman" w:hAnsi="Arial" w:cs="Arial"/>
          <w:sz w:val="24"/>
          <w:szCs w:val="24"/>
          <w:lang w:val="en-US"/>
        </w:rPr>
      </w:pPr>
      <w:proofErr w:type="gramStart"/>
      <w:r w:rsidRPr="00D50944">
        <w:rPr>
          <w:rFonts w:ascii="Arial" w:hAnsi="Arial"/>
          <w:b/>
          <w:sz w:val="24"/>
          <w:szCs w:val="24"/>
          <w:shd w:val="clear" w:color="auto" w:fill="FFFFFF"/>
          <w:lang w:val="en-US"/>
        </w:rPr>
        <w:t>Homologous recombination (HR) functional assay</w:t>
      </w:r>
      <w:r>
        <w:rPr>
          <w:rFonts w:ascii="Arial" w:hAnsi="Arial"/>
          <w:sz w:val="24"/>
          <w:szCs w:val="24"/>
          <w:shd w:val="clear" w:color="auto" w:fill="FFFFFF"/>
          <w:lang w:val="en-US"/>
        </w:rPr>
        <w:t>.</w:t>
      </w:r>
      <w:proofErr w:type="gramEnd"/>
      <w:r>
        <w:rPr>
          <w:rFonts w:ascii="Arial" w:hAnsi="Arial"/>
          <w:sz w:val="24"/>
          <w:szCs w:val="24"/>
          <w:shd w:val="clear" w:color="auto" w:fill="FFFFFF"/>
          <w:lang w:val="en-US"/>
        </w:rPr>
        <w:t xml:space="preserve"> </w:t>
      </w:r>
      <w:r w:rsidRPr="008852DC">
        <w:rPr>
          <w:rFonts w:ascii="Arial" w:eastAsia="Times New Roman" w:hAnsi="Arial" w:cs="Arial"/>
          <w:color w:val="000000"/>
          <w:sz w:val="24"/>
          <w:szCs w:val="24"/>
          <w:shd w:val="clear" w:color="auto" w:fill="FFFFFF"/>
          <w:lang w:val="en-US"/>
        </w:rPr>
        <w:t>In</w:t>
      </w:r>
      <w:r>
        <w:rPr>
          <w:rFonts w:ascii="Arial" w:eastAsia="Times New Roman" w:hAnsi="Arial" w:cs="Arial"/>
          <w:color w:val="000000"/>
          <w:sz w:val="24"/>
          <w:szCs w:val="24"/>
          <w:shd w:val="clear" w:color="auto" w:fill="FFFFFF"/>
          <w:lang w:val="en-US"/>
        </w:rPr>
        <w:t xml:space="preserve"> the JJN3HR and U266HR with a plasmid integrated into the genome cells,</w:t>
      </w:r>
      <w:r w:rsidRPr="008852DC">
        <w:rPr>
          <w:rFonts w:ascii="Arial" w:eastAsia="Times New Roman" w:hAnsi="Arial" w:cs="Arial"/>
          <w:color w:val="000000"/>
          <w:sz w:val="24"/>
          <w:szCs w:val="24"/>
          <w:shd w:val="clear" w:color="auto" w:fill="FFFFFF"/>
          <w:lang w:val="en-US"/>
        </w:rPr>
        <w:t xml:space="preserve"> </w:t>
      </w:r>
      <w:r w:rsidRPr="008852DC">
        <w:rPr>
          <w:rFonts w:ascii="Arial" w:hAnsi="Arial" w:cs="Arial"/>
          <w:sz w:val="24"/>
          <w:szCs w:val="24"/>
          <w:lang w:val="en-US"/>
        </w:rPr>
        <w:t xml:space="preserve">a unique </w:t>
      </w:r>
      <w:r>
        <w:rPr>
          <w:rFonts w:ascii="Arial" w:hAnsi="Arial" w:cs="Arial"/>
          <w:sz w:val="24"/>
          <w:szCs w:val="24"/>
          <w:lang w:val="en-US"/>
        </w:rPr>
        <w:t xml:space="preserve">double </w:t>
      </w:r>
      <w:r>
        <w:rPr>
          <w:rFonts w:ascii="Arial" w:hAnsi="Arial" w:cs="Arial"/>
          <w:sz w:val="24"/>
          <w:szCs w:val="24"/>
          <w:lang w:val="en-US"/>
        </w:rPr>
        <w:lastRenderedPageBreak/>
        <w:t xml:space="preserve">strand break </w:t>
      </w:r>
      <w:r w:rsidRPr="008852DC">
        <w:rPr>
          <w:rFonts w:ascii="Arial" w:hAnsi="Arial" w:cs="Arial"/>
          <w:sz w:val="24"/>
          <w:szCs w:val="24"/>
          <w:lang w:val="en-US"/>
        </w:rPr>
        <w:t xml:space="preserve">DSB </w:t>
      </w:r>
      <w:r>
        <w:rPr>
          <w:rFonts w:ascii="Arial" w:hAnsi="Arial" w:cs="Arial"/>
          <w:sz w:val="24"/>
          <w:szCs w:val="24"/>
          <w:lang w:val="en-US"/>
        </w:rPr>
        <w:t>may</w:t>
      </w:r>
      <w:r w:rsidRPr="008852DC">
        <w:rPr>
          <w:rFonts w:ascii="Arial" w:hAnsi="Arial" w:cs="Arial"/>
          <w:sz w:val="24"/>
          <w:szCs w:val="24"/>
          <w:lang w:val="en-US"/>
        </w:rPr>
        <w:t xml:space="preserve"> be introduced by the rare-cutting endonuclease </w:t>
      </w:r>
      <w:r w:rsidRPr="00C54ADC">
        <w:rPr>
          <w:rFonts w:ascii="Arial" w:hAnsi="Arial" w:cs="Arial"/>
          <w:i/>
          <w:sz w:val="24"/>
          <w:szCs w:val="24"/>
          <w:lang w:val="en-US"/>
        </w:rPr>
        <w:t>I-</w:t>
      </w:r>
      <w:proofErr w:type="spellStart"/>
      <w:r w:rsidRPr="00C54ADC">
        <w:rPr>
          <w:rFonts w:ascii="Arial" w:hAnsi="Arial" w:cs="Arial"/>
          <w:i/>
          <w:sz w:val="24"/>
          <w:szCs w:val="24"/>
          <w:lang w:val="en-US"/>
        </w:rPr>
        <w:t>SceI</w:t>
      </w:r>
      <w:proofErr w:type="spellEnd"/>
      <w:r>
        <w:rPr>
          <w:rFonts w:ascii="Arial" w:hAnsi="Arial" w:cs="Arial"/>
          <w:sz w:val="24"/>
          <w:szCs w:val="24"/>
          <w:lang w:val="en-US"/>
        </w:rPr>
        <w:t xml:space="preserve">; </w:t>
      </w:r>
      <w:r w:rsidRPr="008852DC">
        <w:rPr>
          <w:rFonts w:ascii="Arial" w:hAnsi="Arial" w:cs="Arial"/>
          <w:sz w:val="24"/>
          <w:szCs w:val="24"/>
          <w:lang w:val="en-US"/>
        </w:rPr>
        <w:t xml:space="preserve">a functional GFP gene </w:t>
      </w:r>
      <w:r>
        <w:rPr>
          <w:rFonts w:ascii="Arial" w:hAnsi="Arial" w:cs="Arial"/>
          <w:sz w:val="24"/>
          <w:szCs w:val="24"/>
          <w:lang w:val="en-US"/>
        </w:rPr>
        <w:t>is then</w:t>
      </w:r>
      <w:r w:rsidRPr="008852DC">
        <w:rPr>
          <w:rFonts w:ascii="Arial" w:hAnsi="Arial" w:cs="Arial"/>
          <w:sz w:val="24"/>
          <w:szCs w:val="24"/>
          <w:lang w:val="en-US"/>
        </w:rPr>
        <w:t xml:space="preserve"> reconstituted by gene conversion, the predominant HR repair pathway in mammalian cells. To evaluate HR efficiency</w:t>
      </w:r>
      <w:r>
        <w:rPr>
          <w:rFonts w:ascii="Arial" w:hAnsi="Arial" w:cs="Arial"/>
          <w:sz w:val="24"/>
          <w:szCs w:val="24"/>
          <w:lang w:val="en-US"/>
        </w:rPr>
        <w:t xml:space="preserve"> in these cells,</w:t>
      </w:r>
      <w:r w:rsidRPr="008852DC">
        <w:rPr>
          <w:rFonts w:ascii="Arial" w:hAnsi="Arial" w:cs="Arial"/>
          <w:sz w:val="24"/>
          <w:szCs w:val="24"/>
          <w:lang w:val="en-US"/>
        </w:rPr>
        <w:t xml:space="preserve"> </w:t>
      </w:r>
      <w:r>
        <w:rPr>
          <w:rFonts w:ascii="Arial" w:hAnsi="Arial" w:cs="Arial"/>
          <w:sz w:val="24"/>
          <w:szCs w:val="24"/>
          <w:lang w:val="en-US"/>
        </w:rPr>
        <w:t>they</w:t>
      </w:r>
      <w:r w:rsidRPr="008852DC">
        <w:rPr>
          <w:rFonts w:ascii="Arial" w:hAnsi="Arial" w:cs="Arial"/>
          <w:sz w:val="24"/>
          <w:szCs w:val="24"/>
          <w:lang w:val="en-US"/>
        </w:rPr>
        <w:t xml:space="preserve"> were pre</w:t>
      </w:r>
      <w:r>
        <w:rPr>
          <w:rFonts w:ascii="Arial" w:hAnsi="Arial" w:cs="Arial"/>
          <w:sz w:val="24"/>
          <w:szCs w:val="24"/>
          <w:lang w:val="en-US"/>
        </w:rPr>
        <w:t>-</w:t>
      </w:r>
      <w:r w:rsidRPr="008852DC">
        <w:rPr>
          <w:rFonts w:ascii="Arial" w:hAnsi="Arial" w:cs="Arial"/>
          <w:sz w:val="24"/>
          <w:szCs w:val="24"/>
          <w:lang w:val="en-US"/>
        </w:rPr>
        <w:t xml:space="preserve">incubated with various concentrations of EDO-S101 for 24 h. Then, </w:t>
      </w:r>
      <w:r>
        <w:rPr>
          <w:rFonts w:ascii="Arial" w:hAnsi="Arial" w:cs="Arial"/>
          <w:sz w:val="24"/>
          <w:szCs w:val="24"/>
          <w:lang w:val="en-US"/>
        </w:rPr>
        <w:t>1x</w:t>
      </w:r>
      <w:r w:rsidRPr="008852DC">
        <w:rPr>
          <w:rFonts w:ascii="Arial" w:hAnsi="Arial" w:cs="Arial"/>
          <w:sz w:val="24"/>
          <w:szCs w:val="24"/>
          <w:lang w:val="en-US"/>
        </w:rPr>
        <w:t>10</w:t>
      </w:r>
      <w:r w:rsidRPr="008852DC">
        <w:rPr>
          <w:rFonts w:ascii="Arial" w:hAnsi="Arial" w:cs="Arial"/>
          <w:sz w:val="24"/>
          <w:szCs w:val="24"/>
          <w:vertAlign w:val="superscript"/>
          <w:lang w:val="en-US"/>
        </w:rPr>
        <w:t>6</w:t>
      </w:r>
      <w:r>
        <w:rPr>
          <w:rFonts w:ascii="Arial" w:hAnsi="Arial" w:cs="Arial"/>
          <w:sz w:val="24"/>
          <w:szCs w:val="24"/>
          <w:lang w:val="en-US"/>
        </w:rPr>
        <w:t xml:space="preserve"> cells </w:t>
      </w:r>
      <w:r w:rsidRPr="008852DC">
        <w:rPr>
          <w:rFonts w:ascii="Arial" w:hAnsi="Arial" w:cs="Arial"/>
          <w:sz w:val="24"/>
          <w:szCs w:val="24"/>
          <w:lang w:val="en-US"/>
        </w:rPr>
        <w:t xml:space="preserve">were co-transfected with 5 µg of an </w:t>
      </w:r>
      <w:r w:rsidRPr="00C54ADC">
        <w:rPr>
          <w:rFonts w:ascii="Arial" w:hAnsi="Arial" w:cs="Arial"/>
          <w:i/>
          <w:sz w:val="24"/>
          <w:szCs w:val="24"/>
          <w:lang w:val="en-US"/>
        </w:rPr>
        <w:t>I-</w:t>
      </w:r>
      <w:proofErr w:type="spellStart"/>
      <w:r w:rsidRPr="00C54ADC">
        <w:rPr>
          <w:rFonts w:ascii="Arial" w:hAnsi="Arial" w:cs="Arial"/>
          <w:i/>
          <w:sz w:val="24"/>
          <w:szCs w:val="24"/>
          <w:lang w:val="en-US"/>
        </w:rPr>
        <w:t>SceI</w:t>
      </w:r>
      <w:proofErr w:type="spellEnd"/>
      <w:r w:rsidRPr="008852DC">
        <w:rPr>
          <w:rFonts w:ascii="Arial" w:hAnsi="Arial" w:cs="Arial"/>
          <w:sz w:val="24"/>
          <w:szCs w:val="24"/>
          <w:lang w:val="en-US"/>
        </w:rPr>
        <w:t xml:space="preserve">-expressing plasmid </w:t>
      </w:r>
      <w:r w:rsidRPr="008852DC">
        <w:rPr>
          <w:rFonts w:ascii="Arial" w:eastAsia="Times New Roman" w:hAnsi="Arial" w:cs="Arial"/>
          <w:color w:val="000000"/>
          <w:sz w:val="24"/>
          <w:szCs w:val="24"/>
          <w:shd w:val="clear" w:color="auto" w:fill="FFFFFF"/>
          <w:lang w:val="en-US"/>
        </w:rPr>
        <w:t>and 0.5</w:t>
      </w:r>
      <w:r>
        <w:rPr>
          <w:rFonts w:ascii="Arial" w:eastAsia="Times New Roman" w:hAnsi="Arial" w:cs="Arial"/>
          <w:color w:val="000000"/>
          <w:sz w:val="24"/>
          <w:szCs w:val="24"/>
          <w:shd w:val="clear" w:color="auto" w:fill="FFFFFF"/>
          <w:lang w:val="en-US"/>
        </w:rPr>
        <w:t xml:space="preserve"> </w:t>
      </w:r>
      <w:r w:rsidRPr="008852DC">
        <w:rPr>
          <w:rStyle w:val="Textoennegrita"/>
          <w:rFonts w:ascii="Arial" w:eastAsia="Times New Roman" w:hAnsi="Arial" w:cs="Arial"/>
          <w:b w:val="0"/>
          <w:color w:val="000000"/>
          <w:sz w:val="24"/>
          <w:szCs w:val="24"/>
          <w:shd w:val="clear" w:color="auto" w:fill="FFFFFF"/>
          <w:lang w:val="en-US"/>
        </w:rPr>
        <w:t>μ</w:t>
      </w:r>
      <w:r w:rsidRPr="008852DC">
        <w:rPr>
          <w:rFonts w:ascii="Arial" w:eastAsia="Times New Roman" w:hAnsi="Arial" w:cs="Arial"/>
          <w:color w:val="000000"/>
          <w:sz w:val="24"/>
          <w:szCs w:val="24"/>
          <w:shd w:val="clear" w:color="auto" w:fill="FFFFFF"/>
          <w:lang w:val="en-US"/>
        </w:rPr>
        <w:t xml:space="preserve">g of pDsRed-N1 to normalize for transfection efficiency, and incubated </w:t>
      </w:r>
      <w:r>
        <w:rPr>
          <w:rFonts w:ascii="Arial" w:eastAsia="Times New Roman" w:hAnsi="Arial" w:cs="Arial"/>
          <w:color w:val="000000"/>
          <w:sz w:val="24"/>
          <w:szCs w:val="24"/>
          <w:shd w:val="clear" w:color="auto" w:fill="FFFFFF"/>
          <w:lang w:val="en-US"/>
        </w:rPr>
        <w:t xml:space="preserve">again </w:t>
      </w:r>
      <w:r w:rsidRPr="008852DC">
        <w:rPr>
          <w:rFonts w:ascii="Arial" w:eastAsia="Times New Roman" w:hAnsi="Arial" w:cs="Arial"/>
          <w:color w:val="000000"/>
          <w:sz w:val="24"/>
          <w:szCs w:val="24"/>
          <w:shd w:val="clear" w:color="auto" w:fill="FFFFFF"/>
          <w:lang w:val="en-US"/>
        </w:rPr>
        <w:t>in the presence or absence of EDO-S101</w:t>
      </w:r>
      <w:r>
        <w:rPr>
          <w:rFonts w:ascii="Arial" w:eastAsia="Times New Roman" w:hAnsi="Arial" w:cs="Arial"/>
          <w:color w:val="000000"/>
          <w:sz w:val="24"/>
          <w:szCs w:val="24"/>
          <w:shd w:val="clear" w:color="auto" w:fill="FFFFFF"/>
          <w:lang w:val="en-US"/>
        </w:rPr>
        <w:t xml:space="preserve"> </w:t>
      </w:r>
      <w:r w:rsidRPr="00C45719">
        <w:rPr>
          <w:rFonts w:ascii="Arial" w:eastAsia="Times New Roman" w:hAnsi="Arial" w:cs="Arial"/>
          <w:color w:val="000000"/>
          <w:sz w:val="24"/>
          <w:szCs w:val="24"/>
          <w:shd w:val="clear" w:color="auto" w:fill="FFFFFF"/>
          <w:lang w:val="en-US"/>
        </w:rPr>
        <w:t>for 30 hours.</w:t>
      </w:r>
      <w:r w:rsidRPr="008852DC">
        <w:rPr>
          <w:rFonts w:ascii="Arial" w:eastAsia="Times New Roman" w:hAnsi="Arial" w:cs="Arial"/>
          <w:color w:val="000000"/>
          <w:sz w:val="24"/>
          <w:szCs w:val="24"/>
          <w:shd w:val="clear" w:color="auto" w:fill="FFFFFF"/>
          <w:lang w:val="en-US"/>
        </w:rPr>
        <w:t xml:space="preserve"> </w:t>
      </w:r>
      <w:r>
        <w:rPr>
          <w:rFonts w:ascii="Arial" w:eastAsia="Times New Roman" w:hAnsi="Arial" w:cs="Arial"/>
          <w:color w:val="000000"/>
          <w:sz w:val="24"/>
          <w:szCs w:val="24"/>
          <w:shd w:val="clear" w:color="auto" w:fill="FFFFFF"/>
          <w:lang w:val="en-US"/>
        </w:rPr>
        <w:t xml:space="preserve">Live cells were selected by FSC/SSC gating, and </w:t>
      </w:r>
      <w:r w:rsidRPr="008852DC">
        <w:rPr>
          <w:rFonts w:ascii="Arial" w:eastAsia="Times New Roman" w:hAnsi="Arial" w:cs="Arial"/>
          <w:color w:val="000000"/>
          <w:sz w:val="24"/>
          <w:szCs w:val="24"/>
          <w:shd w:val="clear" w:color="auto" w:fill="FFFFFF"/>
          <w:lang w:val="en-US"/>
        </w:rPr>
        <w:t xml:space="preserve">GFP+ and </w:t>
      </w:r>
      <w:proofErr w:type="spellStart"/>
      <w:r w:rsidRPr="008852DC">
        <w:rPr>
          <w:rFonts w:ascii="Arial" w:eastAsia="Times New Roman" w:hAnsi="Arial" w:cs="Arial"/>
          <w:color w:val="000000"/>
          <w:sz w:val="24"/>
          <w:szCs w:val="24"/>
          <w:shd w:val="clear" w:color="auto" w:fill="FFFFFF"/>
          <w:lang w:val="en-US"/>
        </w:rPr>
        <w:t>DsRed</w:t>
      </w:r>
      <w:proofErr w:type="spellEnd"/>
      <w:r w:rsidRPr="008852DC">
        <w:rPr>
          <w:rFonts w:ascii="Arial" w:eastAsia="Times New Roman" w:hAnsi="Arial" w:cs="Arial"/>
          <w:color w:val="000000"/>
          <w:sz w:val="24"/>
          <w:szCs w:val="24"/>
          <w:shd w:val="clear" w:color="auto" w:fill="FFFFFF"/>
          <w:lang w:val="en-US"/>
        </w:rPr>
        <w:t xml:space="preserve">+ cells were </w:t>
      </w:r>
      <w:r>
        <w:rPr>
          <w:rFonts w:ascii="Arial" w:eastAsia="Times New Roman" w:hAnsi="Arial" w:cs="Arial"/>
          <w:color w:val="000000"/>
          <w:sz w:val="24"/>
          <w:szCs w:val="24"/>
          <w:shd w:val="clear" w:color="auto" w:fill="FFFFFF"/>
          <w:lang w:val="en-US"/>
        </w:rPr>
        <w:t xml:space="preserve">quantified </w:t>
      </w:r>
      <w:r w:rsidRPr="008852DC">
        <w:rPr>
          <w:rFonts w:ascii="Arial" w:eastAsia="Times New Roman" w:hAnsi="Arial" w:cs="Arial"/>
          <w:color w:val="000000"/>
          <w:sz w:val="24"/>
          <w:szCs w:val="24"/>
          <w:shd w:val="clear" w:color="auto" w:fill="FFFFFF"/>
          <w:lang w:val="en-US"/>
        </w:rPr>
        <w:t xml:space="preserve">by flow </w:t>
      </w:r>
      <w:proofErr w:type="spellStart"/>
      <w:r>
        <w:rPr>
          <w:rFonts w:ascii="Arial" w:eastAsia="Times New Roman" w:hAnsi="Arial" w:cs="Arial"/>
          <w:color w:val="000000"/>
          <w:sz w:val="24"/>
          <w:szCs w:val="24"/>
          <w:shd w:val="clear" w:color="auto" w:fill="FFFFFF"/>
          <w:lang w:val="en-US"/>
        </w:rPr>
        <w:t>cytometry</w:t>
      </w:r>
      <w:proofErr w:type="spellEnd"/>
      <w:r w:rsidRPr="008852DC">
        <w:rPr>
          <w:rFonts w:ascii="Arial" w:eastAsia="Times New Roman" w:hAnsi="Arial" w:cs="Arial"/>
          <w:color w:val="000000"/>
          <w:sz w:val="24"/>
          <w:szCs w:val="24"/>
          <w:shd w:val="clear" w:color="auto" w:fill="FFFFFF"/>
          <w:lang w:val="en-US"/>
        </w:rPr>
        <w:t xml:space="preserve">. HR efficiency was calculated as the ratio of GFP+ to </w:t>
      </w:r>
      <w:proofErr w:type="spellStart"/>
      <w:r w:rsidRPr="008852DC">
        <w:rPr>
          <w:rFonts w:ascii="Arial" w:eastAsia="Times New Roman" w:hAnsi="Arial" w:cs="Arial"/>
          <w:color w:val="000000"/>
          <w:sz w:val="24"/>
          <w:szCs w:val="24"/>
          <w:shd w:val="clear" w:color="auto" w:fill="FFFFFF"/>
          <w:lang w:val="en-US"/>
        </w:rPr>
        <w:t>DsRed</w:t>
      </w:r>
      <w:proofErr w:type="spellEnd"/>
      <w:r w:rsidRPr="008852DC">
        <w:rPr>
          <w:rFonts w:ascii="Arial" w:eastAsia="Times New Roman" w:hAnsi="Arial" w:cs="Arial"/>
          <w:color w:val="000000"/>
          <w:sz w:val="24"/>
          <w:szCs w:val="24"/>
          <w:shd w:val="clear" w:color="auto" w:fill="FFFFFF"/>
          <w:lang w:val="en-US"/>
        </w:rPr>
        <w:t>+ cells.</w:t>
      </w:r>
    </w:p>
    <w:p w14:paraId="322610D9" w14:textId="77777777" w:rsidR="00B46DF1" w:rsidRPr="005B1E58" w:rsidRDefault="00B46DF1" w:rsidP="00B46DF1">
      <w:pPr>
        <w:spacing w:line="480" w:lineRule="auto"/>
        <w:jc w:val="both"/>
        <w:rPr>
          <w:rFonts w:ascii="Arial" w:hAnsi="Arial" w:cs="Arial"/>
          <w:bCs/>
          <w:sz w:val="24"/>
          <w:szCs w:val="24"/>
          <w:lang w:val="en-US"/>
        </w:rPr>
      </w:pPr>
      <w:r w:rsidRPr="008852DC">
        <w:rPr>
          <w:rFonts w:ascii="Arial" w:hAnsi="Arial" w:cs="Arial"/>
          <w:b/>
          <w:bCs/>
          <w:sz w:val="24"/>
          <w:szCs w:val="24"/>
          <w:lang w:val="en-US"/>
        </w:rPr>
        <w:t>Animal mode</w:t>
      </w:r>
      <w:r w:rsidRPr="002145CA">
        <w:rPr>
          <w:rFonts w:ascii="Arial" w:hAnsi="Arial" w:cs="Arial"/>
          <w:b/>
          <w:sz w:val="24"/>
          <w:szCs w:val="24"/>
          <w:lang w:val="en-US"/>
        </w:rPr>
        <w:t>l</w:t>
      </w:r>
      <w:r>
        <w:rPr>
          <w:rFonts w:ascii="Arial" w:hAnsi="Arial" w:cs="Arial"/>
          <w:b/>
          <w:sz w:val="24"/>
          <w:szCs w:val="24"/>
          <w:lang w:val="en-US"/>
        </w:rPr>
        <w:t>s</w:t>
      </w:r>
      <w:r w:rsidRPr="002145CA">
        <w:rPr>
          <w:rFonts w:ascii="Arial" w:hAnsi="Arial" w:cs="Arial"/>
          <w:b/>
          <w:sz w:val="24"/>
          <w:szCs w:val="24"/>
          <w:lang w:val="en-US"/>
        </w:rPr>
        <w:t>.</w:t>
      </w:r>
      <w:r>
        <w:rPr>
          <w:rFonts w:ascii="Arial" w:hAnsi="Arial" w:cs="Arial"/>
          <w:b/>
          <w:sz w:val="24"/>
          <w:szCs w:val="24"/>
          <w:lang w:val="en-US"/>
        </w:rPr>
        <w:t xml:space="preserve"> </w:t>
      </w:r>
      <w:r>
        <w:rPr>
          <w:rFonts w:ascii="Arial" w:hAnsi="Arial" w:cs="Arial"/>
          <w:sz w:val="24"/>
          <w:szCs w:val="24"/>
          <w:lang w:val="en-US"/>
        </w:rPr>
        <w:t>M</w:t>
      </w:r>
      <w:r w:rsidRPr="008852DC">
        <w:rPr>
          <w:rFonts w:ascii="Arial" w:hAnsi="Arial" w:cs="Arial"/>
          <w:sz w:val="24"/>
          <w:szCs w:val="24"/>
          <w:lang w:val="en-US"/>
        </w:rPr>
        <w:t>ice were randomized to the control group (receiving</w:t>
      </w:r>
      <w:r>
        <w:rPr>
          <w:rFonts w:ascii="Arial" w:hAnsi="Arial" w:cs="Arial"/>
          <w:sz w:val="24"/>
          <w:szCs w:val="24"/>
          <w:lang w:val="en-US"/>
        </w:rPr>
        <w:t xml:space="preserve"> a </w:t>
      </w:r>
      <w:r w:rsidRPr="008852DC">
        <w:rPr>
          <w:rFonts w:ascii="Arial" w:hAnsi="Arial" w:cs="Arial"/>
          <w:sz w:val="24"/>
          <w:szCs w:val="24"/>
          <w:lang w:val="en-US"/>
        </w:rPr>
        <w:t>PBS</w:t>
      </w:r>
      <w:r>
        <w:rPr>
          <w:rFonts w:ascii="Arial" w:hAnsi="Arial" w:cs="Arial"/>
          <w:sz w:val="24"/>
          <w:szCs w:val="24"/>
          <w:lang w:val="en-US"/>
        </w:rPr>
        <w:t xml:space="preserve"> vehicle solution with </w:t>
      </w:r>
      <w:r>
        <w:rPr>
          <w:rFonts w:ascii="Arial" w:hAnsi="Arial" w:cs="Arial"/>
          <w:sz w:val="24"/>
          <w:szCs w:val="24"/>
          <w:shd w:val="clear" w:color="auto" w:fill="FFFFFF"/>
          <w:lang w:val="en-US"/>
        </w:rPr>
        <w:t xml:space="preserve">15% </w:t>
      </w:r>
      <w:r w:rsidRPr="005411FB">
        <w:rPr>
          <w:rFonts w:ascii="Arial" w:hAnsi="Arial" w:cs="Arial"/>
          <w:sz w:val="24"/>
          <w:szCs w:val="24"/>
          <w:shd w:val="clear" w:color="auto" w:fill="FFFFFF"/>
          <w:lang w:val="en-US"/>
        </w:rPr>
        <w:t>HPBCD</w:t>
      </w:r>
      <w:r>
        <w:rPr>
          <w:rFonts w:ascii="Arial" w:hAnsi="Arial" w:cs="Arial"/>
          <w:sz w:val="24"/>
          <w:szCs w:val="24"/>
          <w:shd w:val="clear" w:color="auto" w:fill="FFFFFF"/>
          <w:lang w:val="en-US"/>
        </w:rPr>
        <w:t xml:space="preserve">, 1.5% acetic acid and </w:t>
      </w:r>
      <w:r w:rsidRPr="00EB7DF2">
        <w:rPr>
          <w:rFonts w:ascii="Arial" w:hAnsi="Arial" w:cs="Arial"/>
          <w:sz w:val="24"/>
          <w:szCs w:val="24"/>
          <w:shd w:val="clear" w:color="auto" w:fill="FFFFFF"/>
          <w:lang w:val="en-US"/>
        </w:rPr>
        <w:t>1.25% NaHCO</w:t>
      </w:r>
      <w:r w:rsidRPr="008E2F80">
        <w:rPr>
          <w:rFonts w:ascii="Arial" w:hAnsi="Arial" w:cs="Arial"/>
          <w:sz w:val="24"/>
          <w:szCs w:val="24"/>
          <w:shd w:val="clear" w:color="auto" w:fill="FFFFFF"/>
          <w:vertAlign w:val="subscript"/>
          <w:lang w:val="en-US"/>
        </w:rPr>
        <w:t>3</w:t>
      </w:r>
      <w:r>
        <w:rPr>
          <w:rFonts w:ascii="Arial" w:hAnsi="Arial" w:cs="Arial"/>
          <w:sz w:val="24"/>
          <w:szCs w:val="24"/>
          <w:lang w:val="en-US"/>
        </w:rPr>
        <w:t xml:space="preserve">) or the treatment groups when tumors became palpable in the case of small </w:t>
      </w:r>
      <w:proofErr w:type="spellStart"/>
      <w:r>
        <w:rPr>
          <w:rFonts w:ascii="Arial" w:hAnsi="Arial" w:cs="Arial"/>
          <w:sz w:val="24"/>
          <w:szCs w:val="24"/>
          <w:lang w:val="en-US"/>
        </w:rPr>
        <w:t>plasmacytomas</w:t>
      </w:r>
      <w:proofErr w:type="spellEnd"/>
      <w:r>
        <w:rPr>
          <w:rFonts w:ascii="Arial" w:hAnsi="Arial" w:cs="Arial"/>
          <w:sz w:val="24"/>
          <w:szCs w:val="24"/>
          <w:lang w:val="en-US"/>
        </w:rPr>
        <w:t>,</w:t>
      </w:r>
      <w:r w:rsidRPr="008852DC">
        <w:rPr>
          <w:rFonts w:ascii="Arial" w:hAnsi="Arial" w:cs="Arial"/>
          <w:sz w:val="24"/>
          <w:szCs w:val="24"/>
          <w:lang w:val="en-US"/>
        </w:rPr>
        <w:t xml:space="preserve"> </w:t>
      </w:r>
      <w:r w:rsidRPr="00354CF7">
        <w:rPr>
          <w:rFonts w:ascii="Arial" w:hAnsi="Arial" w:cs="Arial"/>
          <w:sz w:val="24"/>
          <w:szCs w:val="24"/>
          <w:lang w:val="en-US"/>
        </w:rPr>
        <w:t xml:space="preserve">or when </w:t>
      </w:r>
      <w:r w:rsidRPr="00354CF7">
        <w:rPr>
          <w:rFonts w:ascii="Arial" w:hAnsi="Arial" w:cs="Arial"/>
          <w:bCs/>
          <w:sz w:val="24"/>
          <w:szCs w:val="24"/>
          <w:lang w:val="en-US"/>
        </w:rPr>
        <w:t>the median tumor volume reached 4,000 mm</w:t>
      </w:r>
      <w:r w:rsidRPr="00354CF7">
        <w:rPr>
          <w:rFonts w:ascii="Arial" w:hAnsi="Arial" w:cs="Arial"/>
          <w:bCs/>
          <w:sz w:val="24"/>
          <w:szCs w:val="24"/>
          <w:vertAlign w:val="superscript"/>
          <w:lang w:val="en-US"/>
        </w:rPr>
        <w:t>3</w:t>
      </w:r>
      <w:r w:rsidRPr="00354CF7">
        <w:rPr>
          <w:rFonts w:ascii="Arial" w:hAnsi="Arial" w:cs="Arial"/>
          <w:bCs/>
          <w:sz w:val="24"/>
          <w:szCs w:val="24"/>
          <w:lang w:val="en-US"/>
        </w:rPr>
        <w:t xml:space="preserve"> for large </w:t>
      </w:r>
      <w:proofErr w:type="spellStart"/>
      <w:r w:rsidRPr="00354CF7">
        <w:rPr>
          <w:rFonts w:ascii="Arial" w:hAnsi="Arial" w:cs="Arial"/>
          <w:bCs/>
          <w:sz w:val="24"/>
          <w:szCs w:val="24"/>
          <w:lang w:val="en-US"/>
        </w:rPr>
        <w:t>plasmacytomas</w:t>
      </w:r>
      <w:proofErr w:type="spellEnd"/>
      <w:r w:rsidRPr="00354CF7">
        <w:rPr>
          <w:rFonts w:ascii="Arial" w:hAnsi="Arial" w:cs="Arial"/>
          <w:bCs/>
          <w:sz w:val="24"/>
          <w:szCs w:val="24"/>
          <w:lang w:val="en-US"/>
        </w:rPr>
        <w:t xml:space="preserve">. </w:t>
      </w:r>
      <w:r w:rsidRPr="005B41F6">
        <w:rPr>
          <w:rFonts w:ascii="Arial" w:hAnsi="Arial" w:cs="Arial"/>
          <w:bCs/>
          <w:sz w:val="24"/>
          <w:szCs w:val="24"/>
          <w:lang w:val="en-US"/>
        </w:rPr>
        <w:t>To calculate the dose of each drug</w:t>
      </w:r>
      <w:r>
        <w:rPr>
          <w:rFonts w:ascii="Arial" w:hAnsi="Arial" w:cs="Arial"/>
          <w:bCs/>
          <w:sz w:val="24"/>
          <w:szCs w:val="24"/>
          <w:lang w:val="en-US"/>
        </w:rPr>
        <w:t>,</w:t>
      </w:r>
      <w:r w:rsidRPr="005411FB">
        <w:rPr>
          <w:rFonts w:ascii="Arial" w:hAnsi="Arial" w:cs="Arial"/>
          <w:bCs/>
          <w:sz w:val="24"/>
          <w:szCs w:val="24"/>
          <w:lang w:val="en-US"/>
        </w:rPr>
        <w:t xml:space="preserve"> a maximum tolerate</w:t>
      </w:r>
      <w:r>
        <w:rPr>
          <w:rFonts w:ascii="Arial" w:hAnsi="Arial" w:cs="Arial"/>
          <w:bCs/>
          <w:sz w:val="24"/>
          <w:szCs w:val="24"/>
          <w:lang w:val="en-US"/>
        </w:rPr>
        <w:t>d</w:t>
      </w:r>
      <w:r w:rsidRPr="005411FB">
        <w:rPr>
          <w:rFonts w:ascii="Arial" w:hAnsi="Arial" w:cs="Arial"/>
          <w:bCs/>
          <w:sz w:val="24"/>
          <w:szCs w:val="24"/>
          <w:lang w:val="en-US"/>
        </w:rPr>
        <w:t xml:space="preserve"> dose (MTD) experiment in CB17-SCID mice was </w:t>
      </w:r>
      <w:r>
        <w:rPr>
          <w:rFonts w:ascii="Arial" w:hAnsi="Arial" w:cs="Arial"/>
          <w:bCs/>
          <w:sz w:val="24"/>
          <w:szCs w:val="24"/>
          <w:lang w:val="en-US"/>
        </w:rPr>
        <w:t xml:space="preserve">previously </w:t>
      </w:r>
      <w:r w:rsidRPr="005411FB">
        <w:rPr>
          <w:rFonts w:ascii="Arial" w:hAnsi="Arial" w:cs="Arial"/>
          <w:bCs/>
          <w:sz w:val="24"/>
          <w:szCs w:val="24"/>
          <w:lang w:val="en-US"/>
        </w:rPr>
        <w:t xml:space="preserve">performed. The doses of </w:t>
      </w:r>
      <w:proofErr w:type="spellStart"/>
      <w:r w:rsidRPr="005411FB">
        <w:rPr>
          <w:rFonts w:ascii="Arial" w:hAnsi="Arial" w:cs="Arial"/>
          <w:bCs/>
          <w:sz w:val="24"/>
          <w:szCs w:val="24"/>
          <w:lang w:val="en-US"/>
        </w:rPr>
        <w:t>bendamustine</w:t>
      </w:r>
      <w:proofErr w:type="spellEnd"/>
      <w:r w:rsidRPr="005411FB">
        <w:rPr>
          <w:rFonts w:ascii="Arial" w:hAnsi="Arial" w:cs="Arial"/>
          <w:bCs/>
          <w:sz w:val="24"/>
          <w:szCs w:val="24"/>
          <w:lang w:val="en-US"/>
        </w:rPr>
        <w:t xml:space="preserve"> and </w:t>
      </w:r>
      <w:proofErr w:type="spellStart"/>
      <w:r w:rsidRPr="005411FB">
        <w:rPr>
          <w:rFonts w:ascii="Arial" w:hAnsi="Arial" w:cs="Arial"/>
          <w:bCs/>
          <w:sz w:val="24"/>
          <w:szCs w:val="24"/>
          <w:lang w:val="en-US"/>
        </w:rPr>
        <w:t>vorinostat</w:t>
      </w:r>
      <w:proofErr w:type="spellEnd"/>
      <w:r w:rsidRPr="005411FB">
        <w:rPr>
          <w:rFonts w:ascii="Arial" w:hAnsi="Arial" w:cs="Arial"/>
          <w:bCs/>
          <w:sz w:val="24"/>
          <w:szCs w:val="24"/>
          <w:lang w:val="en-US"/>
        </w:rPr>
        <w:t xml:space="preserve"> used in the final experiment are the MTD when both drugs were used in combination.</w:t>
      </w:r>
      <w:r w:rsidRPr="00354CF7">
        <w:rPr>
          <w:rFonts w:ascii="Arial" w:hAnsi="Arial" w:cs="Arial"/>
          <w:bCs/>
          <w:sz w:val="24"/>
          <w:szCs w:val="24"/>
          <w:lang w:val="en-US"/>
        </w:rPr>
        <w:t xml:space="preserve"> </w:t>
      </w:r>
      <w:proofErr w:type="gramStart"/>
      <w:r w:rsidRPr="00354CF7">
        <w:rPr>
          <w:rFonts w:ascii="Arial" w:hAnsi="Arial" w:cs="Arial"/>
          <w:sz w:val="24"/>
          <w:szCs w:val="24"/>
          <w:lang w:val="en-US"/>
        </w:rPr>
        <w:t>All protocols and experiments were approved by the Animal Ethics Comm</w:t>
      </w:r>
      <w:r w:rsidRPr="008852DC">
        <w:rPr>
          <w:rFonts w:ascii="Arial" w:hAnsi="Arial" w:cs="Arial"/>
          <w:sz w:val="24"/>
          <w:szCs w:val="24"/>
          <w:lang w:val="en-US"/>
        </w:rPr>
        <w:t xml:space="preserve">ittee of the </w:t>
      </w:r>
      <w:r w:rsidRPr="000C24FC">
        <w:rPr>
          <w:rFonts w:ascii="Arial" w:hAnsi="Arial" w:cs="Arial"/>
          <w:sz w:val="24"/>
          <w:szCs w:val="24"/>
          <w:lang w:val="en-US"/>
        </w:rPr>
        <w:t>University of Salamanca</w:t>
      </w:r>
      <w:proofErr w:type="gramEnd"/>
      <w:r w:rsidRPr="000C24FC">
        <w:rPr>
          <w:rFonts w:ascii="Arial" w:hAnsi="Arial" w:cs="Arial"/>
          <w:sz w:val="24"/>
          <w:szCs w:val="24"/>
          <w:lang w:val="en-US"/>
        </w:rPr>
        <w:t>.</w:t>
      </w:r>
    </w:p>
    <w:p w14:paraId="040E1F67" w14:textId="4B0478E2" w:rsidR="00D50944" w:rsidRDefault="00B46DF1" w:rsidP="00A379CC">
      <w:pPr>
        <w:spacing w:line="480" w:lineRule="auto"/>
        <w:jc w:val="both"/>
        <w:rPr>
          <w:rFonts w:ascii="Arial" w:hAnsi="Arial"/>
          <w:sz w:val="24"/>
          <w:szCs w:val="24"/>
          <w:lang w:val="en-US"/>
        </w:rPr>
      </w:pPr>
      <w:r>
        <w:rPr>
          <w:rFonts w:ascii="Arial" w:hAnsi="Arial" w:cs="Arial"/>
          <w:sz w:val="24"/>
          <w:szCs w:val="24"/>
          <w:lang w:val="en-US"/>
        </w:rPr>
        <w:t xml:space="preserve">Two </w:t>
      </w:r>
      <w:r w:rsidRPr="00650642">
        <w:rPr>
          <w:rFonts w:ascii="Arial" w:hAnsi="Arial" w:cs="Arial"/>
          <w:i/>
          <w:sz w:val="24"/>
          <w:szCs w:val="24"/>
          <w:lang w:val="en-US"/>
        </w:rPr>
        <w:t>de novo</w:t>
      </w:r>
      <w:r>
        <w:rPr>
          <w:rFonts w:ascii="Arial" w:hAnsi="Arial" w:cs="Arial"/>
          <w:sz w:val="24"/>
          <w:szCs w:val="24"/>
          <w:lang w:val="en-US"/>
        </w:rPr>
        <w:t xml:space="preserve"> </w:t>
      </w:r>
      <w:proofErr w:type="spellStart"/>
      <w:r>
        <w:rPr>
          <w:rFonts w:ascii="Arial" w:hAnsi="Arial" w:cs="Arial"/>
          <w:sz w:val="24"/>
          <w:szCs w:val="24"/>
          <w:lang w:val="en-US"/>
        </w:rPr>
        <w:t>Vk</w:t>
      </w:r>
      <w:proofErr w:type="spellEnd"/>
      <w:r>
        <w:rPr>
          <w:rFonts w:ascii="Arial" w:hAnsi="Arial" w:cs="Arial"/>
          <w:sz w:val="24"/>
          <w:szCs w:val="24"/>
          <w:lang w:val="en-US"/>
        </w:rPr>
        <w:t xml:space="preserve">*MYC mice </w:t>
      </w:r>
      <w:r w:rsidRPr="00EB7DF2">
        <w:rPr>
          <w:rFonts w:ascii="Arial" w:hAnsi="Arial" w:cs="Arial"/>
          <w:sz w:val="24"/>
          <w:szCs w:val="24"/>
          <w:lang w:val="en-US"/>
        </w:rPr>
        <w:t>with a M-spike corresponding to gamma/</w:t>
      </w:r>
      <w:r w:rsidRPr="00705DE3">
        <w:rPr>
          <w:rFonts w:ascii="Arial" w:hAnsi="Arial" w:cs="Arial"/>
          <w:sz w:val="24"/>
          <w:szCs w:val="24"/>
          <w:lang w:val="en-US"/>
        </w:rPr>
        <w:t>alpha</w:t>
      </w:r>
      <w:r w:rsidRPr="00EB7DF2">
        <w:rPr>
          <w:rFonts w:ascii="Arial" w:hAnsi="Arial" w:cs="Arial"/>
          <w:sz w:val="24"/>
          <w:szCs w:val="24"/>
          <w:lang w:val="en-US"/>
        </w:rPr>
        <w:t xml:space="preserve"> ratio of 0.65 and 0.43 were chosen. </w:t>
      </w:r>
      <w:r w:rsidRPr="00EB7DF2">
        <w:rPr>
          <w:rFonts w:ascii="Arial" w:hAnsi="Arial"/>
          <w:sz w:val="24"/>
          <w:szCs w:val="24"/>
          <w:lang w:val="en-US"/>
        </w:rPr>
        <w:t>EDO-S101 was administered once/week for two weeks by intra-cardiac injection at 30</w:t>
      </w:r>
      <w:r>
        <w:rPr>
          <w:rFonts w:ascii="Arial" w:hAnsi="Arial"/>
          <w:sz w:val="24"/>
          <w:szCs w:val="24"/>
          <w:lang w:val="en-US"/>
        </w:rPr>
        <w:t xml:space="preserve"> </w:t>
      </w:r>
      <w:r w:rsidRPr="00EB7DF2">
        <w:rPr>
          <w:rFonts w:ascii="Arial" w:hAnsi="Arial"/>
          <w:sz w:val="24"/>
          <w:szCs w:val="24"/>
          <w:lang w:val="en-US"/>
        </w:rPr>
        <w:t xml:space="preserve">mg/kg </w:t>
      </w:r>
      <w:r w:rsidRPr="00EB7DF2">
        <w:rPr>
          <w:rFonts w:ascii="Arial" w:hAnsi="Arial" w:cs="Arial"/>
          <w:sz w:val="24"/>
          <w:szCs w:val="24"/>
          <w:shd w:val="clear" w:color="auto" w:fill="FFFFFF"/>
          <w:lang w:val="en-US"/>
        </w:rPr>
        <w:t>in</w:t>
      </w:r>
      <w:r>
        <w:rPr>
          <w:rFonts w:ascii="Arial" w:hAnsi="Arial" w:cs="Arial"/>
          <w:sz w:val="24"/>
          <w:szCs w:val="24"/>
          <w:shd w:val="clear" w:color="auto" w:fill="FFFFFF"/>
          <w:lang w:val="en-US"/>
        </w:rPr>
        <w:t xml:space="preserve"> vehicle solution</w:t>
      </w:r>
      <w:r w:rsidRPr="00230E40">
        <w:rPr>
          <w:rFonts w:ascii="Arial" w:hAnsi="Arial"/>
          <w:sz w:val="24"/>
          <w:szCs w:val="24"/>
          <w:lang w:val="en-US"/>
        </w:rPr>
        <w:t xml:space="preserve">. For transplantation studies, 7-10 week old C57BL/6J </w:t>
      </w:r>
      <w:proofErr w:type="spellStart"/>
      <w:r w:rsidRPr="00230E40">
        <w:rPr>
          <w:rFonts w:ascii="Arial" w:hAnsi="Arial"/>
          <w:sz w:val="24"/>
          <w:szCs w:val="24"/>
          <w:lang w:val="en-US"/>
        </w:rPr>
        <w:t>wt</w:t>
      </w:r>
      <w:proofErr w:type="spellEnd"/>
      <w:r w:rsidRPr="00230E40">
        <w:rPr>
          <w:rFonts w:ascii="Arial" w:hAnsi="Arial"/>
          <w:sz w:val="24"/>
          <w:szCs w:val="24"/>
          <w:lang w:val="en-US"/>
        </w:rPr>
        <w:t xml:space="preserve"> mice were transplanted with ~1</w:t>
      </w:r>
      <w:r>
        <w:rPr>
          <w:rFonts w:ascii="Arial" w:hAnsi="Arial"/>
          <w:sz w:val="24"/>
          <w:szCs w:val="24"/>
          <w:lang w:val="en-US"/>
        </w:rPr>
        <w:t>x10</w:t>
      </w:r>
      <w:r w:rsidRPr="0098047B">
        <w:rPr>
          <w:rFonts w:ascii="Arial" w:hAnsi="Arial"/>
          <w:sz w:val="24"/>
          <w:szCs w:val="24"/>
          <w:vertAlign w:val="superscript"/>
          <w:lang w:val="en-US"/>
        </w:rPr>
        <w:t>6</w:t>
      </w:r>
      <w:r w:rsidRPr="00230E40">
        <w:rPr>
          <w:rFonts w:ascii="Arial" w:hAnsi="Arial"/>
          <w:sz w:val="24"/>
          <w:szCs w:val="24"/>
          <w:lang w:val="en-US"/>
        </w:rPr>
        <w:t xml:space="preserve"> million </w:t>
      </w:r>
      <w:proofErr w:type="spellStart"/>
      <w:r w:rsidRPr="00230E40">
        <w:rPr>
          <w:rFonts w:ascii="Arial" w:hAnsi="Arial"/>
          <w:sz w:val="24"/>
          <w:szCs w:val="24"/>
          <w:lang w:val="en-US"/>
        </w:rPr>
        <w:t>splenocytes</w:t>
      </w:r>
      <w:proofErr w:type="spellEnd"/>
      <w:r w:rsidRPr="00230E40">
        <w:rPr>
          <w:rFonts w:ascii="Arial" w:hAnsi="Arial"/>
          <w:sz w:val="24"/>
          <w:szCs w:val="24"/>
          <w:lang w:val="en-US"/>
        </w:rPr>
        <w:t xml:space="preserve"> harvested from Vk12653 tumor bearing </w:t>
      </w:r>
      <w:r w:rsidRPr="007A2734">
        <w:rPr>
          <w:rFonts w:ascii="Arial" w:hAnsi="Arial"/>
          <w:sz w:val="24"/>
          <w:szCs w:val="24"/>
          <w:lang w:val="en-US"/>
        </w:rPr>
        <w:t xml:space="preserve">mice. Drug treatment was performed as indicated for the </w:t>
      </w:r>
      <w:r w:rsidRPr="007A2734">
        <w:rPr>
          <w:rFonts w:ascii="Arial" w:hAnsi="Arial"/>
          <w:i/>
          <w:sz w:val="24"/>
          <w:szCs w:val="24"/>
          <w:lang w:val="en-US"/>
        </w:rPr>
        <w:t>de novo</w:t>
      </w:r>
      <w:r w:rsidRPr="007A2734">
        <w:rPr>
          <w:rFonts w:ascii="Arial" w:hAnsi="Arial"/>
          <w:sz w:val="24"/>
          <w:szCs w:val="24"/>
          <w:lang w:val="en-US"/>
        </w:rPr>
        <w:t xml:space="preserve"> mice and was initiated </w:t>
      </w:r>
      <w:r>
        <w:rPr>
          <w:rFonts w:ascii="Arial" w:hAnsi="Arial"/>
          <w:sz w:val="24"/>
          <w:szCs w:val="24"/>
          <w:lang w:val="en-US"/>
        </w:rPr>
        <w:t xml:space="preserve">once their </w:t>
      </w:r>
      <w:r w:rsidRPr="0098047B">
        <w:rPr>
          <w:rFonts w:ascii="Arial" w:hAnsi="Arial"/>
          <w:sz w:val="24"/>
          <w:szCs w:val="24"/>
          <w:lang w:val="en-US"/>
        </w:rPr>
        <w:t>M-spike levels reached &gt;10g/L, or their gamma/albumin fraction was &gt;0.3 to mimic clinical setting.</w:t>
      </w:r>
      <w:r w:rsidRPr="00E35826">
        <w:rPr>
          <w:rFonts w:ascii="Arial" w:hAnsi="Arial"/>
          <w:sz w:val="24"/>
          <w:szCs w:val="24"/>
          <w:lang w:val="en-US"/>
        </w:rPr>
        <w:t xml:space="preserve"> </w:t>
      </w:r>
      <w:r w:rsidRPr="00AC006B">
        <w:rPr>
          <w:rFonts w:ascii="Arial" w:hAnsi="Arial"/>
          <w:sz w:val="24"/>
          <w:szCs w:val="24"/>
          <w:lang w:val="en-US"/>
        </w:rPr>
        <w:t xml:space="preserve">Details on </w:t>
      </w:r>
      <w:r>
        <w:rPr>
          <w:rFonts w:ascii="Arial" w:hAnsi="Arial"/>
          <w:sz w:val="24"/>
          <w:szCs w:val="24"/>
          <w:lang w:val="en-US"/>
        </w:rPr>
        <w:t>serum protein e</w:t>
      </w:r>
      <w:r w:rsidRPr="00F2552D">
        <w:rPr>
          <w:rFonts w:ascii="Arial" w:hAnsi="Arial"/>
          <w:sz w:val="24"/>
          <w:szCs w:val="24"/>
          <w:lang w:val="en-US"/>
        </w:rPr>
        <w:t>lectrophoresis</w:t>
      </w:r>
      <w:r>
        <w:rPr>
          <w:rFonts w:ascii="Arial" w:hAnsi="Arial"/>
          <w:sz w:val="24"/>
          <w:szCs w:val="24"/>
          <w:lang w:val="en-US"/>
        </w:rPr>
        <w:t xml:space="preserve"> </w:t>
      </w:r>
      <w:r w:rsidRPr="00EE7A6B">
        <w:rPr>
          <w:rFonts w:ascii="Arial" w:hAnsi="Arial"/>
          <w:sz w:val="24"/>
          <w:szCs w:val="24"/>
          <w:lang w:val="en-US"/>
        </w:rPr>
        <w:t>(SPEP)</w:t>
      </w:r>
      <w:r w:rsidRPr="00AC006B">
        <w:rPr>
          <w:rFonts w:ascii="Arial" w:hAnsi="Arial"/>
          <w:sz w:val="24"/>
          <w:szCs w:val="24"/>
          <w:lang w:val="en-US"/>
        </w:rPr>
        <w:t xml:space="preserve"> analysis have already been described.</w:t>
      </w:r>
      <w:r w:rsidRPr="00AC006B">
        <w:rPr>
          <w:rFonts w:ascii="Arial" w:hAnsi="Arial"/>
          <w:sz w:val="24"/>
          <w:szCs w:val="24"/>
          <w:lang w:val="en-US"/>
        </w:rPr>
        <w:fldChar w:fldCharType="begin" w:fldLock="1"/>
      </w:r>
      <w:r w:rsidR="000801D5">
        <w:rPr>
          <w:rFonts w:ascii="Arial" w:hAnsi="Arial"/>
          <w:sz w:val="24"/>
          <w:szCs w:val="24"/>
          <w:lang w:val="en-US"/>
        </w:rPr>
        <w:instrText>ADDIN CSL_CITATION { "citationItems" : [ { "id" : "ITEM-1", "itemData" : { "DOI" : "10.1016/j.ccr.2008.01.007", "ISSN" : "1535-6108", "PMID" : "18242516", "abstract" : "By misdirecting the activity of Activation-Induced Deaminase (AID) to a conditional MYC transgene, we have achieved sporadic, AID-dependent MYC activation in germinal center B cells of Vk*MYC mice. Whereas control C57BL/6 mice develop benign monoclonal gammopathy with age, all Vk*MYC mice progress to an indolent multiple myeloma associated with the biological and clinical features highly characteristic of the human disease. Furthermore, antigen-dependent myeloma could be induced by immunization with a T-dependent antigen. Consistent with these findings in mice, more frequent MYC rearrangements, elevated levels of MYC mRNA, and MYC target genes distinguish human patients with multiple myeloma from individuals with monoclonal gammopathy, implicating a causal role for MYC in the progression of monoclonal gammopathy to multiple myeloma.", "author" : [ { "dropping-particle" : "", "family" : "Chesi", "given" : "Marta", "non-dropping-particle" : "", "parse-names" : false, "suffix" : "" }, { "dropping-particle" : "", "family" : "Robbiani", "given" : "Davide F", "non-dropping-particle" : "", "parse-names" : false, "suffix" : "" }, { "dropping-particle" : "", "family" : "Sebag", "given" : "Michael", "non-dropping-particle" : "", "parse-names" : false, "suffix" : "" }, { "dropping-particle" : "", "family" : "Chng", "given" : "Wee Joo", "non-dropping-particle" : "", "parse-names" : false, "suffix" : "" }, { "dropping-particle" : "", "family" : "Affer", "given" : "Maurizio", "non-dropping-particle" : "", "parse-names" : false, "suffix" : "" }, { "dropping-particle" : "", "family" : "Tiedemann", "given" : "Rodger", "non-dropping-particle" : "", "parse-names" : false, "suffix" : "" }, { "dropping-particle" : "", "family" : "Valdez", "given" : "Riccardo", "non-dropping-particle" : "", "parse-names" : false, "suffix" : "" }, { "dropping-particle" : "", "family" : "Palmer", "given" : "Stephen E", "non-dropping-particle" : "", "parse-names" : false, "suffix" : "" }, { "dropping-particle" : "", "family" : "Haas", "given" : "Stephanie S", "non-dropping-particle" : "", "parse-names" : false, "suffix" : "" }, { "dropping-particle" : "", "family" : "Stewart", "given" : "A Keith", "non-dropping-particle" : "", "parse-names" : false, "suffix" : "" }, { "dropping-particle" : "", "family" : "Fonseca", "given" : "Rafael", "non-dropping-particle" : "", "parse-names" : false, "suffix" : "" }, { "dropping-particle" : "", "family" : "Kremer", "given" : "Richard", "non-dropping-particle" : "", "parse-names" : false, "suffix" : "" }, { "dropping-particle" : "", "family" : "Cattoretti", "given" : "Giorgio", "non-dropping-particle" : "", "parse-names" : false, "suffix" : "" }, { "dropping-particle" : "", "family" : "Bergsagel", "given" : "P Leif", "non-dropping-particle" : "", "parse-names" : false, "suffix" : "" } ], "container-title" : "Cancer cell", "id" : "ITEM-1", "issue" : "2", "issued" : { "date-parts" : [ [ "2008", "2" ] ] }, "page" : "167-80", "title" : "AID-dependent activation of a MYC transgene induces multiple myeloma in a conditional mouse model of post-germinal center malignancies.", "type" : "article-journal", "volume" : "13" }, "uris" : [ "http://www.mendeley.com/documents/?uuid=76ddec96-9bf3-4be8-9faf-bb3cdf746726" ] } ], "mendeley" : { "formattedCitation" : "&lt;sup&gt;2&lt;/sup&gt;", "plainTextFormattedCitation" : "2", "previouslyFormattedCitation" : "&lt;sup&gt;2&lt;/sup&gt;" }, "properties" : { "noteIndex" : 0 }, "schema" : "https://github.com/citation-style-language/schema/raw/master/csl-citation.json" }</w:instrText>
      </w:r>
      <w:r w:rsidRPr="00AC006B">
        <w:rPr>
          <w:rFonts w:ascii="Arial" w:hAnsi="Arial"/>
          <w:sz w:val="24"/>
          <w:szCs w:val="24"/>
          <w:lang w:val="en-US"/>
        </w:rPr>
        <w:fldChar w:fldCharType="separate"/>
      </w:r>
      <w:r w:rsidR="00F73F0D" w:rsidRPr="00F73F0D">
        <w:rPr>
          <w:rFonts w:ascii="Arial" w:hAnsi="Arial"/>
          <w:noProof/>
          <w:sz w:val="24"/>
          <w:szCs w:val="24"/>
          <w:vertAlign w:val="superscript"/>
          <w:lang w:val="en-US"/>
        </w:rPr>
        <w:t>2</w:t>
      </w:r>
      <w:r w:rsidRPr="00AC006B">
        <w:rPr>
          <w:rFonts w:ascii="Arial" w:hAnsi="Arial"/>
          <w:sz w:val="24"/>
          <w:szCs w:val="24"/>
          <w:lang w:val="en-US"/>
        </w:rPr>
        <w:fldChar w:fldCharType="end"/>
      </w:r>
    </w:p>
    <w:p w14:paraId="18086568" w14:textId="49D8C40D" w:rsidR="0008609F" w:rsidRDefault="0008609F" w:rsidP="00A379CC">
      <w:pPr>
        <w:spacing w:line="480" w:lineRule="auto"/>
        <w:jc w:val="both"/>
        <w:rPr>
          <w:rFonts w:ascii="Arial" w:hAnsi="Arial" w:cs="Arial"/>
          <w:sz w:val="24"/>
          <w:szCs w:val="24"/>
          <w:lang w:val="en-US"/>
        </w:rPr>
      </w:pPr>
      <w:proofErr w:type="gramStart"/>
      <w:r w:rsidRPr="0008609F">
        <w:rPr>
          <w:rFonts w:ascii="Arial" w:hAnsi="Arial"/>
          <w:b/>
          <w:sz w:val="24"/>
          <w:szCs w:val="24"/>
          <w:lang w:val="en-US"/>
        </w:rPr>
        <w:t xml:space="preserve">Reagents and </w:t>
      </w:r>
      <w:proofErr w:type="spellStart"/>
      <w:r w:rsidRPr="0008609F">
        <w:rPr>
          <w:rFonts w:ascii="Arial" w:hAnsi="Arial"/>
          <w:b/>
          <w:sz w:val="24"/>
          <w:szCs w:val="24"/>
          <w:lang w:val="en-US"/>
        </w:rPr>
        <w:t>immunochemicals</w:t>
      </w:r>
      <w:proofErr w:type="spellEnd"/>
      <w:r w:rsidRPr="0008609F">
        <w:rPr>
          <w:rFonts w:ascii="Arial" w:hAnsi="Arial"/>
          <w:b/>
          <w:sz w:val="24"/>
          <w:szCs w:val="24"/>
          <w:lang w:val="en-US"/>
        </w:rPr>
        <w:t>.</w:t>
      </w:r>
      <w:proofErr w:type="gramEnd"/>
      <w:r>
        <w:rPr>
          <w:rFonts w:ascii="Arial" w:hAnsi="Arial"/>
          <w:sz w:val="24"/>
          <w:szCs w:val="24"/>
          <w:lang w:val="en-US"/>
        </w:rPr>
        <w:t xml:space="preserve"> </w:t>
      </w:r>
      <w:r w:rsidRPr="008852DC">
        <w:rPr>
          <w:rFonts w:ascii="Arial" w:hAnsi="Arial" w:cs="Arial"/>
          <w:sz w:val="24"/>
          <w:szCs w:val="24"/>
          <w:lang w:val="en-US"/>
        </w:rPr>
        <w:t xml:space="preserve">Cell culture media, </w:t>
      </w:r>
      <w:r>
        <w:rPr>
          <w:rFonts w:ascii="Arial" w:hAnsi="Arial" w:cs="Arial"/>
          <w:sz w:val="24"/>
          <w:szCs w:val="24"/>
          <w:lang w:val="en-US"/>
        </w:rPr>
        <w:t xml:space="preserve">fetal bovine </w:t>
      </w:r>
      <w:r w:rsidRPr="008852DC">
        <w:rPr>
          <w:rFonts w:ascii="Arial" w:hAnsi="Arial" w:cs="Arial"/>
          <w:sz w:val="24"/>
          <w:szCs w:val="24"/>
          <w:lang w:val="en-US"/>
        </w:rPr>
        <w:t xml:space="preserve">serum and penicillin-streptomycin were purchased from Invitrogen Corporation (Gaithersburg, MD, USA). </w:t>
      </w:r>
      <w:proofErr w:type="spellStart"/>
      <w:r>
        <w:rPr>
          <w:rFonts w:ascii="Arial" w:hAnsi="Arial" w:cs="Arial"/>
          <w:sz w:val="24"/>
          <w:szCs w:val="24"/>
          <w:lang w:val="en-US"/>
        </w:rPr>
        <w:t>B</w:t>
      </w:r>
      <w:r w:rsidRPr="008852DC">
        <w:rPr>
          <w:rFonts w:ascii="Arial" w:hAnsi="Arial" w:cs="Arial"/>
          <w:sz w:val="24"/>
          <w:szCs w:val="24"/>
          <w:lang w:val="en-US"/>
        </w:rPr>
        <w:t>ortezomib</w:t>
      </w:r>
      <w:proofErr w:type="spellEnd"/>
      <w:r w:rsidRPr="008852DC">
        <w:rPr>
          <w:rFonts w:ascii="Arial" w:hAnsi="Arial" w:cs="Arial"/>
          <w:sz w:val="24"/>
          <w:szCs w:val="24"/>
          <w:lang w:val="en-US"/>
        </w:rPr>
        <w:t xml:space="preserve"> </w:t>
      </w:r>
      <w:r>
        <w:rPr>
          <w:rFonts w:ascii="Arial" w:hAnsi="Arial" w:cs="Arial"/>
          <w:sz w:val="24"/>
          <w:szCs w:val="24"/>
          <w:lang w:val="en-US"/>
        </w:rPr>
        <w:t>was</w:t>
      </w:r>
      <w:r w:rsidRPr="008852DC">
        <w:rPr>
          <w:rFonts w:ascii="Arial" w:hAnsi="Arial" w:cs="Arial"/>
          <w:sz w:val="24"/>
          <w:szCs w:val="24"/>
          <w:lang w:val="en-US"/>
        </w:rPr>
        <w:t xml:space="preserve"> purchased from LC Laboratories (</w:t>
      </w:r>
      <w:r w:rsidRPr="008852DC">
        <w:rPr>
          <w:rStyle w:val="st"/>
          <w:rFonts w:ascii="Arial" w:hAnsi="Arial" w:cs="Arial"/>
          <w:sz w:val="24"/>
          <w:szCs w:val="24"/>
          <w:lang w:val="en-US"/>
        </w:rPr>
        <w:t>Woburn, MA, USA</w:t>
      </w:r>
      <w:r w:rsidRPr="008852DC">
        <w:rPr>
          <w:rFonts w:ascii="Arial" w:hAnsi="Arial" w:cs="Arial"/>
          <w:sz w:val="24"/>
          <w:szCs w:val="24"/>
          <w:lang w:val="en-US"/>
        </w:rPr>
        <w:t xml:space="preserve">), </w:t>
      </w:r>
      <w:proofErr w:type="spellStart"/>
      <w:r w:rsidRPr="008852DC">
        <w:rPr>
          <w:rFonts w:ascii="Arial" w:hAnsi="Arial" w:cs="Arial"/>
          <w:sz w:val="24"/>
          <w:szCs w:val="24"/>
          <w:lang w:val="en-US"/>
        </w:rPr>
        <w:t>lenalidomide</w:t>
      </w:r>
      <w:proofErr w:type="spellEnd"/>
      <w:r w:rsidRPr="008852DC">
        <w:rPr>
          <w:rFonts w:ascii="Arial" w:hAnsi="Arial" w:cs="Arial"/>
          <w:sz w:val="24"/>
          <w:szCs w:val="24"/>
          <w:lang w:val="en-US"/>
        </w:rPr>
        <w:t xml:space="preserve"> and </w:t>
      </w:r>
      <w:proofErr w:type="spellStart"/>
      <w:r w:rsidRPr="008852DC">
        <w:rPr>
          <w:rFonts w:ascii="Arial" w:hAnsi="Arial" w:cs="Arial"/>
          <w:sz w:val="24"/>
          <w:szCs w:val="24"/>
          <w:lang w:val="en-US"/>
        </w:rPr>
        <w:t>pomalidomide</w:t>
      </w:r>
      <w:proofErr w:type="spellEnd"/>
      <w:r w:rsidRPr="008852DC">
        <w:rPr>
          <w:rFonts w:ascii="Arial" w:hAnsi="Arial" w:cs="Arial"/>
          <w:sz w:val="24"/>
          <w:szCs w:val="24"/>
          <w:lang w:val="en-US"/>
        </w:rPr>
        <w:t xml:space="preserve"> from </w:t>
      </w:r>
      <w:proofErr w:type="spellStart"/>
      <w:r w:rsidRPr="008852DC">
        <w:rPr>
          <w:rFonts w:ascii="Arial" w:hAnsi="Arial" w:cs="Arial"/>
          <w:sz w:val="24"/>
          <w:szCs w:val="24"/>
          <w:lang w:val="en-US"/>
        </w:rPr>
        <w:t>Selleckchem</w:t>
      </w:r>
      <w:proofErr w:type="spellEnd"/>
      <w:r w:rsidRPr="008852DC">
        <w:rPr>
          <w:rFonts w:ascii="Arial" w:hAnsi="Arial" w:cs="Arial"/>
          <w:sz w:val="24"/>
          <w:szCs w:val="24"/>
          <w:lang w:val="en-US"/>
        </w:rPr>
        <w:t xml:space="preserve"> (Houston, TX, USA) and dexamethasone</w:t>
      </w:r>
      <w:r>
        <w:rPr>
          <w:rFonts w:ascii="Arial" w:hAnsi="Arial" w:cs="Arial"/>
          <w:sz w:val="24"/>
          <w:szCs w:val="24"/>
          <w:lang w:val="en-US"/>
        </w:rPr>
        <w:t xml:space="preserve">, </w:t>
      </w:r>
      <w:proofErr w:type="spellStart"/>
      <w:r w:rsidRPr="008852DC">
        <w:rPr>
          <w:rFonts w:ascii="Arial" w:hAnsi="Arial" w:cs="Arial"/>
          <w:sz w:val="24"/>
          <w:szCs w:val="24"/>
          <w:lang w:val="en-US"/>
        </w:rPr>
        <w:t>vorinostat</w:t>
      </w:r>
      <w:proofErr w:type="spellEnd"/>
      <w:r w:rsidRPr="008852DC">
        <w:rPr>
          <w:rFonts w:ascii="Arial" w:hAnsi="Arial" w:cs="Arial"/>
          <w:sz w:val="24"/>
          <w:szCs w:val="24"/>
          <w:lang w:val="en-US"/>
        </w:rPr>
        <w:t xml:space="preserve"> </w:t>
      </w:r>
      <w:r>
        <w:rPr>
          <w:rFonts w:ascii="Arial" w:hAnsi="Arial" w:cs="Arial"/>
          <w:sz w:val="24"/>
          <w:szCs w:val="24"/>
          <w:lang w:val="en-US"/>
        </w:rPr>
        <w:t xml:space="preserve">and </w:t>
      </w:r>
      <w:proofErr w:type="spellStart"/>
      <w:r>
        <w:rPr>
          <w:rFonts w:ascii="Arial" w:hAnsi="Arial" w:cs="Arial"/>
          <w:sz w:val="24"/>
          <w:szCs w:val="24"/>
          <w:lang w:val="en-US"/>
        </w:rPr>
        <w:t>mirin</w:t>
      </w:r>
      <w:proofErr w:type="spellEnd"/>
      <w:r>
        <w:rPr>
          <w:rFonts w:ascii="Arial" w:hAnsi="Arial" w:cs="Arial"/>
          <w:sz w:val="24"/>
          <w:szCs w:val="24"/>
          <w:lang w:val="en-US"/>
        </w:rPr>
        <w:t xml:space="preserve"> </w:t>
      </w:r>
      <w:r w:rsidRPr="008852DC">
        <w:rPr>
          <w:rFonts w:ascii="Arial" w:hAnsi="Arial" w:cs="Arial"/>
          <w:sz w:val="24"/>
          <w:szCs w:val="24"/>
          <w:lang w:val="en-US"/>
        </w:rPr>
        <w:t>from Sigma-Aldrich (St Louis, MO, USA).</w:t>
      </w:r>
    </w:p>
    <w:p w14:paraId="3683D0E8" w14:textId="77777777" w:rsidR="000C4A71" w:rsidRDefault="000C4A71" w:rsidP="00A379CC">
      <w:pPr>
        <w:spacing w:line="480" w:lineRule="auto"/>
        <w:jc w:val="both"/>
        <w:rPr>
          <w:rFonts w:ascii="Arial" w:hAnsi="Arial" w:cs="Arial"/>
          <w:sz w:val="24"/>
          <w:szCs w:val="24"/>
          <w:lang w:val="en-US"/>
        </w:rPr>
      </w:pPr>
    </w:p>
    <w:p w14:paraId="79F23071" w14:textId="77777777" w:rsidR="000C4A71" w:rsidRDefault="000C4A71" w:rsidP="00A379CC">
      <w:pPr>
        <w:spacing w:line="480" w:lineRule="auto"/>
        <w:jc w:val="both"/>
        <w:rPr>
          <w:rFonts w:ascii="Arial" w:hAnsi="Arial" w:cs="Arial"/>
          <w:sz w:val="24"/>
          <w:szCs w:val="24"/>
          <w:lang w:val="en-US"/>
        </w:rPr>
      </w:pPr>
    </w:p>
    <w:p w14:paraId="5B3948EC" w14:textId="77777777" w:rsidR="000C4A71" w:rsidRPr="008852DC" w:rsidRDefault="000C4A71" w:rsidP="00A379CC">
      <w:pPr>
        <w:spacing w:line="480" w:lineRule="auto"/>
        <w:jc w:val="both"/>
        <w:rPr>
          <w:rFonts w:ascii="Arial" w:eastAsia="Times New Roman" w:hAnsi="Arial" w:cs="Arial"/>
          <w:color w:val="000000"/>
          <w:sz w:val="24"/>
          <w:szCs w:val="24"/>
          <w:shd w:val="clear" w:color="auto" w:fill="FFFFFF"/>
          <w:lang w:val="en-US" w:eastAsia="es-ES"/>
        </w:rPr>
      </w:pPr>
    </w:p>
    <w:p w14:paraId="6F7E2095" w14:textId="2C5A0B90" w:rsidR="000801D5" w:rsidRPr="000801D5" w:rsidRDefault="00A379CC" w:rsidP="000801D5">
      <w:pPr>
        <w:widowControl w:val="0"/>
        <w:autoSpaceDE w:val="0"/>
        <w:autoSpaceDN w:val="0"/>
        <w:adjustRightInd w:val="0"/>
        <w:spacing w:line="480" w:lineRule="auto"/>
        <w:ind w:left="640" w:hanging="640"/>
        <w:rPr>
          <w:noProof/>
          <w:szCs w:val="24"/>
        </w:rPr>
      </w:pPr>
      <w:r>
        <w:fldChar w:fldCharType="begin" w:fldLock="1"/>
      </w:r>
      <w:r>
        <w:instrText xml:space="preserve">ADDIN Mendeley Bibliography CSL_BIBLIOGRAPHY </w:instrText>
      </w:r>
      <w:r>
        <w:fldChar w:fldCharType="separate"/>
      </w:r>
      <w:r w:rsidR="000801D5" w:rsidRPr="000801D5">
        <w:rPr>
          <w:noProof/>
          <w:szCs w:val="24"/>
        </w:rPr>
        <w:t xml:space="preserve">1 </w:t>
      </w:r>
      <w:r w:rsidR="000801D5" w:rsidRPr="000801D5">
        <w:rPr>
          <w:noProof/>
          <w:szCs w:val="24"/>
        </w:rPr>
        <w:tab/>
        <w:t xml:space="preserve">Maiso P, Carvajal-Vergara X, Ocio EM, López-Pérez R, Mateo G, Gutiérrez N </w:t>
      </w:r>
      <w:r w:rsidR="000801D5" w:rsidRPr="000801D5">
        <w:rPr>
          <w:i/>
          <w:iCs/>
          <w:noProof/>
          <w:szCs w:val="24"/>
        </w:rPr>
        <w:t>et al.</w:t>
      </w:r>
      <w:r w:rsidR="000801D5" w:rsidRPr="000801D5">
        <w:rPr>
          <w:noProof/>
          <w:szCs w:val="24"/>
        </w:rPr>
        <w:t xml:space="preserve"> The histone deacetylase inhibitor LBH589 is a potent antimyeloma agent that overcomes drug resistance. </w:t>
      </w:r>
      <w:r w:rsidR="000801D5" w:rsidRPr="000801D5">
        <w:rPr>
          <w:i/>
          <w:iCs/>
          <w:noProof/>
          <w:szCs w:val="24"/>
        </w:rPr>
        <w:t>Cancer Res</w:t>
      </w:r>
      <w:r w:rsidR="000801D5" w:rsidRPr="000801D5">
        <w:rPr>
          <w:noProof/>
          <w:szCs w:val="24"/>
        </w:rPr>
        <w:t xml:space="preserve"> 2006; </w:t>
      </w:r>
      <w:r w:rsidR="000801D5" w:rsidRPr="000801D5">
        <w:rPr>
          <w:b/>
          <w:bCs/>
          <w:noProof/>
          <w:szCs w:val="24"/>
        </w:rPr>
        <w:t>66</w:t>
      </w:r>
      <w:r w:rsidR="000801D5" w:rsidRPr="000801D5">
        <w:rPr>
          <w:noProof/>
          <w:szCs w:val="24"/>
        </w:rPr>
        <w:t>: 5781–5789.</w:t>
      </w:r>
    </w:p>
    <w:p w14:paraId="54B4D6CF" w14:textId="77777777" w:rsidR="000801D5" w:rsidRPr="000801D5" w:rsidRDefault="000801D5" w:rsidP="000801D5">
      <w:pPr>
        <w:widowControl w:val="0"/>
        <w:autoSpaceDE w:val="0"/>
        <w:autoSpaceDN w:val="0"/>
        <w:adjustRightInd w:val="0"/>
        <w:spacing w:line="480" w:lineRule="auto"/>
        <w:ind w:left="640" w:hanging="640"/>
        <w:rPr>
          <w:noProof/>
          <w:szCs w:val="24"/>
        </w:rPr>
      </w:pPr>
      <w:r w:rsidRPr="000801D5">
        <w:rPr>
          <w:noProof/>
          <w:szCs w:val="24"/>
        </w:rPr>
        <w:t xml:space="preserve">2 </w:t>
      </w:r>
      <w:r w:rsidRPr="000801D5">
        <w:rPr>
          <w:noProof/>
          <w:szCs w:val="24"/>
        </w:rPr>
        <w:tab/>
        <w:t xml:space="preserve">Chesi M, Robbiani DF, Sebag M, Chng WJ, Affer M, Tiedemann R </w:t>
      </w:r>
      <w:r w:rsidRPr="000801D5">
        <w:rPr>
          <w:i/>
          <w:iCs/>
          <w:noProof/>
          <w:szCs w:val="24"/>
        </w:rPr>
        <w:t>et al.</w:t>
      </w:r>
      <w:r w:rsidRPr="000801D5">
        <w:rPr>
          <w:noProof/>
          <w:szCs w:val="24"/>
        </w:rPr>
        <w:t xml:space="preserve"> AID-dependent activation of a MYC transgene induces multiple myeloma in a conditional mouse model of post-germinal center malignancies. </w:t>
      </w:r>
      <w:r w:rsidRPr="000801D5">
        <w:rPr>
          <w:i/>
          <w:iCs/>
          <w:noProof/>
          <w:szCs w:val="24"/>
        </w:rPr>
        <w:t>Cancer Cell</w:t>
      </w:r>
      <w:r w:rsidRPr="000801D5">
        <w:rPr>
          <w:noProof/>
          <w:szCs w:val="24"/>
        </w:rPr>
        <w:t xml:space="preserve"> 2008; </w:t>
      </w:r>
      <w:r w:rsidRPr="000801D5">
        <w:rPr>
          <w:b/>
          <w:bCs/>
          <w:noProof/>
          <w:szCs w:val="24"/>
        </w:rPr>
        <w:t>13</w:t>
      </w:r>
      <w:r w:rsidRPr="000801D5">
        <w:rPr>
          <w:noProof/>
          <w:szCs w:val="24"/>
        </w:rPr>
        <w:t>: 167–80.</w:t>
      </w:r>
    </w:p>
    <w:p w14:paraId="38A1A595" w14:textId="77777777" w:rsidR="000801D5" w:rsidRPr="000801D5" w:rsidRDefault="000801D5" w:rsidP="000801D5">
      <w:pPr>
        <w:widowControl w:val="0"/>
        <w:autoSpaceDE w:val="0"/>
        <w:autoSpaceDN w:val="0"/>
        <w:adjustRightInd w:val="0"/>
        <w:spacing w:line="480" w:lineRule="auto"/>
        <w:ind w:left="640" w:hanging="640"/>
        <w:rPr>
          <w:noProof/>
        </w:rPr>
      </w:pPr>
      <w:r w:rsidRPr="000801D5">
        <w:rPr>
          <w:noProof/>
          <w:szCs w:val="24"/>
        </w:rPr>
        <w:t xml:space="preserve">3 </w:t>
      </w:r>
      <w:r w:rsidRPr="000801D5">
        <w:rPr>
          <w:noProof/>
          <w:szCs w:val="24"/>
        </w:rPr>
        <w:tab/>
        <w:t xml:space="preserve">Maiso P, Carvajal-Vergara X, Ocio EM, López-Pérez R, Mateo G, Gutiérrez N </w:t>
      </w:r>
      <w:r w:rsidRPr="000801D5">
        <w:rPr>
          <w:i/>
          <w:iCs/>
          <w:noProof/>
          <w:szCs w:val="24"/>
        </w:rPr>
        <w:t>et al.</w:t>
      </w:r>
      <w:r w:rsidRPr="000801D5">
        <w:rPr>
          <w:noProof/>
          <w:szCs w:val="24"/>
        </w:rPr>
        <w:t xml:space="preserve"> The histone deacetylase inhibitor LBH589 is a potent antimyeloma agent that overcomes drug resistance. </w:t>
      </w:r>
      <w:r w:rsidRPr="000801D5">
        <w:rPr>
          <w:i/>
          <w:iCs/>
          <w:noProof/>
          <w:szCs w:val="24"/>
        </w:rPr>
        <w:t>Cancer Res</w:t>
      </w:r>
      <w:r w:rsidRPr="000801D5">
        <w:rPr>
          <w:noProof/>
          <w:szCs w:val="24"/>
        </w:rPr>
        <w:t xml:space="preserve"> 2006; </w:t>
      </w:r>
      <w:r w:rsidRPr="000801D5">
        <w:rPr>
          <w:b/>
          <w:bCs/>
          <w:noProof/>
          <w:szCs w:val="24"/>
        </w:rPr>
        <w:t>66</w:t>
      </w:r>
      <w:r w:rsidRPr="000801D5">
        <w:rPr>
          <w:noProof/>
          <w:szCs w:val="24"/>
        </w:rPr>
        <w:t>: 5781–5789.</w:t>
      </w:r>
    </w:p>
    <w:p w14:paraId="5C648B45" w14:textId="059E4B86" w:rsidR="003142BC" w:rsidRDefault="00A379CC" w:rsidP="000801D5">
      <w:pPr>
        <w:widowControl w:val="0"/>
        <w:autoSpaceDE w:val="0"/>
        <w:autoSpaceDN w:val="0"/>
        <w:adjustRightInd w:val="0"/>
        <w:spacing w:line="480" w:lineRule="auto"/>
        <w:ind w:left="640" w:hanging="640"/>
      </w:pPr>
      <w:r>
        <w:fldChar w:fldCharType="end"/>
      </w:r>
    </w:p>
    <w:sectPr w:rsidR="003142BC" w:rsidSect="003142BC">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9C3C32"/>
    <w:multiLevelType w:val="multilevel"/>
    <w:tmpl w:val="115EAF2A"/>
    <w:styleLink w:val="Estilo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50B"/>
    <w:rsid w:val="00057A57"/>
    <w:rsid w:val="000801D5"/>
    <w:rsid w:val="0008609F"/>
    <w:rsid w:val="000C4A71"/>
    <w:rsid w:val="00141CE7"/>
    <w:rsid w:val="002D650B"/>
    <w:rsid w:val="00312924"/>
    <w:rsid w:val="003142BC"/>
    <w:rsid w:val="00563FFB"/>
    <w:rsid w:val="006F1202"/>
    <w:rsid w:val="007F33A3"/>
    <w:rsid w:val="00A379CC"/>
    <w:rsid w:val="00B46DF1"/>
    <w:rsid w:val="00D50944"/>
    <w:rsid w:val="00DE63F9"/>
    <w:rsid w:val="00EC4F38"/>
    <w:rsid w:val="00F73F0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0C76C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50B"/>
    <w:pPr>
      <w:spacing w:after="200" w:line="276" w:lineRule="auto"/>
    </w:pPr>
    <w:rPr>
      <w:rFonts w:ascii="Calibri" w:eastAsia="Calibri" w:hAnsi="Calibri" w:cs="Calibri"/>
      <w:sz w:val="22"/>
      <w:szCs w:val="22"/>
      <w:lang w:val="es-ES" w:eastAsia="en-US"/>
    </w:rPr>
  </w:style>
  <w:style w:type="paragraph" w:styleId="Ttulo2">
    <w:name w:val="heading 2"/>
    <w:aliases w:val="tit2"/>
    <w:basedOn w:val="Normal"/>
    <w:next w:val="Normal"/>
    <w:link w:val="Ttulo2Car"/>
    <w:uiPriority w:val="9"/>
    <w:unhideWhenUsed/>
    <w:qFormat/>
    <w:rsid w:val="00057A57"/>
    <w:pPr>
      <w:keepNext/>
      <w:keepLines/>
      <w:spacing w:before="200" w:after="0" w:line="240" w:lineRule="auto"/>
      <w:outlineLvl w:val="1"/>
    </w:pPr>
    <w:rPr>
      <w:rFonts w:ascii="Arial" w:eastAsiaTheme="majorEastAsia" w:hAnsi="Arial" w:cstheme="majorBidi"/>
      <w:b/>
      <w:bCs/>
      <w:sz w:val="28"/>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next w:val="Normal"/>
    <w:autoRedefine/>
    <w:uiPriority w:val="35"/>
    <w:unhideWhenUsed/>
    <w:qFormat/>
    <w:rsid w:val="00141CE7"/>
    <w:pPr>
      <w:spacing w:line="240" w:lineRule="auto"/>
    </w:pPr>
    <w:rPr>
      <w:rFonts w:ascii="Arial" w:eastAsiaTheme="minorEastAsia" w:hAnsi="Arial" w:cstheme="minorBidi"/>
      <w:bCs/>
      <w:color w:val="4F81BD" w:themeColor="accent1"/>
      <w:sz w:val="24"/>
      <w:szCs w:val="18"/>
      <w:lang w:val="es-ES_tradnl" w:eastAsia="es-ES"/>
    </w:rPr>
  </w:style>
  <w:style w:type="character" w:customStyle="1" w:styleId="Ttulo2Car">
    <w:name w:val="Título 2 Car"/>
    <w:aliases w:val="tit2 Car"/>
    <w:basedOn w:val="Fuentedeprrafopredeter"/>
    <w:link w:val="Ttulo2"/>
    <w:uiPriority w:val="9"/>
    <w:rsid w:val="00057A57"/>
    <w:rPr>
      <w:rFonts w:ascii="Arial" w:eastAsiaTheme="majorEastAsia" w:hAnsi="Arial" w:cstheme="majorBidi"/>
      <w:b/>
      <w:bCs/>
      <w:sz w:val="28"/>
      <w:szCs w:val="26"/>
    </w:rPr>
  </w:style>
  <w:style w:type="numbering" w:customStyle="1" w:styleId="Estilo1">
    <w:name w:val="Estilo1"/>
    <w:uiPriority w:val="99"/>
    <w:rsid w:val="00DE63F9"/>
    <w:pPr>
      <w:numPr>
        <w:numId w:val="1"/>
      </w:numPr>
    </w:pPr>
  </w:style>
  <w:style w:type="character" w:styleId="Textoennegrita">
    <w:name w:val="Strong"/>
    <w:basedOn w:val="Fuentedeprrafopredeter"/>
    <w:uiPriority w:val="22"/>
    <w:qFormat/>
    <w:rsid w:val="00D50944"/>
    <w:rPr>
      <w:b/>
      <w:bCs/>
    </w:rPr>
  </w:style>
  <w:style w:type="character" w:customStyle="1" w:styleId="st">
    <w:name w:val="st"/>
    <w:basedOn w:val="Fuentedeprrafopredeter"/>
    <w:rsid w:val="0008609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50B"/>
    <w:pPr>
      <w:spacing w:after="200" w:line="276" w:lineRule="auto"/>
    </w:pPr>
    <w:rPr>
      <w:rFonts w:ascii="Calibri" w:eastAsia="Calibri" w:hAnsi="Calibri" w:cs="Calibri"/>
      <w:sz w:val="22"/>
      <w:szCs w:val="22"/>
      <w:lang w:val="es-ES" w:eastAsia="en-US"/>
    </w:rPr>
  </w:style>
  <w:style w:type="paragraph" w:styleId="Ttulo2">
    <w:name w:val="heading 2"/>
    <w:aliases w:val="tit2"/>
    <w:basedOn w:val="Normal"/>
    <w:next w:val="Normal"/>
    <w:link w:val="Ttulo2Car"/>
    <w:uiPriority w:val="9"/>
    <w:unhideWhenUsed/>
    <w:qFormat/>
    <w:rsid w:val="00057A57"/>
    <w:pPr>
      <w:keepNext/>
      <w:keepLines/>
      <w:spacing w:before="200" w:after="0" w:line="240" w:lineRule="auto"/>
      <w:outlineLvl w:val="1"/>
    </w:pPr>
    <w:rPr>
      <w:rFonts w:ascii="Arial" w:eastAsiaTheme="majorEastAsia" w:hAnsi="Arial" w:cstheme="majorBidi"/>
      <w:b/>
      <w:bCs/>
      <w:sz w:val="28"/>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next w:val="Normal"/>
    <w:autoRedefine/>
    <w:uiPriority w:val="35"/>
    <w:unhideWhenUsed/>
    <w:qFormat/>
    <w:rsid w:val="00141CE7"/>
    <w:pPr>
      <w:spacing w:line="240" w:lineRule="auto"/>
    </w:pPr>
    <w:rPr>
      <w:rFonts w:ascii="Arial" w:eastAsiaTheme="minorEastAsia" w:hAnsi="Arial" w:cstheme="minorBidi"/>
      <w:bCs/>
      <w:color w:val="4F81BD" w:themeColor="accent1"/>
      <w:sz w:val="24"/>
      <w:szCs w:val="18"/>
      <w:lang w:val="es-ES_tradnl" w:eastAsia="es-ES"/>
    </w:rPr>
  </w:style>
  <w:style w:type="character" w:customStyle="1" w:styleId="Ttulo2Car">
    <w:name w:val="Título 2 Car"/>
    <w:aliases w:val="tit2 Car"/>
    <w:basedOn w:val="Fuentedeprrafopredeter"/>
    <w:link w:val="Ttulo2"/>
    <w:uiPriority w:val="9"/>
    <w:rsid w:val="00057A57"/>
    <w:rPr>
      <w:rFonts w:ascii="Arial" w:eastAsiaTheme="majorEastAsia" w:hAnsi="Arial" w:cstheme="majorBidi"/>
      <w:b/>
      <w:bCs/>
      <w:sz w:val="28"/>
      <w:szCs w:val="26"/>
    </w:rPr>
  </w:style>
  <w:style w:type="numbering" w:customStyle="1" w:styleId="Estilo1">
    <w:name w:val="Estilo1"/>
    <w:uiPriority w:val="99"/>
    <w:rsid w:val="00DE63F9"/>
    <w:pPr>
      <w:numPr>
        <w:numId w:val="1"/>
      </w:numPr>
    </w:pPr>
  </w:style>
  <w:style w:type="character" w:styleId="Textoennegrita">
    <w:name w:val="Strong"/>
    <w:basedOn w:val="Fuentedeprrafopredeter"/>
    <w:uiPriority w:val="22"/>
    <w:qFormat/>
    <w:rsid w:val="00D50944"/>
    <w:rPr>
      <w:b/>
      <w:bCs/>
    </w:rPr>
  </w:style>
  <w:style w:type="character" w:customStyle="1" w:styleId="st">
    <w:name w:val="st"/>
    <w:basedOn w:val="Fuentedeprrafopredeter"/>
    <w:rsid w:val="00086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2967</Words>
  <Characters>16320</Characters>
  <Application>Microsoft Macintosh Word</Application>
  <DocSecurity>0</DocSecurity>
  <Lines>136</Lines>
  <Paragraphs>38</Paragraphs>
  <ScaleCrop>false</ScaleCrop>
  <Company/>
  <LinksUpToDate>false</LinksUpToDate>
  <CharactersWithSpaces>19249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Anali Lopez Iglesias</dc:creator>
  <cp:keywords/>
  <dc:description/>
  <cp:lastModifiedBy>Anali Lopez Iglesias</cp:lastModifiedBy>
  <cp:revision>2</cp:revision>
  <dcterms:created xsi:type="dcterms:W3CDTF">2017-03-17T18:58:00Z</dcterms:created>
  <dcterms:modified xsi:type="dcterms:W3CDTF">2017-03-17T18:58:00Z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808908db-9466-39b3-856d-a75886545edb</vt:lpwstr>
  </property>
  <property fmtid="{D5CDD505-2E9C-101B-9397-08002B2CF9AE}" pid="4" name="Mendeley Citation Style_1">
    <vt:lpwstr>http://www.zotero.org/styles/leukemia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16th edition (full note)</vt:lpwstr>
  </property>
  <property fmtid="{D5CDD505-2E9C-101B-9397-08002B2CF9AE}" pid="15" name="Mendeley Recent Style Id 5_1">
    <vt:lpwstr>http://www.zotero.org/styles/haematologica</vt:lpwstr>
  </property>
  <property fmtid="{D5CDD505-2E9C-101B-9397-08002B2CF9AE}" pid="16" name="Mendeley Recent Style Name 5_1">
    <vt:lpwstr>Haematologica</vt:lpwstr>
  </property>
  <property fmtid="{D5CDD505-2E9C-101B-9397-08002B2CF9AE}" pid="17" name="Mendeley Recent Style Id 6_1">
    <vt:lpwstr>http://www.zotero.org/styles/leukemia</vt:lpwstr>
  </property>
  <property fmtid="{D5CDD505-2E9C-101B-9397-08002B2CF9AE}" pid="18" name="Mendeley Recent Style Name 6_1">
    <vt:lpwstr>Leukemia</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