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00D" w:rsidRDefault="0094600D" w:rsidP="0094600D">
      <w:pPr>
        <w:snapToGrid w:val="0"/>
        <w:spacing w:after="0" w:line="240" w:lineRule="auto"/>
        <w:rPr>
          <w:rFonts w:ascii="Times New Roman" w:hAnsi="Times New Roman"/>
          <w:sz w:val="24"/>
          <w:szCs w:val="24"/>
        </w:rPr>
      </w:pPr>
      <w:r w:rsidRPr="00D21423">
        <w:rPr>
          <w:rFonts w:ascii="Times New Roman" w:hAnsi="Times New Roman"/>
          <w:b/>
          <w:sz w:val="24"/>
          <w:szCs w:val="24"/>
        </w:rPr>
        <w:t xml:space="preserve">Additional file </w:t>
      </w:r>
      <w:r>
        <w:rPr>
          <w:rFonts w:ascii="Times New Roman" w:hAnsi="Times New Roman"/>
          <w:b/>
          <w:sz w:val="24"/>
          <w:szCs w:val="24"/>
        </w:rPr>
        <w:t>3</w:t>
      </w:r>
      <w:r w:rsidRPr="00FD7E7C">
        <w:rPr>
          <w:rFonts w:ascii="Times New Roman" w:hAnsi="Times New Roman"/>
          <w:b/>
          <w:bCs/>
          <w:sz w:val="24"/>
          <w:szCs w:val="24"/>
        </w:rPr>
        <w:t xml:space="preserve"> </w:t>
      </w:r>
      <w:proofErr w:type="gramStart"/>
      <w:r w:rsidRPr="00003B7D">
        <w:rPr>
          <w:rFonts w:ascii="Times New Roman" w:hAnsi="Times New Roman"/>
          <w:bCs/>
          <w:sz w:val="24"/>
          <w:szCs w:val="24"/>
        </w:rPr>
        <w:t>The</w:t>
      </w:r>
      <w:proofErr w:type="gramEnd"/>
      <w:r w:rsidRPr="00003B7D">
        <w:rPr>
          <w:rFonts w:ascii="Times New Roman" w:hAnsi="Times New Roman"/>
          <w:bCs/>
          <w:sz w:val="24"/>
          <w:szCs w:val="24"/>
        </w:rPr>
        <w:t xml:space="preserve"> intracellular location of SAE2 and eEF2 in</w:t>
      </w:r>
      <w:r>
        <w:rPr>
          <w:rFonts w:ascii="Times New Roman" w:hAnsi="Times New Roman"/>
          <w:b/>
          <w:bCs/>
          <w:sz w:val="24"/>
          <w:szCs w:val="24"/>
        </w:rPr>
        <w:t xml:space="preserve"> </w:t>
      </w:r>
      <w:r w:rsidRPr="00FD7E7C">
        <w:rPr>
          <w:rFonts w:ascii="Times New Roman" w:hAnsi="Times New Roman"/>
          <w:sz w:val="24"/>
          <w:szCs w:val="24"/>
        </w:rPr>
        <w:t xml:space="preserve">A549 LADC cells </w:t>
      </w:r>
      <w:r>
        <w:rPr>
          <w:rFonts w:ascii="Times New Roman" w:hAnsi="Times New Roman"/>
          <w:sz w:val="24"/>
          <w:szCs w:val="24"/>
        </w:rPr>
        <w:t>as determined by f</w:t>
      </w:r>
      <w:r w:rsidRPr="00FD7E7C">
        <w:rPr>
          <w:rFonts w:ascii="Times New Roman" w:hAnsi="Times New Roman"/>
          <w:sz w:val="24"/>
          <w:szCs w:val="24"/>
        </w:rPr>
        <w:t xml:space="preserve">luorescence </w:t>
      </w:r>
      <w:proofErr w:type="spellStart"/>
      <w:r w:rsidRPr="00FD7E7C">
        <w:rPr>
          <w:rFonts w:ascii="Times New Roman" w:hAnsi="Times New Roman"/>
          <w:sz w:val="24"/>
          <w:szCs w:val="24"/>
        </w:rPr>
        <w:t>immunocytochemical</w:t>
      </w:r>
      <w:proofErr w:type="spellEnd"/>
      <w:r w:rsidRPr="00FD7E7C">
        <w:rPr>
          <w:rFonts w:ascii="Times New Roman" w:hAnsi="Times New Roman"/>
          <w:sz w:val="24"/>
          <w:szCs w:val="24"/>
        </w:rPr>
        <w:t xml:space="preserve"> staining.</w:t>
      </w:r>
    </w:p>
    <w:p w:rsidR="0094600D" w:rsidRDefault="0094600D" w:rsidP="0094600D">
      <w:pPr>
        <w:snapToGrid w:val="0"/>
        <w:spacing w:after="0" w:line="240" w:lineRule="auto"/>
        <w:rPr>
          <w:rFonts w:ascii="Times New Roman" w:hAnsi="Times New Roman"/>
          <w:sz w:val="24"/>
          <w:szCs w:val="24"/>
        </w:rPr>
      </w:pPr>
      <w:bookmarkStart w:id="0" w:name="_GoBack"/>
      <w:bookmarkEnd w:id="0"/>
    </w:p>
    <w:p w:rsidR="0094600D" w:rsidRDefault="0094600D" w:rsidP="0094600D">
      <w:pPr>
        <w:snapToGrid w:val="0"/>
        <w:spacing w:after="0" w:line="240" w:lineRule="auto"/>
        <w:rPr>
          <w:rFonts w:ascii="Times New Roman" w:hAnsi="Times New Roman"/>
          <w:b/>
          <w:bCs/>
          <w:sz w:val="24"/>
          <w:szCs w:val="24"/>
        </w:rPr>
      </w:pPr>
      <w:r>
        <w:rPr>
          <w:rFonts w:ascii="Times New Roman" w:hAnsi="Times New Roman"/>
          <w:b/>
          <w:bCs/>
          <w:noProof/>
          <w:sz w:val="24"/>
          <w:szCs w:val="24"/>
        </w:rPr>
        <w:drawing>
          <wp:inline distT="0" distB="0" distL="0" distR="0" wp14:anchorId="1224D6F5" wp14:editId="2A573B97">
            <wp:extent cx="5943600" cy="6064250"/>
            <wp:effectExtent l="0" t="0" r="0" b="0"/>
            <wp:docPr id="12" name="圖片 12" descr="Figure 3JHO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3JHO J"/>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6064250"/>
                    </a:xfrm>
                    <a:prstGeom prst="rect">
                      <a:avLst/>
                    </a:prstGeom>
                    <a:noFill/>
                    <a:ln>
                      <a:noFill/>
                    </a:ln>
                  </pic:spPr>
                </pic:pic>
              </a:graphicData>
            </a:graphic>
          </wp:inline>
        </w:drawing>
      </w:r>
    </w:p>
    <w:p w:rsidR="0094600D" w:rsidRPr="00FD7E7C" w:rsidRDefault="0094600D" w:rsidP="0094600D">
      <w:pPr>
        <w:snapToGrid w:val="0"/>
        <w:spacing w:after="0" w:line="240" w:lineRule="auto"/>
        <w:rPr>
          <w:rFonts w:ascii="Times New Roman" w:hAnsi="Times New Roman"/>
          <w:b/>
          <w:bCs/>
          <w:sz w:val="24"/>
          <w:szCs w:val="24"/>
        </w:rPr>
      </w:pPr>
    </w:p>
    <w:p w:rsidR="0094600D" w:rsidRDefault="0094600D" w:rsidP="0094600D">
      <w:pPr>
        <w:snapToGrid w:val="0"/>
        <w:spacing w:after="0" w:line="240" w:lineRule="auto"/>
        <w:rPr>
          <w:rFonts w:ascii="Times New Roman" w:hAnsi="Times New Roman" w:hint="eastAsia"/>
          <w:sz w:val="24"/>
          <w:szCs w:val="24"/>
        </w:rPr>
      </w:pPr>
      <w:r w:rsidRPr="00D21423">
        <w:rPr>
          <w:rFonts w:ascii="Times New Roman" w:hAnsi="Times New Roman"/>
          <w:b/>
          <w:sz w:val="24"/>
          <w:szCs w:val="24"/>
        </w:rPr>
        <w:t xml:space="preserve">Additional file </w:t>
      </w:r>
      <w:r>
        <w:rPr>
          <w:rFonts w:ascii="Times New Roman" w:hAnsi="Times New Roman"/>
          <w:b/>
          <w:sz w:val="24"/>
          <w:szCs w:val="24"/>
        </w:rPr>
        <w:t>3</w:t>
      </w:r>
      <w:r w:rsidRPr="00FD7E7C">
        <w:rPr>
          <w:rFonts w:ascii="Times New Roman" w:hAnsi="Times New Roman"/>
          <w:sz w:val="24"/>
          <w:szCs w:val="24"/>
        </w:rPr>
        <w:t xml:space="preserve"> Fluorescence </w:t>
      </w:r>
      <w:proofErr w:type="spellStart"/>
      <w:r w:rsidRPr="00FD7E7C">
        <w:rPr>
          <w:rFonts w:ascii="Times New Roman" w:hAnsi="Times New Roman"/>
          <w:sz w:val="24"/>
          <w:szCs w:val="24"/>
        </w:rPr>
        <w:t>immunocytochemical</w:t>
      </w:r>
      <w:proofErr w:type="spellEnd"/>
      <w:r w:rsidRPr="00FD7E7C">
        <w:rPr>
          <w:rFonts w:ascii="Times New Roman" w:hAnsi="Times New Roman"/>
          <w:sz w:val="24"/>
          <w:szCs w:val="24"/>
        </w:rPr>
        <w:t xml:space="preserve"> staining of A549 LADC cells. </w:t>
      </w:r>
      <w:r>
        <w:rPr>
          <w:rFonts w:ascii="Times New Roman" w:hAnsi="Times New Roman"/>
          <w:b/>
          <w:sz w:val="24"/>
          <w:szCs w:val="24"/>
        </w:rPr>
        <w:t>A</w:t>
      </w:r>
      <w:r w:rsidRPr="00FD7E7C">
        <w:rPr>
          <w:rFonts w:ascii="Times New Roman" w:hAnsi="Times New Roman"/>
          <w:sz w:val="24"/>
          <w:szCs w:val="24"/>
        </w:rPr>
        <w:t xml:space="preserve"> SAE2 was detected by specific monoclonal antibodies, and visualized by the secondary antibodies conjugated with Texas red (the first and the second rows) or FITC (the third row). The endoplasmic reticulum (ER) was labelled using plasmids encoding ER-targeted </w:t>
      </w:r>
      <w:proofErr w:type="spellStart"/>
      <w:r w:rsidRPr="00FD7E7C">
        <w:rPr>
          <w:rFonts w:ascii="Times New Roman" w:hAnsi="Times New Roman"/>
          <w:sz w:val="24"/>
          <w:szCs w:val="24"/>
        </w:rPr>
        <w:t>Discosoma</w:t>
      </w:r>
      <w:proofErr w:type="spellEnd"/>
      <w:r w:rsidRPr="00FD7E7C">
        <w:rPr>
          <w:rFonts w:ascii="Times New Roman" w:hAnsi="Times New Roman"/>
          <w:sz w:val="24"/>
          <w:szCs w:val="24"/>
        </w:rPr>
        <w:t xml:space="preserve"> green fluorescent protein (ER-GFP), and the Golgi apparatus was labelled by transfecting A549 cells with plasmids containing </w:t>
      </w:r>
      <w:proofErr w:type="spellStart"/>
      <w:r w:rsidRPr="00FD7E7C">
        <w:rPr>
          <w:rFonts w:ascii="Times New Roman" w:hAnsi="Times New Roman"/>
          <w:sz w:val="24"/>
          <w:szCs w:val="24"/>
        </w:rPr>
        <w:t>galactosyltransferase</w:t>
      </w:r>
      <w:proofErr w:type="spellEnd"/>
      <w:r w:rsidRPr="00FD7E7C">
        <w:rPr>
          <w:rFonts w:ascii="Times New Roman" w:hAnsi="Times New Roman"/>
          <w:sz w:val="24"/>
          <w:szCs w:val="24"/>
        </w:rPr>
        <w:t xml:space="preserve">-GFP (GT-GFP). Nuclei were stained with fluorescent dye 4', 6-diamidino-2-phenylindole (DAPI, blue fluorescence), and the mitochondria were labelled with </w:t>
      </w:r>
      <w:proofErr w:type="spellStart"/>
      <w:r w:rsidRPr="00FD7E7C">
        <w:rPr>
          <w:rFonts w:ascii="Times New Roman" w:hAnsi="Times New Roman"/>
          <w:sz w:val="24"/>
          <w:szCs w:val="24"/>
        </w:rPr>
        <w:t>MitoTracker</w:t>
      </w:r>
      <w:proofErr w:type="spellEnd"/>
      <w:r w:rsidRPr="00FD7E7C">
        <w:rPr>
          <w:rFonts w:ascii="Times New Roman" w:hAnsi="Times New Roman"/>
          <w:sz w:val="24"/>
          <w:szCs w:val="24"/>
          <w:vertAlign w:val="superscript"/>
        </w:rPr>
        <w:t>®</w:t>
      </w:r>
      <w:r w:rsidRPr="00FD7E7C">
        <w:rPr>
          <w:rFonts w:ascii="Times New Roman" w:hAnsi="Times New Roman"/>
          <w:sz w:val="24"/>
          <w:szCs w:val="24"/>
        </w:rPr>
        <w:t xml:space="preserve"> Red </w:t>
      </w:r>
      <w:proofErr w:type="spellStart"/>
      <w:r w:rsidRPr="00FD7E7C">
        <w:rPr>
          <w:rFonts w:ascii="Times New Roman" w:hAnsi="Times New Roman"/>
          <w:sz w:val="24"/>
          <w:szCs w:val="24"/>
        </w:rPr>
        <w:t>CMXRos</w:t>
      </w:r>
      <w:proofErr w:type="spellEnd"/>
      <w:r w:rsidRPr="00FD7E7C">
        <w:rPr>
          <w:rFonts w:ascii="Times New Roman" w:hAnsi="Times New Roman"/>
          <w:sz w:val="24"/>
          <w:szCs w:val="24"/>
        </w:rPr>
        <w:t xml:space="preserve"> dye. A merged image of the first, second and </w:t>
      </w:r>
      <w:r w:rsidRPr="00FD7E7C">
        <w:rPr>
          <w:rFonts w:ascii="Times New Roman" w:hAnsi="Times New Roman"/>
          <w:sz w:val="24"/>
          <w:szCs w:val="24"/>
        </w:rPr>
        <w:lastRenderedPageBreak/>
        <w:t xml:space="preserve">third column is shown in the fourth column, and the magnification of a specific cell confirms that SAE2 is mainly located in the ER and the Golgi apparatus. The white bar represents 20 </w:t>
      </w:r>
      <w:r w:rsidRPr="00FD7E7C">
        <w:rPr>
          <w:rFonts w:ascii="Symbol" w:hAnsi="Symbol"/>
          <w:sz w:val="24"/>
          <w:szCs w:val="24"/>
        </w:rPr>
        <w:t></w:t>
      </w:r>
      <w:r w:rsidRPr="00FD7E7C">
        <w:rPr>
          <w:rFonts w:ascii="Times New Roman" w:hAnsi="Times New Roman"/>
          <w:sz w:val="24"/>
          <w:szCs w:val="24"/>
        </w:rPr>
        <w:t xml:space="preserve">m. </w:t>
      </w:r>
      <w:r>
        <w:rPr>
          <w:rFonts w:ascii="Times New Roman" w:hAnsi="Times New Roman"/>
          <w:sz w:val="24"/>
          <w:szCs w:val="24"/>
        </w:rPr>
        <w:t xml:space="preserve">      </w:t>
      </w:r>
      <w:r>
        <w:rPr>
          <w:rFonts w:ascii="Times New Roman" w:hAnsi="Times New Roman"/>
          <w:b/>
          <w:sz w:val="24"/>
          <w:szCs w:val="24"/>
        </w:rPr>
        <w:t>B</w:t>
      </w:r>
      <w:r w:rsidRPr="00FD7E7C">
        <w:rPr>
          <w:rFonts w:ascii="Times New Roman" w:hAnsi="Times New Roman"/>
          <w:sz w:val="24"/>
          <w:szCs w:val="24"/>
        </w:rPr>
        <w:t xml:space="preserve"> Intracellular eEF2 was identified by specific monoclonal antibodies, and visualized by the secondary antibodies conjugated with FITC (green fluorescence). The ER was labelled by transfecting A549 cells with plasmids encoding ER-targeted </w:t>
      </w:r>
      <w:proofErr w:type="spellStart"/>
      <w:r w:rsidRPr="00FD7E7C">
        <w:rPr>
          <w:rFonts w:ascii="Times New Roman" w:hAnsi="Times New Roman"/>
          <w:sz w:val="24"/>
          <w:szCs w:val="24"/>
        </w:rPr>
        <w:t>Discosoma</w:t>
      </w:r>
      <w:proofErr w:type="spellEnd"/>
      <w:r w:rsidRPr="00FD7E7C">
        <w:rPr>
          <w:rFonts w:ascii="Times New Roman" w:hAnsi="Times New Roman"/>
          <w:sz w:val="24"/>
          <w:szCs w:val="24"/>
        </w:rPr>
        <w:t xml:space="preserve"> enhanced green fluorescent protein (ER-EGFP, red fluorescence), showing that eEF2 was c</w:t>
      </w:r>
      <w:r>
        <w:rPr>
          <w:rFonts w:ascii="Times New Roman" w:hAnsi="Times New Roman"/>
          <w:sz w:val="24"/>
          <w:szCs w:val="24"/>
        </w:rPr>
        <w:t>o-localized with the ER.</w:t>
      </w:r>
    </w:p>
    <w:p w:rsidR="0094600D" w:rsidRDefault="0094600D" w:rsidP="0094600D">
      <w:pPr>
        <w:pStyle w:val="HTML"/>
        <w:snapToGrid w:val="0"/>
        <w:rPr>
          <w:rFonts w:ascii="Times New Roman" w:hAnsi="Times New Roman" w:cs="Times New Roman" w:hint="eastAsia"/>
          <w:sz w:val="24"/>
          <w:szCs w:val="24"/>
        </w:rPr>
      </w:pPr>
    </w:p>
    <w:p w:rsidR="0035569B" w:rsidRPr="0094600D" w:rsidRDefault="0035569B"/>
    <w:sectPr w:rsidR="0035569B" w:rsidRPr="0094600D" w:rsidSect="0094600D">
      <w:pgSz w:w="12240" w:h="15840" w:code="1"/>
      <w:pgMar w:top="1440" w:right="1440" w:bottom="14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00D"/>
    <w:rsid w:val="0035569B"/>
    <w:rsid w:val="009460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18C54-95B6-4D58-9F6F-E2F83B41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00D"/>
    <w:pPr>
      <w:spacing w:after="200" w:line="276" w:lineRule="auto"/>
    </w:pPr>
    <w:rPr>
      <w:rFonts w:ascii="Calibri" w:eastAsia="新細明體" w:hAnsi="Calibr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4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7"/>
      <w:szCs w:val="27"/>
    </w:rPr>
  </w:style>
  <w:style w:type="character" w:customStyle="1" w:styleId="HTML0">
    <w:name w:val="HTML 預設格式 字元"/>
    <w:basedOn w:val="a0"/>
    <w:link w:val="HTML"/>
    <w:uiPriority w:val="99"/>
    <w:rsid w:val="0094600D"/>
    <w:rPr>
      <w:rFonts w:ascii="細明體" w:eastAsia="細明體" w:hAnsi="細明體" w:cs="細明體"/>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Kuan-Chih Chow</dc:creator>
  <cp:keywords/>
  <dc:description/>
  <cp:lastModifiedBy>Kuan-Chih Chow</cp:lastModifiedBy>
  <cp:revision>1</cp:revision>
  <dcterms:created xsi:type="dcterms:W3CDTF">2018-01-17T11:03:00Z</dcterms:created>
  <dcterms:modified xsi:type="dcterms:W3CDTF">2018-01-17T11:04:00Z</dcterms:modified>
</cp:coreProperties>
</file>