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9CC" w:rsidRDefault="001A29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91BDC">
        <w:rPr>
          <w:rFonts w:asciiTheme="majorBidi" w:hAnsiTheme="majorBidi" w:cstheme="majorBidi"/>
          <w:b/>
          <w:bCs/>
          <w:sz w:val="24"/>
          <w:szCs w:val="24"/>
        </w:rPr>
        <w:t>Supplementary</w:t>
      </w:r>
    </w:p>
    <w:p w:rsidR="00EC4CA0" w:rsidRPr="00591BDC" w:rsidRDefault="00EC4CA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1A29CC" w:rsidRPr="003438BF" w:rsidRDefault="001A29CC" w:rsidP="001A29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38BF">
        <w:rPr>
          <w:rFonts w:asciiTheme="majorBidi" w:hAnsiTheme="majorBidi" w:cstheme="majorBidi"/>
          <w:b/>
          <w:bCs/>
          <w:sz w:val="24"/>
          <w:szCs w:val="24"/>
        </w:rPr>
        <w:t>Table S1: HLA haploidentical transplantation strategy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34"/>
        <w:gridCol w:w="2294"/>
        <w:gridCol w:w="1301"/>
        <w:gridCol w:w="1538"/>
        <w:gridCol w:w="963"/>
      </w:tblGrid>
      <w:tr w:rsidR="001A29CC" w:rsidRPr="003438BF" w:rsidTr="00B94C50">
        <w:trPr>
          <w:trHeight w:val="255"/>
        </w:trPr>
        <w:tc>
          <w:tcPr>
            <w:tcW w:w="2797" w:type="pct"/>
            <w:gridSpan w:val="2"/>
            <w:vMerge w:val="restart"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pct"/>
            <w:gridSpan w:val="2"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ATG</w:t>
            </w:r>
          </w:p>
        </w:tc>
        <w:tc>
          <w:tcPr>
            <w:tcW w:w="558" w:type="pct"/>
            <w:vMerge w:val="restart"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Total</w:t>
            </w:r>
          </w:p>
        </w:tc>
      </w:tr>
      <w:tr w:rsidR="001A29CC" w:rsidRPr="003438BF" w:rsidTr="00B94C50">
        <w:trPr>
          <w:trHeight w:val="255"/>
        </w:trPr>
        <w:tc>
          <w:tcPr>
            <w:tcW w:w="2797" w:type="pct"/>
            <w:gridSpan w:val="2"/>
            <w:vMerge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4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891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558" w:type="pct"/>
            <w:vMerge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A29CC" w:rsidRPr="003438BF" w:rsidTr="00B94C50">
        <w:trPr>
          <w:trHeight w:val="255"/>
        </w:trPr>
        <w:tc>
          <w:tcPr>
            <w:tcW w:w="1468" w:type="pct"/>
            <w:vMerge w:val="restart"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PTCY</w:t>
            </w:r>
          </w:p>
        </w:tc>
        <w:tc>
          <w:tcPr>
            <w:tcW w:w="1329" w:type="pct"/>
            <w:noWrap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</w:t>
            </w:r>
          </w:p>
        </w:tc>
        <w:tc>
          <w:tcPr>
            <w:tcW w:w="754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1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8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</w:t>
            </w:r>
          </w:p>
        </w:tc>
      </w:tr>
      <w:tr w:rsidR="001A29CC" w:rsidRPr="003438BF" w:rsidTr="00B94C50">
        <w:trPr>
          <w:trHeight w:val="240"/>
        </w:trPr>
        <w:tc>
          <w:tcPr>
            <w:tcW w:w="1468" w:type="pct"/>
            <w:vMerge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9" w:type="pct"/>
            <w:noWrap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54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91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8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132</w:t>
            </w:r>
          </w:p>
        </w:tc>
      </w:tr>
      <w:tr w:rsidR="001A29CC" w:rsidRPr="003438BF" w:rsidTr="00B94C50">
        <w:trPr>
          <w:trHeight w:val="255"/>
        </w:trPr>
        <w:tc>
          <w:tcPr>
            <w:tcW w:w="2797" w:type="pct"/>
            <w:gridSpan w:val="2"/>
            <w:hideMark/>
          </w:tcPr>
          <w:p w:rsidR="001A29CC" w:rsidRPr="003438BF" w:rsidRDefault="001A29CC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Total*</w:t>
            </w:r>
          </w:p>
        </w:tc>
        <w:tc>
          <w:tcPr>
            <w:tcW w:w="754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91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8" w:type="pct"/>
            <w:noWrap/>
            <w:hideMark/>
          </w:tcPr>
          <w:p w:rsidR="001A29CC" w:rsidRPr="003438BF" w:rsidRDefault="001A29CC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184</w:t>
            </w:r>
          </w:p>
        </w:tc>
      </w:tr>
    </w:tbl>
    <w:p w:rsidR="001A29CC" w:rsidRPr="003438BF" w:rsidRDefault="001A29CC" w:rsidP="001A29CC">
      <w:pPr>
        <w:rPr>
          <w:rFonts w:asciiTheme="majorBidi" w:hAnsiTheme="majorBidi" w:cstheme="majorBidi"/>
          <w:sz w:val="24"/>
          <w:szCs w:val="24"/>
        </w:rPr>
      </w:pPr>
    </w:p>
    <w:p w:rsidR="001A29CC" w:rsidRPr="003438BF" w:rsidRDefault="001A29CC" w:rsidP="001A29CC">
      <w:pPr>
        <w:rPr>
          <w:rFonts w:asciiTheme="majorBidi" w:hAnsiTheme="majorBidi" w:cstheme="majorBidi"/>
          <w:sz w:val="24"/>
          <w:szCs w:val="24"/>
        </w:rPr>
      </w:pPr>
      <w:r w:rsidRPr="003438BF">
        <w:rPr>
          <w:rFonts w:asciiTheme="majorBidi" w:hAnsiTheme="majorBidi" w:cstheme="majorBidi"/>
          <w:sz w:val="24"/>
          <w:szCs w:val="24"/>
        </w:rPr>
        <w:t xml:space="preserve">* Data on PTCY of two patients receiving ATG was </w:t>
      </w:r>
      <w:proofErr w:type="gramStart"/>
      <w:r w:rsidRPr="003438BF">
        <w:rPr>
          <w:rFonts w:asciiTheme="majorBidi" w:hAnsiTheme="majorBidi" w:cstheme="majorBidi"/>
          <w:sz w:val="24"/>
          <w:szCs w:val="24"/>
        </w:rPr>
        <w:t>missing,</w:t>
      </w:r>
      <w:proofErr w:type="gramEnd"/>
      <w:r w:rsidRPr="003438BF">
        <w:rPr>
          <w:rFonts w:asciiTheme="majorBidi" w:hAnsiTheme="majorBidi" w:cstheme="majorBidi"/>
          <w:sz w:val="24"/>
          <w:szCs w:val="24"/>
        </w:rPr>
        <w:t xml:space="preserve"> therefore, these patients were not included in the table. </w:t>
      </w:r>
    </w:p>
    <w:p w:rsidR="001A29CC" w:rsidRPr="003438BF" w:rsidRDefault="001A29CC" w:rsidP="001A29CC">
      <w:pPr>
        <w:rPr>
          <w:rFonts w:asciiTheme="majorBidi" w:hAnsiTheme="majorBidi" w:cstheme="majorBidi"/>
          <w:sz w:val="24"/>
          <w:szCs w:val="24"/>
        </w:rPr>
      </w:pPr>
      <w:r w:rsidRPr="003438BF">
        <w:rPr>
          <w:rFonts w:asciiTheme="majorBidi" w:hAnsiTheme="majorBidi" w:cstheme="majorBidi"/>
          <w:sz w:val="24"/>
          <w:szCs w:val="24"/>
        </w:rPr>
        <w:t>Human leukocyte antigen (HLA), anti-</w:t>
      </w:r>
      <w:proofErr w:type="spellStart"/>
      <w:r w:rsidRPr="003438BF">
        <w:rPr>
          <w:rFonts w:asciiTheme="majorBidi" w:hAnsiTheme="majorBidi" w:cstheme="majorBidi"/>
          <w:sz w:val="24"/>
          <w:szCs w:val="24"/>
        </w:rPr>
        <w:t>thymocyte</w:t>
      </w:r>
      <w:proofErr w:type="spellEnd"/>
      <w:r w:rsidRPr="003438BF">
        <w:rPr>
          <w:rFonts w:asciiTheme="majorBidi" w:hAnsiTheme="majorBidi" w:cstheme="majorBidi"/>
          <w:sz w:val="24"/>
          <w:szCs w:val="24"/>
        </w:rPr>
        <w:t xml:space="preserve"> globulin (ATG), post transplantation cyclophosphamide (PTCY)</w:t>
      </w:r>
    </w:p>
    <w:p w:rsidR="001A29CC" w:rsidRPr="003438BF" w:rsidRDefault="001A29CC" w:rsidP="001A29CC">
      <w:pPr>
        <w:rPr>
          <w:rFonts w:asciiTheme="majorBidi" w:hAnsiTheme="majorBidi" w:cstheme="majorBidi"/>
          <w:sz w:val="24"/>
          <w:szCs w:val="24"/>
        </w:rPr>
      </w:pPr>
    </w:p>
    <w:p w:rsidR="001A29CC" w:rsidRPr="003438BF" w:rsidRDefault="001A29CC" w:rsidP="001A29C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438BF">
        <w:rPr>
          <w:rFonts w:asciiTheme="majorBidi" w:hAnsiTheme="majorBidi" w:cstheme="majorBidi"/>
          <w:b/>
          <w:bCs/>
          <w:sz w:val="24"/>
          <w:szCs w:val="24"/>
        </w:rPr>
        <w:t xml:space="preserve">Table S2: </w:t>
      </w:r>
      <w:proofErr w:type="spellStart"/>
      <w:r w:rsidRPr="003438BF">
        <w:rPr>
          <w:rFonts w:asciiTheme="majorBidi" w:hAnsiTheme="majorBidi" w:cstheme="majorBidi"/>
          <w:b/>
          <w:bCs/>
          <w:sz w:val="24"/>
          <w:szCs w:val="24"/>
        </w:rPr>
        <w:t>GvHD</w:t>
      </w:r>
      <w:proofErr w:type="spellEnd"/>
      <w:r w:rsidRPr="003438BF">
        <w:rPr>
          <w:rFonts w:asciiTheme="majorBidi" w:hAnsiTheme="majorBidi" w:cstheme="majorBidi"/>
          <w:b/>
          <w:bCs/>
          <w:sz w:val="24"/>
          <w:szCs w:val="24"/>
        </w:rPr>
        <w:t xml:space="preserve"> prophylaxis in patients receiving NTD-</w:t>
      </w:r>
      <w:proofErr w:type="spellStart"/>
      <w:r w:rsidRPr="003438BF">
        <w:rPr>
          <w:rFonts w:asciiTheme="majorBidi" w:hAnsiTheme="majorBidi" w:cstheme="majorBidi"/>
          <w:b/>
          <w:bCs/>
          <w:sz w:val="24"/>
          <w:szCs w:val="24"/>
        </w:rPr>
        <w:t>Haplo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37"/>
        <w:gridCol w:w="1571"/>
        <w:gridCol w:w="1022"/>
      </w:tblGrid>
      <w:tr w:rsidR="00C737E9" w:rsidRPr="003438BF" w:rsidTr="00C737E9">
        <w:trPr>
          <w:trHeight w:val="255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 PTCY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PTCy</w:t>
            </w:r>
            <w:proofErr w:type="spellEnd"/>
          </w:p>
        </w:tc>
      </w:tr>
      <w:tr w:rsidR="00C737E9" w:rsidRPr="003438BF" w:rsidTr="00C737E9">
        <w:trPr>
          <w:trHeight w:val="255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Mycophenolate mofetil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C737E9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Sirolimus</w:t>
            </w:r>
            <w:proofErr w:type="spellEnd"/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Tacrolimus</w:t>
            </w:r>
            <w:proofErr w:type="spellEnd"/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 + Methotrexate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C737E9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 + Mycophenolate mofetil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101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Methotrexate</w:t>
            </w: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+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Mycophenolate mofetil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B94C50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Mycophenolate mofetil</w:t>
            </w: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+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Tacrolimus</w:t>
            </w:r>
            <w:proofErr w:type="spellEnd"/>
          </w:p>
        </w:tc>
        <w:tc>
          <w:tcPr>
            <w:tcW w:w="910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B94C50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C737E9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 + Methotrexate + Mycophenolate mofetil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</w:tr>
      <w:tr w:rsidR="00C737E9" w:rsidRPr="003438BF" w:rsidTr="00C737E9">
        <w:trPr>
          <w:trHeight w:val="240"/>
        </w:trPr>
        <w:tc>
          <w:tcPr>
            <w:tcW w:w="3498" w:type="pct"/>
            <w:noWrap/>
            <w:hideMark/>
          </w:tcPr>
          <w:p w:rsidR="00C737E9" w:rsidRPr="003438BF" w:rsidRDefault="00C737E9" w:rsidP="00C737E9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</w:tr>
      <w:tr w:rsidR="00C737E9" w:rsidRPr="003438BF" w:rsidTr="00C737E9">
        <w:trPr>
          <w:trHeight w:val="255"/>
        </w:trPr>
        <w:tc>
          <w:tcPr>
            <w:tcW w:w="3498" w:type="pct"/>
            <w:noWrap/>
            <w:hideMark/>
          </w:tcPr>
          <w:p w:rsidR="00C737E9" w:rsidRPr="003438BF" w:rsidRDefault="00C737E9" w:rsidP="00C737E9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10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92" w:type="pct"/>
            <w:noWrap/>
            <w:hideMark/>
          </w:tcPr>
          <w:p w:rsidR="00C737E9" w:rsidRPr="003438BF" w:rsidRDefault="00C737E9" w:rsidP="00C737E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3438B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132</w:t>
            </w:r>
          </w:p>
        </w:tc>
      </w:tr>
    </w:tbl>
    <w:p w:rsidR="001A29CC" w:rsidRPr="003438BF" w:rsidRDefault="001A29CC" w:rsidP="001A29CC">
      <w:pPr>
        <w:rPr>
          <w:rFonts w:asciiTheme="majorBidi" w:hAnsiTheme="majorBidi" w:cstheme="majorBidi"/>
          <w:sz w:val="24"/>
          <w:szCs w:val="24"/>
        </w:rPr>
      </w:pPr>
    </w:p>
    <w:p w:rsidR="001A29CC" w:rsidRPr="003438BF" w:rsidRDefault="00721308" w:rsidP="00F147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Graft-versus-host disease (</w:t>
      </w:r>
      <w:proofErr w:type="spellStart"/>
      <w:r>
        <w:rPr>
          <w:rFonts w:asciiTheme="majorBidi" w:hAnsiTheme="majorBidi" w:cstheme="majorBidi"/>
          <w:sz w:val="24"/>
          <w:szCs w:val="24"/>
        </w:rPr>
        <w:t>G</w:t>
      </w:r>
      <w:r w:rsidR="00F147DC">
        <w:rPr>
          <w:rFonts w:asciiTheme="majorBidi" w:hAnsiTheme="majorBidi" w:cstheme="majorBidi"/>
          <w:sz w:val="24"/>
          <w:szCs w:val="24"/>
        </w:rPr>
        <w:t>v</w:t>
      </w:r>
      <w:r>
        <w:rPr>
          <w:rFonts w:asciiTheme="majorBidi" w:hAnsiTheme="majorBidi" w:cstheme="majorBidi"/>
          <w:sz w:val="24"/>
          <w:szCs w:val="24"/>
        </w:rPr>
        <w:t>HD</w:t>
      </w:r>
      <w:proofErr w:type="spellEnd"/>
      <w:r>
        <w:rPr>
          <w:rFonts w:asciiTheme="majorBidi" w:hAnsiTheme="majorBidi" w:cstheme="majorBidi"/>
          <w:sz w:val="24"/>
          <w:szCs w:val="24"/>
        </w:rPr>
        <w:t>), non-T-cell depleted haploidentical transplantation (NTD-</w:t>
      </w:r>
      <w:proofErr w:type="spellStart"/>
      <w:r>
        <w:rPr>
          <w:rFonts w:asciiTheme="majorBidi" w:hAnsiTheme="majorBidi" w:cstheme="majorBidi"/>
          <w:sz w:val="24"/>
          <w:szCs w:val="24"/>
        </w:rPr>
        <w:t>Haplo</w:t>
      </w:r>
      <w:proofErr w:type="spellEnd"/>
      <w:r>
        <w:rPr>
          <w:rFonts w:asciiTheme="majorBidi" w:hAnsiTheme="majorBidi" w:cstheme="majorBidi"/>
          <w:sz w:val="24"/>
          <w:szCs w:val="24"/>
        </w:rPr>
        <w:t>), post-transplantation cyclophosphamide</w:t>
      </w:r>
    </w:p>
    <w:p w:rsidR="007C5915" w:rsidRDefault="001A29C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147DC" w:rsidRDefault="00F147D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1A29CC" w:rsidRDefault="00CF6483" w:rsidP="001D63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D632A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S3</w:t>
      </w:r>
      <w:r w:rsidR="001D632A" w:rsidRPr="001D632A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1D632A" w:rsidRPr="001D632A">
        <w:rPr>
          <w:rFonts w:asciiTheme="majorBidi" w:hAnsiTheme="majorBidi" w:cstheme="majorBidi"/>
          <w:b/>
          <w:bCs/>
          <w:sz w:val="24"/>
          <w:szCs w:val="24"/>
        </w:rPr>
        <w:t>GvHD</w:t>
      </w:r>
      <w:proofErr w:type="spellEnd"/>
      <w:r w:rsidR="001D632A" w:rsidRPr="001D632A">
        <w:rPr>
          <w:rFonts w:asciiTheme="majorBidi" w:hAnsiTheme="majorBidi" w:cstheme="majorBidi"/>
          <w:b/>
          <w:bCs/>
          <w:sz w:val="24"/>
          <w:szCs w:val="24"/>
        </w:rPr>
        <w:t xml:space="preserve"> prophylaxis in patients receiving single umbilical cord blood transplantation</w:t>
      </w:r>
    </w:p>
    <w:tbl>
      <w:tblPr>
        <w:tblStyle w:val="TableGrid"/>
        <w:tblW w:w="4169" w:type="dxa"/>
        <w:tblLook w:val="04A0" w:firstRow="1" w:lastRow="0" w:firstColumn="1" w:lastColumn="0" w:noHBand="0" w:noVBand="1"/>
      </w:tblPr>
      <w:tblGrid>
        <w:gridCol w:w="1709"/>
        <w:gridCol w:w="1300"/>
        <w:gridCol w:w="1160"/>
      </w:tblGrid>
      <w:tr w:rsidR="00F147DC" w:rsidRPr="00F147DC" w:rsidTr="00F147DC">
        <w:trPr>
          <w:trHeight w:val="300"/>
        </w:trPr>
        <w:tc>
          <w:tcPr>
            <w:tcW w:w="1709" w:type="dxa"/>
            <w:noWrap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%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52.1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hideMark/>
          </w:tcPr>
          <w:p w:rsidR="00F147DC" w:rsidRPr="003438BF" w:rsidRDefault="00F147DC" w:rsidP="00F147DC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 + Mycophenolate mofetil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43.2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hideMark/>
          </w:tcPr>
          <w:p w:rsidR="00F147DC" w:rsidRPr="003438BF" w:rsidRDefault="00F147DC" w:rsidP="00F147DC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Cyclosporine + Methotrexate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2.7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Other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2.1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noWrap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missing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  <w:tr w:rsidR="00F147DC" w:rsidRPr="00F147DC" w:rsidTr="00F147DC">
        <w:trPr>
          <w:trHeight w:val="300"/>
        </w:trPr>
        <w:tc>
          <w:tcPr>
            <w:tcW w:w="1709" w:type="dxa"/>
            <w:noWrap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Total</w:t>
            </w:r>
          </w:p>
        </w:tc>
        <w:tc>
          <w:tcPr>
            <w:tcW w:w="1300" w:type="dxa"/>
            <w:noWrap/>
            <w:hideMark/>
          </w:tcPr>
          <w:p w:rsidR="00F147DC" w:rsidRPr="00F147DC" w:rsidRDefault="00F147DC" w:rsidP="00F147DC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147</w:t>
            </w:r>
          </w:p>
        </w:tc>
        <w:tc>
          <w:tcPr>
            <w:tcW w:w="1160" w:type="dxa"/>
            <w:noWrap/>
            <w:hideMark/>
          </w:tcPr>
          <w:p w:rsidR="00F147DC" w:rsidRPr="00F147DC" w:rsidRDefault="00F147DC" w:rsidP="00F147D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147DC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</w:tr>
    </w:tbl>
    <w:p w:rsidR="00F147DC" w:rsidRDefault="00F147DC" w:rsidP="001D632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147DC" w:rsidRDefault="00F147DC" w:rsidP="001D63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Graft-versus-host disease (</w:t>
      </w:r>
      <w:proofErr w:type="spellStart"/>
      <w:r>
        <w:rPr>
          <w:rFonts w:asciiTheme="majorBidi" w:hAnsiTheme="majorBidi" w:cstheme="majorBidi"/>
          <w:sz w:val="24"/>
          <w:szCs w:val="24"/>
        </w:rPr>
        <w:t>GvHD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</w:p>
    <w:p w:rsidR="00480DAA" w:rsidRDefault="00480DAA" w:rsidP="001D632A">
      <w:pPr>
        <w:rPr>
          <w:rFonts w:asciiTheme="majorBidi" w:hAnsiTheme="majorBidi" w:cstheme="majorBidi"/>
          <w:sz w:val="24"/>
          <w:szCs w:val="24"/>
        </w:rPr>
      </w:pPr>
    </w:p>
    <w:p w:rsidR="00480DAA" w:rsidRDefault="00480DAA" w:rsidP="001D632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S4: Cause</w:t>
      </w:r>
      <w:r w:rsidR="00415210">
        <w:rPr>
          <w:rFonts w:asciiTheme="majorBidi" w:hAnsiTheme="majorBidi" w:cstheme="majorBidi"/>
          <w:b/>
          <w:bCs/>
          <w:sz w:val="24"/>
          <w:szCs w:val="24"/>
        </w:rPr>
        <w:t>s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of 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2356"/>
        <w:gridCol w:w="825"/>
        <w:gridCol w:w="2304"/>
        <w:gridCol w:w="825"/>
      </w:tblGrid>
      <w:tr w:rsidR="00480DAA" w:rsidRPr="00480DAA" w:rsidTr="00480DAA">
        <w:trPr>
          <w:trHeight w:val="330"/>
        </w:trPr>
        <w:tc>
          <w:tcPr>
            <w:tcW w:w="2357" w:type="dxa"/>
            <w:vMerge w:val="restart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causes of death</w:t>
            </w:r>
          </w:p>
        </w:tc>
        <w:tc>
          <w:tcPr>
            <w:tcW w:w="3163" w:type="dxa"/>
            <w:gridSpan w:val="2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NTD-</w:t>
            </w:r>
            <w:proofErr w:type="spellStart"/>
            <w:r w:rsidRPr="00480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Halpo</w:t>
            </w:r>
            <w:proofErr w:type="spellEnd"/>
          </w:p>
        </w:tc>
        <w:tc>
          <w:tcPr>
            <w:tcW w:w="3110" w:type="dxa"/>
            <w:gridSpan w:val="2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SUBCT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vMerge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Infection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34.7%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40.0%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Original disease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26.5%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16.3%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Graft-versus host disease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20.4%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18.8%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Sinusoidal obstructive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sydnrome</w:t>
            </w:r>
            <w:proofErr w:type="spellEnd"/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6.1%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2.5%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idiopathic pneumonia syndrome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6.1%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1.3%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other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4.1%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16.3%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 xml:space="preserve"> hemorrhage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5.0%</w:t>
            </w: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missing</w:t>
            </w: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80DAA" w:rsidRPr="00480DAA" w:rsidTr="00480DAA">
        <w:trPr>
          <w:trHeight w:val="330"/>
        </w:trPr>
        <w:tc>
          <w:tcPr>
            <w:tcW w:w="2357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4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41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80DAA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769" w:type="dxa"/>
            <w:noWrap/>
            <w:hideMark/>
          </w:tcPr>
          <w:p w:rsidR="00480DAA" w:rsidRPr="00480DAA" w:rsidRDefault="00480DAA" w:rsidP="00480DA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80DAA" w:rsidRPr="00480DAA" w:rsidRDefault="00480DAA" w:rsidP="001D632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80DAA" w:rsidRPr="00480DAA" w:rsidRDefault="00480DAA" w:rsidP="001D632A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646C08">
        <w:rPr>
          <w:rFonts w:asciiTheme="majorBidi" w:hAnsiTheme="majorBidi" w:cstheme="majorBidi"/>
          <w:lang w:val="en-GB"/>
        </w:rPr>
        <w:t>non-T-cell</w:t>
      </w:r>
      <w:proofErr w:type="gramEnd"/>
      <w:r w:rsidRPr="00646C08">
        <w:rPr>
          <w:rFonts w:asciiTheme="majorBidi" w:hAnsiTheme="majorBidi" w:cstheme="majorBidi"/>
          <w:lang w:val="en-GB"/>
        </w:rPr>
        <w:t xml:space="preserve"> depleted </w:t>
      </w:r>
      <w:r w:rsidRPr="00646C08">
        <w:rPr>
          <w:rFonts w:asciiTheme="majorBidi" w:hAnsiTheme="majorBidi" w:cstheme="majorBidi"/>
        </w:rPr>
        <w:t>haploidentical stem cell transplantation (NTD-</w:t>
      </w:r>
      <w:proofErr w:type="spellStart"/>
      <w:r w:rsidRPr="00646C08">
        <w:rPr>
          <w:rFonts w:asciiTheme="majorBidi" w:hAnsiTheme="majorBidi" w:cstheme="majorBidi"/>
        </w:rPr>
        <w:t>Haplo</w:t>
      </w:r>
      <w:proofErr w:type="spellEnd"/>
      <w:r w:rsidRPr="00646C0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, </w:t>
      </w:r>
      <w:r w:rsidRPr="00646C08">
        <w:rPr>
          <w:rFonts w:asciiTheme="majorBidi" w:hAnsiTheme="majorBidi" w:cstheme="majorBidi"/>
          <w:lang w:val="en-GB"/>
        </w:rPr>
        <w:t>single umbilical cor</w:t>
      </w:r>
      <w:r>
        <w:rPr>
          <w:rFonts w:asciiTheme="majorBidi" w:hAnsiTheme="majorBidi" w:cstheme="majorBidi"/>
          <w:lang w:val="en-GB"/>
        </w:rPr>
        <w:t>d blood transplantation (SUBCT)</w:t>
      </w:r>
    </w:p>
    <w:p w:rsidR="00480DAA" w:rsidRDefault="00480DAA" w:rsidP="008B025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80DAA" w:rsidRDefault="00480DAA" w:rsidP="008B025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B0251" w:rsidRDefault="00F702E8" w:rsidP="008B025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S5</w:t>
      </w:r>
      <w:r w:rsidR="00B94C50">
        <w:rPr>
          <w:rFonts w:asciiTheme="majorBidi" w:hAnsiTheme="majorBidi" w:cstheme="majorBidi"/>
          <w:b/>
          <w:bCs/>
          <w:sz w:val="24"/>
          <w:szCs w:val="24"/>
        </w:rPr>
        <w:t>: The impact</w:t>
      </w:r>
      <w:r w:rsidR="008B0251">
        <w:rPr>
          <w:rFonts w:asciiTheme="majorBidi" w:hAnsiTheme="majorBidi" w:cstheme="majorBidi"/>
          <w:b/>
          <w:bCs/>
          <w:sz w:val="24"/>
          <w:szCs w:val="24"/>
        </w:rPr>
        <w:t xml:space="preserve"> of MRC cytogenetic risk groups</w:t>
      </w:r>
    </w:p>
    <w:tbl>
      <w:tblPr>
        <w:tblStyle w:val="TableGrid"/>
        <w:tblW w:w="7994" w:type="dxa"/>
        <w:tblLook w:val="04A0" w:firstRow="1" w:lastRow="0" w:firstColumn="1" w:lastColumn="0" w:noHBand="0" w:noVBand="1"/>
      </w:tblPr>
      <w:tblGrid>
        <w:gridCol w:w="1305"/>
        <w:gridCol w:w="1217"/>
        <w:gridCol w:w="1216"/>
        <w:gridCol w:w="1216"/>
        <w:gridCol w:w="1216"/>
        <w:gridCol w:w="1216"/>
        <w:gridCol w:w="1216"/>
      </w:tblGrid>
      <w:tr w:rsidR="00B94C50" w:rsidRPr="00480DAA" w:rsidTr="00B94C50">
        <w:trPr>
          <w:trHeight w:val="204"/>
        </w:trPr>
        <w:tc>
          <w:tcPr>
            <w:tcW w:w="1217" w:type="dxa"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Relapse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NRM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LFS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OS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GRFS</w:t>
            </w:r>
          </w:p>
        </w:tc>
      </w:tr>
      <w:tr w:rsidR="00B94C50" w:rsidRPr="00480DAA" w:rsidTr="00B94C50">
        <w:trPr>
          <w:trHeight w:val="204"/>
        </w:trPr>
        <w:tc>
          <w:tcPr>
            <w:tcW w:w="1217" w:type="dxa"/>
            <w:vMerge w:val="restart"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2-years outcomes according to MRC cytogenetic risk group</w:t>
            </w:r>
          </w:p>
          <w:p w:rsidR="00B94C50" w:rsidRPr="00480DAA" w:rsidRDefault="00B94C50" w:rsidP="00B94C5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B94C50" w:rsidRPr="00480DAA" w:rsidRDefault="00046BE3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g</w:t>
            </w:r>
            <w:r w:rsidR="00B94C50" w:rsidRPr="00480DAA">
              <w:rPr>
                <w:rFonts w:asciiTheme="majorBidi" w:hAnsiTheme="majorBidi" w:cstheme="majorBidi"/>
                <w:sz w:val="20"/>
                <w:szCs w:val="20"/>
              </w:rPr>
              <w:t>ood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10.3%[2.5-24.7]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31.2%[15.3-48.6]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58.4%[40.4-76.4]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61.6%[43.7-79.4]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53.3%[34.8-71.9]</w:t>
            </w:r>
          </w:p>
        </w:tc>
      </w:tr>
      <w:tr w:rsidR="00B94C50" w:rsidRPr="00480DAA" w:rsidTr="00B94C50">
        <w:trPr>
          <w:trHeight w:val="204"/>
        </w:trPr>
        <w:tc>
          <w:tcPr>
            <w:tcW w:w="1217" w:type="dxa"/>
            <w:vMerge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intermediate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12%[6.9-18.8]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32.8%[24.4-41.4]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55.2%[46.1-64.3]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59.4%[50.5-68.4]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47.1%[37.9-56.3]</w:t>
            </w:r>
          </w:p>
        </w:tc>
      </w:tr>
      <w:tr w:rsidR="00B94C50" w:rsidRPr="00480DAA" w:rsidTr="00B94C50">
        <w:trPr>
          <w:trHeight w:val="204"/>
        </w:trPr>
        <w:tc>
          <w:tcPr>
            <w:tcW w:w="1217" w:type="dxa"/>
            <w:vMerge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poor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27.4%[13.4-43.6]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28.9%[13.8-45.9]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43.7%[25.8-61.5]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49.2%[31-67.3]</w:t>
            </w:r>
          </w:p>
        </w:tc>
        <w:tc>
          <w:tcPr>
            <w:tcW w:w="1112" w:type="dxa"/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40.4%[22.9-57.9]</w:t>
            </w:r>
          </w:p>
        </w:tc>
      </w:tr>
      <w:tr w:rsidR="00B94C50" w:rsidRPr="00480DAA" w:rsidTr="008B0251">
        <w:trPr>
          <w:trHeight w:val="204"/>
        </w:trPr>
        <w:tc>
          <w:tcPr>
            <w:tcW w:w="1217" w:type="dxa"/>
            <w:vMerge/>
            <w:tcBorders>
              <w:bottom w:val="double" w:sz="4" w:space="0" w:color="auto"/>
            </w:tcBorders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0.54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  <w:hideMark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</w:tr>
      <w:tr w:rsidR="00B94C50" w:rsidRPr="00480DAA" w:rsidTr="008B0251">
        <w:trPr>
          <w:trHeight w:val="204"/>
        </w:trPr>
        <w:tc>
          <w:tcPr>
            <w:tcW w:w="1217" w:type="dxa"/>
            <w:vMerge w:val="restart"/>
            <w:tcBorders>
              <w:top w:val="double" w:sz="4" w:space="0" w:color="auto"/>
            </w:tcBorders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2-years outcomes in patients with intermediate risk cytogenetics</w:t>
            </w:r>
          </w:p>
          <w:p w:rsidR="00B94C50" w:rsidRPr="00480DAA" w:rsidRDefault="00B94C50" w:rsidP="00B94C5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8B0251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="00046BE3" w:rsidRPr="00480DAA">
              <w:rPr>
                <w:rFonts w:asciiTheme="majorBidi" w:hAnsiTheme="majorBidi" w:cstheme="majorBidi"/>
                <w:sz w:val="20"/>
                <w:szCs w:val="20"/>
              </w:rPr>
              <w:t>TD</w:t>
            </w:r>
            <w:r w:rsidRPr="00480DAA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proofErr w:type="spellStart"/>
            <w:r w:rsidR="00B94C50" w:rsidRPr="00480DAA">
              <w:rPr>
                <w:rFonts w:asciiTheme="majorBidi" w:hAnsiTheme="majorBidi" w:cstheme="majorBidi"/>
                <w:sz w:val="20"/>
                <w:szCs w:val="20"/>
              </w:rPr>
              <w:t>Haplo</w:t>
            </w:r>
            <w:proofErr w:type="spellEnd"/>
            <w:r w:rsidR="00B94C50" w:rsidRPr="00480DAA">
              <w:rPr>
                <w:rFonts w:asciiTheme="majorBidi" w:hAnsiTheme="majorBidi" w:cstheme="majorBidi"/>
                <w:sz w:val="20"/>
                <w:szCs w:val="20"/>
              </w:rPr>
              <w:t xml:space="preserve"> (n=67)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13.7%[6.3-24]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19.1%[10.4-29.9]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67.2%[55.2-79.2]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75.7%[64.9-86.5]</w:t>
            </w:r>
          </w:p>
        </w:tc>
        <w:tc>
          <w:tcPr>
            <w:tcW w:w="1112" w:type="dxa"/>
            <w:tcBorders>
              <w:top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58.6%[45.9-71.2]</w:t>
            </w:r>
          </w:p>
        </w:tc>
      </w:tr>
      <w:tr w:rsidR="00B94C50" w:rsidRPr="00480DAA" w:rsidTr="00B94C50">
        <w:trPr>
          <w:trHeight w:val="204"/>
        </w:trPr>
        <w:tc>
          <w:tcPr>
            <w:tcW w:w="1217" w:type="dxa"/>
            <w:vMerge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noWrap/>
            <w:vAlign w:val="center"/>
          </w:tcPr>
          <w:p w:rsidR="00B94C50" w:rsidRPr="00480DAA" w:rsidRDefault="008B0251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SU</w:t>
            </w:r>
            <w:r w:rsidR="00B94C50" w:rsidRPr="00480DAA">
              <w:rPr>
                <w:rFonts w:asciiTheme="majorBidi" w:hAnsiTheme="majorBidi" w:cstheme="majorBidi"/>
                <w:sz w:val="20"/>
                <w:szCs w:val="20"/>
              </w:rPr>
              <w:t>CBT (n=60)</w:t>
            </w:r>
          </w:p>
        </w:tc>
        <w:tc>
          <w:tcPr>
            <w:tcW w:w="1112" w:type="dxa"/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10.2%[4.1-19.7]</w:t>
            </w:r>
          </w:p>
        </w:tc>
        <w:tc>
          <w:tcPr>
            <w:tcW w:w="1112" w:type="dxa"/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47.2%[33.5-59.6]</w:t>
            </w:r>
          </w:p>
        </w:tc>
        <w:tc>
          <w:tcPr>
            <w:tcW w:w="1112" w:type="dxa"/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42.6%[29.6-55.5]</w:t>
            </w:r>
          </w:p>
        </w:tc>
        <w:tc>
          <w:tcPr>
            <w:tcW w:w="1112" w:type="dxa"/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42.5%[29.5-55.4]</w:t>
            </w:r>
          </w:p>
        </w:tc>
        <w:tc>
          <w:tcPr>
            <w:tcW w:w="1112" w:type="dxa"/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35.4%[22.9-48]</w:t>
            </w:r>
          </w:p>
        </w:tc>
      </w:tr>
      <w:tr w:rsidR="00B94C50" w:rsidRPr="00480DAA" w:rsidTr="008B0251">
        <w:trPr>
          <w:trHeight w:val="204"/>
        </w:trPr>
        <w:tc>
          <w:tcPr>
            <w:tcW w:w="1217" w:type="dxa"/>
            <w:vMerge/>
            <w:tcBorders>
              <w:bottom w:val="double" w:sz="4" w:space="0" w:color="auto"/>
            </w:tcBorders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17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0.962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0.003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0.000</w:t>
            </w:r>
          </w:p>
        </w:tc>
        <w:tc>
          <w:tcPr>
            <w:tcW w:w="1112" w:type="dxa"/>
            <w:tcBorders>
              <w:bottom w:val="double" w:sz="4" w:space="0" w:color="auto"/>
            </w:tcBorders>
            <w:noWrap/>
            <w:vAlign w:val="center"/>
          </w:tcPr>
          <w:p w:rsidR="00B94C50" w:rsidRPr="00480DAA" w:rsidRDefault="00B94C50" w:rsidP="00B94C5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0DAA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</w:tr>
    </w:tbl>
    <w:p w:rsidR="00B94C50" w:rsidRDefault="00B94C50" w:rsidP="001D632A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B0251" w:rsidRDefault="00046BE3" w:rsidP="001D632A">
      <w:pPr>
        <w:rPr>
          <w:rFonts w:asciiTheme="majorBidi" w:hAnsiTheme="majorBidi" w:cstheme="majorBidi"/>
          <w:lang w:val="en-GB"/>
        </w:rPr>
      </w:pPr>
      <w:r w:rsidRPr="00374B62">
        <w:rPr>
          <w:rFonts w:asciiTheme="majorBidi" w:eastAsia="Times New Roman" w:hAnsiTheme="majorBidi" w:cstheme="majorBidi"/>
          <w:sz w:val="24"/>
          <w:szCs w:val="24"/>
        </w:rPr>
        <w:t>Medical Research Council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(MRC), </w:t>
      </w:r>
      <w:r w:rsidRPr="00646C08">
        <w:rPr>
          <w:rFonts w:asciiTheme="majorBidi" w:hAnsiTheme="majorBidi" w:cstheme="majorBidi"/>
          <w:lang w:val="en-GB"/>
        </w:rPr>
        <w:t xml:space="preserve">non-T-cell depleted </w:t>
      </w:r>
      <w:r w:rsidRPr="00646C08">
        <w:rPr>
          <w:rFonts w:asciiTheme="majorBidi" w:hAnsiTheme="majorBidi" w:cstheme="majorBidi"/>
        </w:rPr>
        <w:t>haploidentical stem cell transplantation (NTD-</w:t>
      </w:r>
      <w:proofErr w:type="spellStart"/>
      <w:r w:rsidRPr="00646C08">
        <w:rPr>
          <w:rFonts w:asciiTheme="majorBidi" w:hAnsiTheme="majorBidi" w:cstheme="majorBidi"/>
        </w:rPr>
        <w:t>Haplo</w:t>
      </w:r>
      <w:proofErr w:type="spellEnd"/>
      <w:r w:rsidRPr="00646C08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, </w:t>
      </w:r>
      <w:r w:rsidRPr="00646C08">
        <w:rPr>
          <w:rFonts w:asciiTheme="majorBidi" w:hAnsiTheme="majorBidi" w:cstheme="majorBidi"/>
          <w:lang w:val="en-GB"/>
        </w:rPr>
        <w:t>single umbilical cor</w:t>
      </w:r>
      <w:r>
        <w:rPr>
          <w:rFonts w:asciiTheme="majorBidi" w:hAnsiTheme="majorBidi" w:cstheme="majorBidi"/>
          <w:lang w:val="en-GB"/>
        </w:rPr>
        <w:t>d blood transplantation (SUBCT), non-relapse mortality (NRM), leukemia-free survival (LFS), overall survival (OS), graft-versus-host-free relapse-free survival (GRFS)</w:t>
      </w:r>
    </w:p>
    <w:p w:rsidR="00F702E8" w:rsidRPr="00B94C50" w:rsidRDefault="00F702E8" w:rsidP="001D632A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F702E8" w:rsidRPr="00B94C50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3EE" w:rsidRDefault="007363EE" w:rsidP="00EC4CA0">
      <w:pPr>
        <w:spacing w:after="0" w:line="240" w:lineRule="auto"/>
      </w:pPr>
      <w:r>
        <w:separator/>
      </w:r>
    </w:p>
  </w:endnote>
  <w:endnote w:type="continuationSeparator" w:id="0">
    <w:p w:rsidR="007363EE" w:rsidRDefault="007363EE" w:rsidP="00EC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0315493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:rsidR="00C074DD" w:rsidRPr="00C074DD" w:rsidRDefault="00C074DD">
        <w:pPr>
          <w:pStyle w:val="Footer"/>
          <w:jc w:val="center"/>
          <w:rPr>
            <w:rFonts w:asciiTheme="majorBidi" w:hAnsiTheme="majorBidi" w:cstheme="majorBidi"/>
          </w:rPr>
        </w:pPr>
        <w:r w:rsidRPr="00C074DD">
          <w:rPr>
            <w:rFonts w:asciiTheme="majorBidi" w:hAnsiTheme="majorBidi" w:cstheme="majorBidi"/>
          </w:rPr>
          <w:fldChar w:fldCharType="begin"/>
        </w:r>
        <w:r w:rsidRPr="00C074DD">
          <w:rPr>
            <w:rFonts w:asciiTheme="majorBidi" w:hAnsiTheme="majorBidi" w:cstheme="majorBidi"/>
          </w:rPr>
          <w:instrText xml:space="preserve"> PAGE   \* MERGEFORMAT </w:instrText>
        </w:r>
        <w:r w:rsidRPr="00C074DD">
          <w:rPr>
            <w:rFonts w:asciiTheme="majorBidi" w:hAnsiTheme="majorBidi" w:cstheme="majorBidi"/>
          </w:rPr>
          <w:fldChar w:fldCharType="separate"/>
        </w:r>
        <w:r w:rsidR="00415210">
          <w:rPr>
            <w:rFonts w:asciiTheme="majorBidi" w:hAnsiTheme="majorBidi" w:cstheme="majorBidi"/>
            <w:noProof/>
          </w:rPr>
          <w:t>3</w:t>
        </w:r>
        <w:r w:rsidRPr="00C074DD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B94C50" w:rsidRDefault="00B94C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3EE" w:rsidRDefault="007363EE" w:rsidP="00EC4CA0">
      <w:pPr>
        <w:spacing w:after="0" w:line="240" w:lineRule="auto"/>
      </w:pPr>
      <w:r>
        <w:separator/>
      </w:r>
    </w:p>
  </w:footnote>
  <w:footnote w:type="continuationSeparator" w:id="0">
    <w:p w:rsidR="007363EE" w:rsidRDefault="007363EE" w:rsidP="00EC4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S3NDM2szA2NDIxMDNX0lEKTi0uzszPAykwqQUAwzdShywAAAA="/>
  </w:docVars>
  <w:rsids>
    <w:rsidRoot w:val="001A29CC"/>
    <w:rsid w:val="00046BE3"/>
    <w:rsid w:val="000D0331"/>
    <w:rsid w:val="001A29CC"/>
    <w:rsid w:val="001D632A"/>
    <w:rsid w:val="00415210"/>
    <w:rsid w:val="00480DAA"/>
    <w:rsid w:val="00591BDC"/>
    <w:rsid w:val="00633842"/>
    <w:rsid w:val="00721308"/>
    <w:rsid w:val="007363EE"/>
    <w:rsid w:val="007C5915"/>
    <w:rsid w:val="008417DD"/>
    <w:rsid w:val="008B0251"/>
    <w:rsid w:val="00B316EC"/>
    <w:rsid w:val="00B94C50"/>
    <w:rsid w:val="00C006EB"/>
    <w:rsid w:val="00C074DD"/>
    <w:rsid w:val="00C737E9"/>
    <w:rsid w:val="00CF6483"/>
    <w:rsid w:val="00E9322B"/>
    <w:rsid w:val="00EC4CA0"/>
    <w:rsid w:val="00F0389E"/>
    <w:rsid w:val="00F147DC"/>
    <w:rsid w:val="00F7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0AD0BA-1419-4D8E-92A0-7E8D3C89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2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9CC"/>
    <w:rPr>
      <w:sz w:val="20"/>
      <w:szCs w:val="20"/>
    </w:rPr>
  </w:style>
  <w:style w:type="table" w:styleId="TableGrid">
    <w:name w:val="Table Grid"/>
    <w:basedOn w:val="TableNormal"/>
    <w:uiPriority w:val="39"/>
    <w:rsid w:val="001A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9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4C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A0"/>
  </w:style>
  <w:style w:type="paragraph" w:styleId="Footer">
    <w:name w:val="footer"/>
    <w:basedOn w:val="Normal"/>
    <w:link w:val="FooterChar"/>
    <w:uiPriority w:val="99"/>
    <w:unhideWhenUsed/>
    <w:rsid w:val="00EC4CA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RS</cp:lastModifiedBy>
  <cp:revision>3</cp:revision>
  <dcterms:created xsi:type="dcterms:W3CDTF">2018-08-17T15:33:00Z</dcterms:created>
  <dcterms:modified xsi:type="dcterms:W3CDTF">2018-08-19T13:15:00Z</dcterms:modified>
</cp:coreProperties>
</file>