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3D" w:rsidRDefault="00F55D3D" w:rsidP="00010E3C">
      <w:pPr>
        <w:spacing w:line="480" w:lineRule="auto"/>
        <w:rPr>
          <w:rFonts w:ascii="Arial" w:hAnsi="Arial" w:cs="Arial"/>
          <w:b/>
          <w:sz w:val="24"/>
          <w:szCs w:val="24"/>
        </w:rPr>
      </w:pPr>
      <w:r>
        <w:rPr>
          <w:rFonts w:ascii="Arial" w:hAnsi="Arial" w:cs="Arial" w:hint="eastAsia"/>
          <w:b/>
          <w:sz w:val="24"/>
          <w:szCs w:val="24"/>
        </w:rPr>
        <w:t>S</w:t>
      </w:r>
      <w:r>
        <w:rPr>
          <w:rFonts w:ascii="Arial" w:hAnsi="Arial" w:cs="Arial"/>
          <w:b/>
          <w:sz w:val="24"/>
          <w:szCs w:val="24"/>
        </w:rPr>
        <w:t>upplementary Methods and Materials</w:t>
      </w:r>
    </w:p>
    <w:p w:rsidR="00F55D3D" w:rsidRDefault="00F55D3D" w:rsidP="00010E3C">
      <w:pPr>
        <w:spacing w:line="480" w:lineRule="auto"/>
        <w:rPr>
          <w:rFonts w:ascii="Arial" w:hAnsi="Arial" w:cs="Arial"/>
          <w:b/>
          <w:sz w:val="24"/>
          <w:szCs w:val="24"/>
        </w:rPr>
      </w:pPr>
    </w:p>
    <w:p w:rsidR="00010E3C" w:rsidRPr="00E914E7" w:rsidRDefault="00010E3C" w:rsidP="00010E3C">
      <w:pPr>
        <w:spacing w:line="480" w:lineRule="auto"/>
        <w:rPr>
          <w:rFonts w:ascii="Arial" w:hAnsi="Arial" w:cs="Arial"/>
          <w:b/>
          <w:sz w:val="24"/>
          <w:szCs w:val="24"/>
        </w:rPr>
      </w:pPr>
      <w:r w:rsidRPr="00E914E7">
        <w:rPr>
          <w:rFonts w:ascii="Arial" w:hAnsi="Arial" w:cs="Arial" w:hint="eastAsia"/>
          <w:b/>
          <w:sz w:val="24"/>
          <w:szCs w:val="24"/>
        </w:rPr>
        <w:t>H</w:t>
      </w:r>
      <w:r w:rsidRPr="00E914E7">
        <w:rPr>
          <w:rFonts w:ascii="Arial" w:hAnsi="Arial" w:cs="Arial"/>
          <w:b/>
          <w:sz w:val="24"/>
          <w:szCs w:val="24"/>
        </w:rPr>
        <w:t>CC cell lines</w:t>
      </w:r>
    </w:p>
    <w:p w:rsidR="00010E3C" w:rsidRPr="00E914E7" w:rsidRDefault="00010E3C" w:rsidP="00010E3C">
      <w:pPr>
        <w:spacing w:line="480" w:lineRule="auto"/>
        <w:rPr>
          <w:rFonts w:ascii="Arial" w:hAnsi="Arial" w:cs="Arial"/>
          <w:sz w:val="24"/>
          <w:szCs w:val="24"/>
        </w:rPr>
      </w:pPr>
      <w:r w:rsidRPr="00E914E7">
        <w:rPr>
          <w:rFonts w:ascii="Arial" w:hAnsi="Arial" w:cs="Arial"/>
          <w:sz w:val="24"/>
          <w:szCs w:val="24"/>
        </w:rPr>
        <w:t>MHCC97H, MHCC97L, HCCLM3, Huh7, SMMC7721, and HepG2 cell lines were obtained from the Liver Cancer Institute, Fudan University, Shanghai, China. The Hep3B cell line was purchased from the cell bank at the Institute of Biochemistry and Cell Biology, China Academy of Science (Shanghai, China). Cells were cultured in high-glucose Dulbecco’s modified Eagle’s medium (DMEM) supplemented with 10% fetal bovine serum (FBS) and 1% penicillin and 100 μg/ml streptomycin in a humidified incubator containing 5% CO</w:t>
      </w:r>
      <w:r w:rsidRPr="00E914E7">
        <w:rPr>
          <w:rFonts w:ascii="Arial" w:hAnsi="Arial" w:cs="Arial"/>
          <w:sz w:val="24"/>
          <w:szCs w:val="24"/>
          <w:vertAlign w:val="subscript"/>
        </w:rPr>
        <w:t>2</w:t>
      </w:r>
      <w:r w:rsidRPr="00E914E7">
        <w:rPr>
          <w:rFonts w:ascii="Arial" w:hAnsi="Arial" w:cs="Arial"/>
          <w:sz w:val="24"/>
          <w:szCs w:val="24"/>
        </w:rPr>
        <w:t xml:space="preserve"> at 37ºC. </w:t>
      </w:r>
      <w:r w:rsidRPr="00E914E7">
        <w:rPr>
          <w:rFonts w:ascii="Arial" w:hAnsi="Arial" w:cs="Arial" w:hint="eastAsia"/>
          <w:sz w:val="24"/>
          <w:szCs w:val="24"/>
        </w:rPr>
        <w:t xml:space="preserve">All experiments </w:t>
      </w:r>
      <w:r w:rsidRPr="00E914E7">
        <w:rPr>
          <w:rFonts w:ascii="Arial" w:hAnsi="Arial" w:cs="Arial"/>
          <w:sz w:val="24"/>
          <w:szCs w:val="24"/>
        </w:rPr>
        <w:t xml:space="preserve">were performed in cells </w:t>
      </w:r>
      <w:r w:rsidRPr="00E914E7">
        <w:rPr>
          <w:rFonts w:ascii="Arial" w:hAnsi="Arial" w:cs="Arial" w:hint="eastAsia"/>
          <w:sz w:val="24"/>
          <w:szCs w:val="24"/>
        </w:rPr>
        <w:t xml:space="preserve">less than 8 </w:t>
      </w:r>
      <w:r w:rsidRPr="00E914E7">
        <w:rPr>
          <w:rFonts w:ascii="Arial" w:hAnsi="Arial" w:cs="Arial"/>
          <w:sz w:val="24"/>
          <w:szCs w:val="24"/>
        </w:rPr>
        <w:t>passages</w:t>
      </w:r>
      <w:r w:rsidRPr="00E914E7">
        <w:rPr>
          <w:rFonts w:ascii="Arial" w:hAnsi="Arial" w:cs="Arial" w:hint="eastAsia"/>
          <w:sz w:val="24"/>
          <w:szCs w:val="24"/>
        </w:rPr>
        <w:t xml:space="preserve">. </w:t>
      </w:r>
      <w:r w:rsidRPr="00E914E7">
        <w:rPr>
          <w:rFonts w:ascii="Arial" w:hAnsi="Arial" w:cs="Arial"/>
          <w:sz w:val="24"/>
          <w:szCs w:val="24"/>
        </w:rPr>
        <w:t>All reagents for cell culture were purchased from Gibco (Thermo, USA).</w:t>
      </w:r>
      <w:r>
        <w:rPr>
          <w:rFonts w:ascii="Arial" w:hAnsi="Arial" w:cs="Arial"/>
          <w:sz w:val="24"/>
          <w:szCs w:val="24"/>
        </w:rPr>
        <w:t xml:space="preserve"> </w:t>
      </w:r>
    </w:p>
    <w:p w:rsidR="00010E3C" w:rsidRPr="00010E3C" w:rsidRDefault="00010E3C" w:rsidP="009D7A5A">
      <w:pPr>
        <w:spacing w:line="480" w:lineRule="auto"/>
        <w:rPr>
          <w:rFonts w:ascii="Arial" w:hAnsi="Arial" w:cs="Arial"/>
          <w:b/>
          <w:sz w:val="24"/>
          <w:szCs w:val="24"/>
        </w:rPr>
      </w:pPr>
    </w:p>
    <w:p w:rsidR="009D7A5A" w:rsidRPr="00E914E7" w:rsidRDefault="009D7A5A" w:rsidP="009D7A5A">
      <w:pPr>
        <w:spacing w:line="480" w:lineRule="auto"/>
        <w:rPr>
          <w:rFonts w:ascii="Arial" w:hAnsi="Arial" w:cs="Arial"/>
          <w:b/>
          <w:sz w:val="24"/>
          <w:szCs w:val="24"/>
        </w:rPr>
      </w:pPr>
      <w:r>
        <w:rPr>
          <w:rFonts w:ascii="Arial" w:hAnsi="Arial" w:cs="Arial"/>
          <w:b/>
          <w:sz w:val="24"/>
          <w:szCs w:val="24"/>
        </w:rPr>
        <w:t>Cell transfection</w:t>
      </w:r>
    </w:p>
    <w:p w:rsidR="009D7A5A" w:rsidRDefault="00123538" w:rsidP="009D7A5A">
      <w:pPr>
        <w:spacing w:line="480" w:lineRule="auto"/>
        <w:rPr>
          <w:rFonts w:ascii="Arial" w:hAnsi="Arial" w:cs="Arial"/>
          <w:sz w:val="24"/>
          <w:szCs w:val="24"/>
        </w:rPr>
      </w:pPr>
      <w:r>
        <w:rPr>
          <w:rFonts w:ascii="Arial" w:hAnsi="Arial" w:cs="Arial"/>
          <w:sz w:val="24"/>
          <w:szCs w:val="24"/>
        </w:rPr>
        <w:t xml:space="preserve">shCD73 </w:t>
      </w:r>
      <w:r w:rsidR="009D7A5A">
        <w:rPr>
          <w:rFonts w:ascii="Arial" w:hAnsi="Arial" w:cs="Arial"/>
          <w:sz w:val="24"/>
          <w:szCs w:val="24"/>
        </w:rPr>
        <w:t xml:space="preserve">Oligos were cloned into the </w:t>
      </w:r>
      <w:r w:rsidR="00606B4D">
        <w:rPr>
          <w:rFonts w:ascii="Arial" w:hAnsi="Arial" w:cs="Arial"/>
          <w:sz w:val="24"/>
          <w:szCs w:val="24"/>
        </w:rPr>
        <w:t>pLVX-Puro</w:t>
      </w:r>
      <w:r w:rsidR="009D7A5A">
        <w:rPr>
          <w:rFonts w:ascii="Arial" w:hAnsi="Arial" w:cs="Arial"/>
          <w:sz w:val="24"/>
          <w:szCs w:val="24"/>
        </w:rPr>
        <w:t xml:space="preserve"> vector (GeneChem, Shanghai). </w:t>
      </w:r>
      <w:r w:rsidR="009D7A5A" w:rsidRPr="00E914E7">
        <w:rPr>
          <w:rFonts w:ascii="Arial" w:hAnsi="Arial" w:cs="Arial" w:hint="eastAsia"/>
          <w:sz w:val="24"/>
          <w:szCs w:val="24"/>
        </w:rPr>
        <w:t>L</w:t>
      </w:r>
      <w:r w:rsidR="009D7A5A" w:rsidRPr="00E914E7">
        <w:rPr>
          <w:rFonts w:ascii="Arial" w:hAnsi="Arial" w:cs="Arial"/>
          <w:sz w:val="24"/>
          <w:szCs w:val="24"/>
        </w:rPr>
        <w:t>entivirus was generated using the packaging cell line HEK293T, purchased from the cell bank at the Institute of Biochemistry and Cell Biology, China Academy of Science (Shanghai, China) and cultured as described previously</w:t>
      </w:r>
      <w:r w:rsidR="009D7A5A">
        <w:rPr>
          <w:rFonts w:ascii="Arial" w:eastAsiaTheme="minorEastAsia" w:hAnsi="Arial" w:cs="Arial"/>
          <w:color w:val="080000"/>
          <w:kern w:val="0"/>
          <w:sz w:val="24"/>
          <w:szCs w:val="24"/>
        </w:rPr>
        <w:t>[1]</w:t>
      </w:r>
      <w:r w:rsidR="009D7A5A">
        <w:rPr>
          <w:rFonts w:ascii="Arial" w:hAnsi="Arial" w:cs="Arial" w:hint="eastAsia"/>
          <w:sz w:val="24"/>
          <w:szCs w:val="24"/>
        </w:rPr>
        <w:t>.</w:t>
      </w:r>
      <w:r w:rsidR="009D7A5A">
        <w:rPr>
          <w:rFonts w:ascii="Arial" w:hAnsi="Arial" w:cs="Arial"/>
          <w:sz w:val="24"/>
          <w:szCs w:val="24"/>
        </w:rPr>
        <w:t xml:space="preserve"> </w:t>
      </w:r>
      <w:r w:rsidR="009D7A5A" w:rsidRPr="00E914E7">
        <w:rPr>
          <w:rFonts w:ascii="Arial" w:hAnsi="Arial" w:cs="Arial"/>
          <w:sz w:val="24"/>
          <w:szCs w:val="24"/>
        </w:rPr>
        <w:t xml:space="preserve">The viral supernatant was harvested 48 h post-transfection. After passing through 0.45 μM syringe filters, an appropriate amount of viruses was used to infect target cells in the presence of 8 μg/ml polybrene. The sequences of </w:t>
      </w:r>
      <w:r>
        <w:rPr>
          <w:rFonts w:ascii="Arial" w:hAnsi="Arial" w:cs="Arial"/>
          <w:sz w:val="24"/>
          <w:szCs w:val="24"/>
        </w:rPr>
        <w:t xml:space="preserve">shCD73-1 was </w:t>
      </w:r>
      <w:r w:rsidR="009D7A5A" w:rsidRPr="00E914E7">
        <w:rPr>
          <w:rFonts w:ascii="Arial" w:hAnsi="Arial" w:cs="Arial"/>
          <w:sz w:val="24"/>
          <w:szCs w:val="24"/>
        </w:rPr>
        <w:t>5′-</w:t>
      </w:r>
      <w:r w:rsidR="009D7A5A" w:rsidRPr="009D5655">
        <w:rPr>
          <w:rFonts w:ascii="Arial" w:hAnsi="Arial" w:cs="Arial"/>
          <w:sz w:val="24"/>
          <w:szCs w:val="24"/>
        </w:rPr>
        <w:t>CCTAGGCTATCTGAAGATC</w:t>
      </w:r>
      <w:r w:rsidR="00716C3F">
        <w:rPr>
          <w:rFonts w:ascii="Arial" w:hAnsi="Arial" w:cs="Arial"/>
          <w:sz w:val="24"/>
          <w:szCs w:val="24"/>
        </w:rPr>
        <w:t>-3′</w:t>
      </w:r>
      <w:r w:rsidR="00716C3F">
        <w:rPr>
          <w:rFonts w:ascii="Arial" w:hAnsi="Arial" w:cs="Arial" w:hint="eastAsia"/>
          <w:sz w:val="24"/>
          <w:szCs w:val="24"/>
        </w:rPr>
        <w:t>,</w:t>
      </w:r>
      <w:r w:rsidR="00716C3F">
        <w:rPr>
          <w:rFonts w:ascii="Arial" w:hAnsi="Arial" w:cs="Arial"/>
          <w:sz w:val="24"/>
          <w:szCs w:val="24"/>
        </w:rPr>
        <w:t xml:space="preserve"> and </w:t>
      </w:r>
      <w:r>
        <w:rPr>
          <w:rFonts w:ascii="Arial" w:hAnsi="Arial" w:cs="Arial"/>
          <w:sz w:val="24"/>
          <w:szCs w:val="24"/>
        </w:rPr>
        <w:t>shCD73-2 was</w:t>
      </w:r>
      <w:r w:rsidR="00716C3F">
        <w:rPr>
          <w:rFonts w:ascii="Arial" w:hAnsi="Arial" w:cs="Arial"/>
          <w:sz w:val="24"/>
          <w:szCs w:val="24"/>
        </w:rPr>
        <w:t xml:space="preserve"> </w:t>
      </w:r>
      <w:r w:rsidR="005F5781" w:rsidRPr="00E914E7">
        <w:rPr>
          <w:rFonts w:ascii="Arial" w:hAnsi="Arial" w:cs="Arial"/>
          <w:sz w:val="24"/>
          <w:szCs w:val="24"/>
        </w:rPr>
        <w:t>5′-</w:t>
      </w:r>
      <w:r w:rsidR="005F5781" w:rsidRPr="005F5781">
        <w:rPr>
          <w:rFonts w:ascii="Arial" w:hAnsi="Arial" w:cs="Arial"/>
          <w:sz w:val="24"/>
          <w:szCs w:val="24"/>
        </w:rPr>
        <w:lastRenderedPageBreak/>
        <w:t>AGCAGCATTCCTGAAGATC</w:t>
      </w:r>
      <w:r w:rsidR="005F5781">
        <w:rPr>
          <w:rFonts w:ascii="Arial" w:hAnsi="Arial" w:cs="Arial" w:hint="eastAsia"/>
          <w:sz w:val="24"/>
          <w:szCs w:val="24"/>
        </w:rPr>
        <w:t>-</w:t>
      </w:r>
      <w:r w:rsidR="005F5781">
        <w:rPr>
          <w:rFonts w:ascii="Arial" w:hAnsi="Arial" w:cs="Arial"/>
          <w:sz w:val="24"/>
          <w:szCs w:val="24"/>
        </w:rPr>
        <w:t>3’</w:t>
      </w:r>
      <w:r>
        <w:rPr>
          <w:rFonts w:ascii="Arial" w:hAnsi="Arial" w:cs="Arial"/>
          <w:sz w:val="24"/>
          <w:szCs w:val="24"/>
        </w:rPr>
        <w:t>.</w:t>
      </w:r>
      <w:r w:rsidR="009D7A5A" w:rsidRPr="00E914E7">
        <w:rPr>
          <w:rFonts w:ascii="Arial" w:hAnsi="Arial" w:cs="Arial"/>
          <w:sz w:val="24"/>
          <w:szCs w:val="24"/>
        </w:rPr>
        <w:t xml:space="preserve"> For CD73 overexpression, an expression plasmid pLVX-CD73 was designed and synthesized by </w:t>
      </w:r>
      <w:r w:rsidR="009D7A5A" w:rsidRPr="003739E9">
        <w:rPr>
          <w:rFonts w:ascii="Arial" w:hAnsi="Arial" w:cs="Arial"/>
          <w:sz w:val="24"/>
          <w:szCs w:val="24"/>
        </w:rPr>
        <w:t>Genechem</w:t>
      </w:r>
      <w:r w:rsidR="009D7A5A" w:rsidRPr="00E914E7">
        <w:rPr>
          <w:rFonts w:ascii="Arial" w:hAnsi="Arial" w:cs="Arial"/>
          <w:sz w:val="24"/>
          <w:szCs w:val="24"/>
        </w:rPr>
        <w:t xml:space="preserve"> lab (Shanghai, China). Cells infected with viruses underwent selection with 1 μg/ml of puromycin.</w:t>
      </w:r>
    </w:p>
    <w:p w:rsidR="009D7A5A" w:rsidRDefault="009D7A5A" w:rsidP="009D7A5A">
      <w:pPr>
        <w:spacing w:line="480" w:lineRule="auto"/>
        <w:rPr>
          <w:rFonts w:ascii="Arial" w:hAnsi="Arial" w:cs="Arial"/>
          <w:b/>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Antibodies and reagents</w:t>
      </w:r>
    </w:p>
    <w:p w:rsidR="009D7A5A" w:rsidRPr="00E914E7" w:rsidRDefault="009D7A5A" w:rsidP="009D7A5A">
      <w:pPr>
        <w:spacing w:line="480" w:lineRule="auto"/>
        <w:rPr>
          <w:rFonts w:ascii="Arial" w:hAnsi="Arial" w:cs="Arial"/>
          <w:sz w:val="24"/>
          <w:szCs w:val="24"/>
        </w:rPr>
      </w:pPr>
      <w:r w:rsidRPr="00E914E7">
        <w:rPr>
          <w:rFonts w:ascii="Arial" w:hAnsi="Arial" w:cs="Arial" w:hint="eastAsia"/>
          <w:sz w:val="24"/>
          <w:szCs w:val="24"/>
        </w:rPr>
        <w:t>T</w:t>
      </w:r>
      <w:r w:rsidRPr="00E914E7">
        <w:rPr>
          <w:rFonts w:ascii="Arial" w:hAnsi="Arial" w:cs="Arial"/>
          <w:sz w:val="24"/>
          <w:szCs w:val="24"/>
        </w:rPr>
        <w:t>he following antibodies were used in present study: anti-CD73 (Abcam), anti-E-Cadherin (Cell Signaling Technology, CST), anti-N-Cadherin (CST), anti-Vimentin (CST), anti-Twist (Abcam), anti-phospho-AKT (pAKT, at Ser473, Abcam), anti-AKT (Abcam), anti-phospho-GSK3β (pGSK3β, at Ser 9, Abcam), anti-GSK3β (Abcam), anti-Cyclin D1 (CCND1, CST), anti-Snail (Abcam), anti-Rap1 (Abcam), anti-p110α (Abcam), anti-p110β (Abcam), anti-Na</w:t>
      </w:r>
      <w:r w:rsidRPr="00E914E7">
        <w:rPr>
          <w:rFonts w:ascii="Arial" w:hAnsi="Arial" w:cs="Arial"/>
          <w:sz w:val="24"/>
          <w:szCs w:val="24"/>
          <w:vertAlign w:val="superscript"/>
        </w:rPr>
        <w:t>+</w:t>
      </w:r>
      <w:r w:rsidRPr="00E914E7">
        <w:rPr>
          <w:rFonts w:ascii="Arial" w:hAnsi="Arial" w:cs="Arial"/>
          <w:sz w:val="24"/>
          <w:szCs w:val="24"/>
        </w:rPr>
        <w:t>-K</w:t>
      </w:r>
      <w:r w:rsidRPr="00E914E7">
        <w:rPr>
          <w:rFonts w:ascii="Arial" w:hAnsi="Arial" w:cs="Arial"/>
          <w:sz w:val="24"/>
          <w:szCs w:val="24"/>
          <w:vertAlign w:val="superscript"/>
        </w:rPr>
        <w:t xml:space="preserve">+ </w:t>
      </w:r>
      <w:r w:rsidRPr="00E914E7">
        <w:rPr>
          <w:rFonts w:ascii="Arial" w:hAnsi="Arial" w:cs="Arial"/>
          <w:sz w:val="24"/>
          <w:szCs w:val="24"/>
        </w:rPr>
        <w:t xml:space="preserve">ATPase (Abcam), </w:t>
      </w:r>
      <w:r w:rsidR="00E846D1">
        <w:rPr>
          <w:rFonts w:ascii="Arial" w:hAnsi="Arial" w:cs="Arial"/>
          <w:sz w:val="24"/>
          <w:szCs w:val="24"/>
        </w:rPr>
        <w:t xml:space="preserve">FOXO3a (Abcam), </w:t>
      </w:r>
      <w:r w:rsidRPr="00E914E7">
        <w:rPr>
          <w:rFonts w:ascii="Arial" w:hAnsi="Arial" w:cs="Arial"/>
          <w:sz w:val="24"/>
          <w:szCs w:val="24"/>
        </w:rPr>
        <w:t xml:space="preserve">and anti-β-actin (Abcam). The following reagents were used in the present study: MK-2206 (Selleck), SC-79 (Selleck), adenosine (Sigma), α,β-methylene ADP (APCP, Sigma), DPCPX (Abcam), KW6002 (MedChemExpress, MCE), CVT6883 (BOC science), Reversine (Selleck), and CGS21680 (MCE).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Immunohistochemistry (IHC) staining and TMA evaluations</w:t>
      </w:r>
    </w:p>
    <w:p w:rsidR="009D7A5A" w:rsidRDefault="009D7A5A" w:rsidP="009D7A5A">
      <w:pPr>
        <w:autoSpaceDE w:val="0"/>
        <w:autoSpaceDN w:val="0"/>
        <w:adjustRightInd w:val="0"/>
        <w:spacing w:line="480" w:lineRule="auto"/>
        <w:rPr>
          <w:rFonts w:ascii="Arial" w:hAnsi="Arial" w:cs="Arial"/>
          <w:kern w:val="0"/>
          <w:sz w:val="24"/>
          <w:szCs w:val="24"/>
        </w:rPr>
      </w:pPr>
      <w:r w:rsidRPr="00E914E7">
        <w:rPr>
          <w:rFonts w:ascii="Arial" w:hAnsi="Arial" w:cs="Arial"/>
          <w:sz w:val="24"/>
          <w:szCs w:val="24"/>
        </w:rPr>
        <w:t>TMAs containing samples from 189 HCC patients were constructed as previously described</w:t>
      </w:r>
      <w:r>
        <w:rPr>
          <w:rFonts w:ascii="Arial" w:eastAsiaTheme="minorEastAsia" w:hAnsi="Arial" w:cs="Arial"/>
          <w:color w:val="080000"/>
          <w:kern w:val="0"/>
          <w:sz w:val="24"/>
          <w:szCs w:val="24"/>
        </w:rPr>
        <w:t>[2]</w:t>
      </w:r>
      <w:r w:rsidRPr="00E914E7">
        <w:rPr>
          <w:rFonts w:ascii="Arial" w:hAnsi="Arial" w:cs="Arial"/>
          <w:sz w:val="24"/>
          <w:szCs w:val="24"/>
        </w:rPr>
        <w:t xml:space="preserve">. </w:t>
      </w:r>
      <w:r w:rsidRPr="00E914E7">
        <w:rPr>
          <w:rFonts w:ascii="Arial" w:hAnsi="Arial" w:cs="Arial"/>
          <w:kern w:val="0"/>
          <w:sz w:val="24"/>
          <w:szCs w:val="24"/>
        </w:rPr>
        <w:t xml:space="preserve">Before primary antibodies were used on the arrays, the antibodies were titered against normal control tissues to determine the dilutions </w:t>
      </w:r>
      <w:r w:rsidRPr="00E914E7">
        <w:rPr>
          <w:rFonts w:ascii="Arial" w:hAnsi="Arial" w:cs="Arial"/>
          <w:kern w:val="0"/>
          <w:sz w:val="24"/>
          <w:szCs w:val="24"/>
        </w:rPr>
        <w:lastRenderedPageBreak/>
        <w:t xml:space="preserve">that rendered optimal sensitivity and specificity. Staining results were visualized by sequential incubations of TMAs with the components of the Envision-plus detection system (EnVision +/HRP/Mo, Dako) and 3,3′-diaminobenidine. Negative controls were treated in the same way except without adding the primary antibodies. </w:t>
      </w:r>
      <w:r w:rsidRPr="00E914E7">
        <w:rPr>
          <w:rFonts w:ascii="Arial" w:hAnsi="Arial" w:cs="Arial"/>
          <w:sz w:val="24"/>
          <w:szCs w:val="24"/>
        </w:rPr>
        <w:t>The immunoreactive score system was used to evaluate the staining of each sample as follows:</w:t>
      </w:r>
      <w:r w:rsidR="000E5B76">
        <w:rPr>
          <w:rFonts w:ascii="Arial" w:hAnsi="Arial" w:cs="Arial"/>
          <w:sz w:val="24"/>
          <w:szCs w:val="24"/>
        </w:rPr>
        <w:t xml:space="preserve"> staining extent score was on a scale of 0-4, corresponding to the percentage of immunoreactive tumor cells (0%, 1%-5%, 6%-25%, 26%-75%, and 76%-100%, respectively); while staining intensity was scored as negative (score=0), weak (score=1), moderate (score=2), and strong (score=3); immunoreactive score ranking from 0-12 was calculated by multiplying the staining extent score with the intensity score, resulting in a low (0-6) level or a high (8-12) level value for each specimen</w:t>
      </w:r>
      <w:r w:rsidRPr="00E914E7">
        <w:rPr>
          <w:rFonts w:ascii="Arial" w:hAnsi="Arial" w:cs="Arial"/>
          <w:sz w:val="24"/>
          <w:szCs w:val="24"/>
        </w:rPr>
        <w:t xml:space="preserve">. </w:t>
      </w:r>
      <w:r w:rsidRPr="00E914E7">
        <w:rPr>
          <w:rFonts w:ascii="Arial" w:hAnsi="Arial" w:cs="Arial"/>
          <w:kern w:val="0"/>
          <w:sz w:val="24"/>
          <w:szCs w:val="24"/>
        </w:rPr>
        <w:t xml:space="preserve">IHC staining was assessed by two independent pathologists with no prior knowledge of patient characteristics. Discrepancies were resolved by consensus. </w:t>
      </w:r>
    </w:p>
    <w:p w:rsidR="009D7A5A" w:rsidRDefault="009D7A5A" w:rsidP="009D7A5A">
      <w:pPr>
        <w:autoSpaceDE w:val="0"/>
        <w:autoSpaceDN w:val="0"/>
        <w:adjustRightInd w:val="0"/>
        <w:spacing w:line="480" w:lineRule="auto"/>
        <w:rPr>
          <w:rFonts w:ascii="Arial" w:hAnsi="Arial" w:cs="Arial"/>
          <w:kern w:val="0"/>
          <w:sz w:val="24"/>
          <w:szCs w:val="24"/>
        </w:rPr>
      </w:pPr>
    </w:p>
    <w:p w:rsidR="009D7A5A" w:rsidRPr="00CD0463" w:rsidRDefault="009D7A5A" w:rsidP="009D7A5A">
      <w:pPr>
        <w:autoSpaceDE w:val="0"/>
        <w:autoSpaceDN w:val="0"/>
        <w:adjustRightInd w:val="0"/>
        <w:spacing w:line="480" w:lineRule="auto"/>
        <w:rPr>
          <w:rFonts w:ascii="Arial" w:hAnsi="Arial" w:cs="Arial"/>
          <w:b/>
          <w:kern w:val="0"/>
          <w:sz w:val="24"/>
          <w:szCs w:val="24"/>
        </w:rPr>
      </w:pPr>
      <w:r w:rsidRPr="00CD0463">
        <w:rPr>
          <w:rFonts w:ascii="Arial" w:hAnsi="Arial" w:cs="Arial"/>
          <w:b/>
          <w:kern w:val="0"/>
          <w:sz w:val="24"/>
          <w:szCs w:val="24"/>
        </w:rPr>
        <w:t>Follow up</w:t>
      </w:r>
    </w:p>
    <w:p w:rsidR="009D7A5A" w:rsidRPr="00E914E7" w:rsidRDefault="009D7A5A" w:rsidP="009D7A5A">
      <w:pPr>
        <w:autoSpaceDE w:val="0"/>
        <w:autoSpaceDN w:val="0"/>
        <w:adjustRightInd w:val="0"/>
        <w:spacing w:line="480" w:lineRule="auto"/>
        <w:rPr>
          <w:rFonts w:ascii="Arial" w:hAnsi="Arial" w:cs="Arial"/>
          <w:kern w:val="0"/>
          <w:sz w:val="24"/>
          <w:szCs w:val="24"/>
        </w:rPr>
      </w:pPr>
      <w:r w:rsidRPr="00E914E7">
        <w:rPr>
          <w:rFonts w:ascii="Arial" w:hAnsi="Arial" w:cs="Arial"/>
          <w:sz w:val="24"/>
          <w:szCs w:val="24"/>
        </w:rPr>
        <w:t>Post-treatment monitoring was performed as described previously</w:t>
      </w:r>
      <w:r>
        <w:rPr>
          <w:rFonts w:ascii="Arial" w:eastAsiaTheme="minorEastAsia" w:hAnsi="Arial" w:cs="Arial"/>
          <w:color w:val="080000"/>
          <w:kern w:val="0"/>
          <w:sz w:val="24"/>
          <w:szCs w:val="24"/>
        </w:rPr>
        <w:t>[2]</w:t>
      </w:r>
      <w:r w:rsidRPr="00E914E7">
        <w:rPr>
          <w:rFonts w:ascii="Arial" w:hAnsi="Arial" w:cs="Arial"/>
          <w:sz w:val="24"/>
          <w:szCs w:val="24"/>
        </w:rPr>
        <w:t>. Briefly, patients were followed up every month during the first 6 months post-treatment and every 3 to 4 months thereafter. All patients were monitored by abdominal ultrasonography and chest X-ray every 1 to 6 months and by computed tomography scans every 6 months. Bone scans or magnetic resonance imaging scans were performed if localized bone pain was reported.</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 xml:space="preserve">RT-PCR </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 xml:space="preserve">Total RNA was extracted using </w:t>
      </w:r>
      <w:r w:rsidR="00EF679D" w:rsidRPr="00E914E7">
        <w:rPr>
          <w:rFonts w:ascii="Arial" w:hAnsi="Arial" w:cs="Arial"/>
          <w:sz w:val="24"/>
          <w:szCs w:val="24"/>
        </w:rPr>
        <w:t>an</w:t>
      </w:r>
      <w:r w:rsidRPr="00E914E7">
        <w:rPr>
          <w:rFonts w:ascii="Arial" w:hAnsi="Arial" w:cs="Arial"/>
          <w:sz w:val="24"/>
          <w:szCs w:val="24"/>
        </w:rPr>
        <w:t xml:space="preserve"> RNeasy mini kit (Qiagen, Germany) and cDNA was synthesized using the Quantitect Reverse Transcription Kit (Qiagen) according to the manufacturer’s instructions. Target genes were quantified using FastStart Universal SYBR Green Master (Roche Diagnostics, Germany) and DNA amplification was performed using a LightCycler 480 (Roche Diagnostics, Germany). The relative quantities of target gene mRNAs compared to an internal control were determined using the ΔC</w:t>
      </w:r>
      <w:r w:rsidRPr="00E914E7">
        <w:rPr>
          <w:rFonts w:ascii="Arial" w:hAnsi="Arial" w:cs="Arial" w:hint="eastAsia"/>
          <w:sz w:val="24"/>
          <w:szCs w:val="24"/>
        </w:rPr>
        <w:t>q</w:t>
      </w:r>
      <w:r w:rsidRPr="00E914E7">
        <w:rPr>
          <w:rFonts w:ascii="Arial" w:hAnsi="Arial" w:cs="Arial"/>
          <w:sz w:val="24"/>
          <w:szCs w:val="24"/>
        </w:rPr>
        <w:t xml:space="preserve"> method. PCR conditions were as follows: 5 min at 95°C, followed by 40 cycles of 95°C for 10 s and 60°C for 60 s.</w:t>
      </w:r>
      <w:r w:rsidRPr="00E914E7">
        <w:rPr>
          <w:rFonts w:ascii="Arial" w:hAnsi="Arial" w:cs="Arial" w:hint="eastAsia"/>
          <w:sz w:val="24"/>
          <w:szCs w:val="24"/>
        </w:rPr>
        <w:t xml:space="preserve"> </w:t>
      </w:r>
      <w:r w:rsidRPr="00E914E7">
        <w:rPr>
          <w:rFonts w:ascii="Arial" w:hAnsi="Arial" w:cs="Arial"/>
          <w:sz w:val="24"/>
          <w:szCs w:val="24"/>
        </w:rPr>
        <w:t>GAPDH was used as an internal control. The following primers were used in the present study: CD73, 5′-</w:t>
      </w:r>
      <w:r w:rsidRPr="00E914E7">
        <w:rPr>
          <w:rFonts w:ascii="Arial" w:hAnsi="Arial" w:cs="Arial" w:hint="eastAsia"/>
          <w:sz w:val="24"/>
          <w:szCs w:val="24"/>
        </w:rPr>
        <w:t>TTAGGACCTGGCTTTGTG</w:t>
      </w:r>
      <w:r w:rsidRPr="00E914E7">
        <w:rPr>
          <w:rFonts w:ascii="Arial" w:hAnsi="Arial" w:cs="Arial"/>
          <w:sz w:val="24"/>
          <w:szCs w:val="24"/>
        </w:rPr>
        <w:t>-3′ (F), 5′-</w:t>
      </w:r>
      <w:r w:rsidRPr="00E914E7">
        <w:rPr>
          <w:rFonts w:ascii="Arial" w:hAnsi="Arial" w:cs="Arial" w:hint="eastAsia"/>
          <w:sz w:val="24"/>
          <w:szCs w:val="24"/>
        </w:rPr>
        <w:t>GTTGCTGACCCTGAGTAATC</w:t>
      </w:r>
      <w:r w:rsidRPr="00E914E7">
        <w:rPr>
          <w:rFonts w:ascii="Arial" w:hAnsi="Arial" w:cs="Arial"/>
          <w:sz w:val="24"/>
          <w:szCs w:val="24"/>
        </w:rPr>
        <w:t>-3′ (R); E-Cadherin, 5′-GTAGGAAGGCACAGCCTGTC-3′ (F), 5′-CAGCAAGAGCAGCAGAATCA-3′ (R); Vimentin, 5′-CTGCAGGACTCGGTGGACTT-3′ (F), 5′-GAAGCGGTCATTCAGCTCCT-3′ (R); N-Cadherin, 5′-GAGCATGCCAAGTTCCTGAT-3′ (F), 5′-TGGCCACTGTGCTTACTGAA-3′ (R); Fibronectin, 5′-ACCTGGAGGAGACCACATGA-3′ (F), 5′-CCATCATCCAGCCTTGGTAG-3′ (R); Twist, 5′-GCCGACGACAGCCTGAGCAA-3′ (F), 5′-CGCCACAGCCCGCAGACTTC-3′ (R); Snail, 5′-TCTGAGGCCAAGGATCTCCA-3′ (F), 5′-GTGGCTTCGGATGTGCATCT-3′ (R); CCND1, 5′-</w:t>
      </w:r>
      <w:r w:rsidRPr="00E914E7">
        <w:rPr>
          <w:rFonts w:ascii="Arial" w:hAnsi="Arial" w:cs="Arial"/>
          <w:sz w:val="24"/>
          <w:szCs w:val="24"/>
        </w:rPr>
        <w:lastRenderedPageBreak/>
        <w:t xml:space="preserve">GCTGTGCATCTACACCCGACA-3′ (F), 5′-TTGAGCTTGTTCACCAGGAG-3′ (R); and </w:t>
      </w:r>
      <w:r w:rsidRPr="00E914E7">
        <w:rPr>
          <w:rFonts w:ascii="Arial" w:eastAsia="黑体" w:hAnsi="Arial" w:cs="Arial"/>
          <w:sz w:val="24"/>
          <w:szCs w:val="24"/>
        </w:rPr>
        <w:t>β-actin, 5′-</w:t>
      </w:r>
      <w:r w:rsidRPr="00E914E7">
        <w:rPr>
          <w:rFonts w:ascii="Arial" w:hAnsi="Arial" w:cs="Arial"/>
          <w:sz w:val="24"/>
          <w:szCs w:val="24"/>
        </w:rPr>
        <w:t>CACCATTGGCAATGAGCGGTTC-3′ (F), 5′-AGGTCTTTGCGGATGTCCACGT-3′ (R).</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hint="eastAsia"/>
          <w:b/>
          <w:sz w:val="24"/>
          <w:szCs w:val="24"/>
        </w:rPr>
        <w:t>W</w:t>
      </w:r>
      <w:r w:rsidRPr="00E914E7">
        <w:rPr>
          <w:rFonts w:ascii="Arial" w:hAnsi="Arial" w:cs="Arial"/>
          <w:b/>
          <w:sz w:val="24"/>
          <w:szCs w:val="24"/>
        </w:rPr>
        <w:t xml:space="preserve">estern blot </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 xml:space="preserve">Cells were lysed in RIPA lysis buffer (Beyotime, China) containing PMSF (Roche, Germany). The supernatants were collected after centrifugation at 13000 x g at 4°C for 10 min. Protein concentration was determined using a BCA protein kit (Beyotime, China) and whole lysates were mixed with 4× SDS loading buffer (125 mmol/Tris-HCl, 4% SDS, 20% glycerol, 100 mmol/L DTT, and 0.2% bromophenol blue) at a ratio of 1:3. Protein samples (30 μg) were heated at 100°C for 15 min, separated by SDS-polyacrylamide gel electrophoresis, and transferred onto a polyvinylidene fluoride membrane. The membrane was incubated first with primary antibodies at 4°C, followed by another 2 h incubation with secondary antibody (1:5000). </w:t>
      </w:r>
      <w:r w:rsidRPr="00E914E7">
        <w:rPr>
          <w:rFonts w:ascii="Arial" w:eastAsia="黑体" w:hAnsi="Arial" w:cs="Arial"/>
          <w:sz w:val="24"/>
          <w:szCs w:val="24"/>
        </w:rPr>
        <w:t>β-a</w:t>
      </w:r>
      <w:r w:rsidRPr="00E914E7">
        <w:rPr>
          <w:rFonts w:ascii="Arial" w:hAnsi="Arial" w:cs="Arial"/>
          <w:sz w:val="24"/>
          <w:szCs w:val="24"/>
        </w:rPr>
        <w:t xml:space="preserve">ctin served as a loading control. The secondary antibodies were horseradish peroxidase-conjugated anti-rabbit antibodies (Jackson ImmunoResearch Labs, West Grove, PA, USA). Densitometric analysis of the western blots was performed with NIH Image J software (Bethesda, MD, USA). The protein levels were first normalized to </w:t>
      </w:r>
      <w:r w:rsidRPr="00E914E7">
        <w:rPr>
          <w:rFonts w:ascii="Arial" w:eastAsia="黑体" w:hAnsi="Arial" w:cs="Arial"/>
          <w:sz w:val="24"/>
          <w:szCs w:val="24"/>
        </w:rPr>
        <w:t>β-</w:t>
      </w:r>
      <w:r w:rsidRPr="00E914E7">
        <w:rPr>
          <w:rFonts w:ascii="Arial" w:hAnsi="Arial" w:cs="Arial"/>
          <w:sz w:val="24"/>
          <w:szCs w:val="24"/>
        </w:rPr>
        <w:t>actin and subsequently to the experimental controls.</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Circulating tumor cell (</w:t>
      </w:r>
      <w:r w:rsidRPr="00E914E7">
        <w:rPr>
          <w:rFonts w:ascii="Arial" w:hAnsi="Arial" w:cs="Arial" w:hint="eastAsia"/>
          <w:b/>
          <w:sz w:val="24"/>
          <w:szCs w:val="24"/>
        </w:rPr>
        <w:t>C</w:t>
      </w:r>
      <w:r w:rsidRPr="00E914E7">
        <w:rPr>
          <w:rFonts w:ascii="Arial" w:hAnsi="Arial" w:cs="Arial"/>
          <w:b/>
          <w:sz w:val="24"/>
          <w:szCs w:val="24"/>
        </w:rPr>
        <w:t>TC) load evaluation</w:t>
      </w:r>
    </w:p>
    <w:p w:rsidR="009D7A5A" w:rsidRPr="00E914E7" w:rsidRDefault="009D7A5A" w:rsidP="009D7A5A">
      <w:pPr>
        <w:spacing w:line="480" w:lineRule="auto"/>
        <w:rPr>
          <w:rFonts w:ascii="Arial" w:hAnsi="Arial" w:cs="Arial"/>
          <w:sz w:val="24"/>
          <w:szCs w:val="24"/>
        </w:rPr>
      </w:pPr>
      <w:r w:rsidRPr="00E914E7">
        <w:rPr>
          <w:rFonts w:ascii="Arial" w:hAnsi="Arial" w:cs="Arial" w:hint="eastAsia"/>
          <w:sz w:val="24"/>
          <w:szCs w:val="24"/>
        </w:rPr>
        <w:lastRenderedPageBreak/>
        <w:t>C</w:t>
      </w:r>
      <w:r w:rsidRPr="00E914E7">
        <w:rPr>
          <w:rFonts w:ascii="Arial" w:hAnsi="Arial" w:cs="Arial"/>
          <w:sz w:val="24"/>
          <w:szCs w:val="24"/>
        </w:rPr>
        <w:t>TC loads were determined using an optimized CTC detection platform established by our previous study</w:t>
      </w:r>
      <w:r>
        <w:rPr>
          <w:rFonts w:ascii="Arial" w:eastAsiaTheme="minorEastAsia" w:hAnsi="Arial" w:cs="Arial"/>
          <w:color w:val="080000"/>
          <w:kern w:val="0"/>
          <w:sz w:val="24"/>
          <w:szCs w:val="24"/>
        </w:rPr>
        <w:t>[3]</w:t>
      </w:r>
      <w:r w:rsidRPr="00E914E7">
        <w:rPr>
          <w:rFonts w:ascii="Arial" w:hAnsi="Arial" w:cs="Arial"/>
          <w:sz w:val="24"/>
          <w:szCs w:val="24"/>
        </w:rPr>
        <w:t>. A cutoff value of 0.8 was set to stratify patients into CTC</w:t>
      </w:r>
      <w:r w:rsidRPr="00E914E7">
        <w:rPr>
          <w:rFonts w:ascii="Arial" w:hAnsi="Arial" w:cs="Arial"/>
          <w:sz w:val="24"/>
          <w:szCs w:val="24"/>
          <w:vertAlign w:val="superscript"/>
        </w:rPr>
        <w:t xml:space="preserve">high </w:t>
      </w:r>
      <w:r w:rsidRPr="00E914E7">
        <w:rPr>
          <w:rFonts w:ascii="Arial" w:hAnsi="Arial" w:cs="Arial"/>
          <w:sz w:val="24"/>
          <w:szCs w:val="24"/>
        </w:rPr>
        <w:t>(CTC load &gt; 0.8/5 ml) and CTC</w:t>
      </w:r>
      <w:r w:rsidRPr="00E914E7">
        <w:rPr>
          <w:rFonts w:ascii="Arial" w:hAnsi="Arial" w:cs="Arial"/>
          <w:sz w:val="24"/>
          <w:szCs w:val="24"/>
          <w:vertAlign w:val="superscript"/>
        </w:rPr>
        <w:t xml:space="preserve">low </w:t>
      </w:r>
      <w:r w:rsidRPr="00E914E7">
        <w:rPr>
          <w:rFonts w:ascii="Arial" w:hAnsi="Arial" w:cs="Arial"/>
          <w:sz w:val="24"/>
          <w:szCs w:val="24"/>
        </w:rPr>
        <w:t>(CTC load ≤ 0.8/5 ml) subgroups according to our previous study</w:t>
      </w:r>
      <w:r>
        <w:rPr>
          <w:rFonts w:ascii="Arial" w:eastAsiaTheme="minorEastAsia" w:hAnsi="Arial" w:cs="Arial"/>
          <w:color w:val="080000"/>
          <w:kern w:val="0"/>
          <w:sz w:val="24"/>
          <w:szCs w:val="24"/>
        </w:rPr>
        <w:t>[3]</w:t>
      </w:r>
      <w:r w:rsidRPr="00E914E7">
        <w:rPr>
          <w:rFonts w:ascii="Arial" w:hAnsi="Arial" w:cs="Arial"/>
          <w:sz w:val="24"/>
          <w:szCs w:val="24"/>
        </w:rPr>
        <w:t xml:space="preserve">.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hint="eastAsia"/>
          <w:b/>
          <w:sz w:val="24"/>
          <w:szCs w:val="24"/>
        </w:rPr>
        <w:t>P</w:t>
      </w:r>
      <w:r w:rsidRPr="00E914E7">
        <w:rPr>
          <w:rFonts w:ascii="Arial" w:hAnsi="Arial" w:cs="Arial"/>
          <w:b/>
          <w:sz w:val="24"/>
          <w:szCs w:val="24"/>
        </w:rPr>
        <w:t>roliferation assays</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 xml:space="preserve">For CCK-8 assays, cells (2000 cells/100 μl per well) were seeded in a 96-well plate. Viable cells were assessed after 24, 48, and 72 h according to the manufacturer’s instructions. Briefly, cells were incubated in 10% CCK-8 (Dojindo, Japan) diluted in normal culture medium for an additional 2 h. The absorbance at a wavelength of 450 nm was used to estimate viable cells in each well. For colony formation assays, HCC cells were seeded at a density of </w:t>
      </w:r>
      <w:r w:rsidR="0050362D">
        <w:rPr>
          <w:rFonts w:ascii="Arial" w:hAnsi="Arial" w:cs="Arial"/>
          <w:sz w:val="24"/>
          <w:szCs w:val="24"/>
        </w:rPr>
        <w:t>1000</w:t>
      </w:r>
      <w:r w:rsidRPr="00E914E7">
        <w:rPr>
          <w:rFonts w:ascii="Arial" w:hAnsi="Arial" w:cs="Arial"/>
          <w:sz w:val="24"/>
          <w:szCs w:val="24"/>
        </w:rPr>
        <w:t xml:space="preserve"> cells per well in 6-well plates and maintained in complete medium containing 10% FBS (Gibco, USA) for 14 days. Colonies were fixed with methanol and stained with Giemsa staining solution (Sigma, USA). Visible colonies were photographed and counted manually.</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sz w:val="24"/>
          <w:szCs w:val="24"/>
        </w:rPr>
      </w:pPr>
      <w:r w:rsidRPr="00E914E7">
        <w:rPr>
          <w:rFonts w:ascii="Arial" w:hAnsi="Arial" w:cs="Arial"/>
          <w:b/>
          <w:sz w:val="24"/>
          <w:szCs w:val="24"/>
        </w:rPr>
        <w:t>Migration and invasion assays</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 xml:space="preserve">Transwell assays were performed to evaluate migration and invasion </w:t>
      </w:r>
      <w:r>
        <w:rPr>
          <w:rFonts w:ascii="Arial" w:hAnsi="Arial" w:cs="Arial"/>
          <w:sz w:val="24"/>
          <w:szCs w:val="24"/>
        </w:rPr>
        <w:t>activities</w:t>
      </w:r>
      <w:r w:rsidRPr="00E914E7">
        <w:rPr>
          <w:rFonts w:ascii="Arial" w:hAnsi="Arial" w:cs="Arial"/>
          <w:sz w:val="24"/>
          <w:szCs w:val="24"/>
        </w:rPr>
        <w:t>. Cells were collected and washed with 1xPBS. For migration assays, 5 x 10</w:t>
      </w:r>
      <w:r w:rsidRPr="00E914E7">
        <w:rPr>
          <w:rFonts w:ascii="Arial" w:hAnsi="Arial" w:cs="Arial"/>
          <w:sz w:val="24"/>
          <w:szCs w:val="24"/>
          <w:vertAlign w:val="superscript"/>
        </w:rPr>
        <w:t xml:space="preserve">4 </w:t>
      </w:r>
      <w:r w:rsidRPr="00E914E7">
        <w:rPr>
          <w:rFonts w:ascii="Arial" w:hAnsi="Arial" w:cs="Arial"/>
          <w:sz w:val="24"/>
          <w:szCs w:val="24"/>
        </w:rPr>
        <w:t xml:space="preserve">cells were seeded in the upper chamber with a non-coated membrane (24-well insert, pore size 8 μm; Corning, USA) with DMEM containing 1% FBS. For </w:t>
      </w:r>
      <w:r w:rsidRPr="00E914E7">
        <w:rPr>
          <w:rFonts w:ascii="Arial" w:hAnsi="Arial" w:cs="Arial"/>
          <w:sz w:val="24"/>
          <w:szCs w:val="24"/>
        </w:rPr>
        <w:lastRenderedPageBreak/>
        <w:t>invasion assays, 5 x 10</w:t>
      </w:r>
      <w:r w:rsidRPr="00E914E7">
        <w:rPr>
          <w:rFonts w:ascii="Arial" w:hAnsi="Arial" w:cs="Arial"/>
          <w:sz w:val="24"/>
          <w:szCs w:val="24"/>
          <w:vertAlign w:val="superscript"/>
        </w:rPr>
        <w:t>4</w:t>
      </w:r>
      <w:r w:rsidRPr="00E914E7">
        <w:rPr>
          <w:rFonts w:ascii="Arial" w:hAnsi="Arial" w:cs="Arial"/>
          <w:sz w:val="24"/>
          <w:szCs w:val="24"/>
        </w:rPr>
        <w:t xml:space="preserve"> cells were seeded in the upper chamber with a MatriGel-coated membrane (dilution: 1:8). In both assays, the lower chambers contained DMEM with 10% FBS as chemo-attractant. Cells were incubated at 37°C for 24 h. Cells that had migrated or invaded to the lower surface of membrane were fixed by 4% methanol, followed by staining with crystal violet. Stained cells were counted in 10 random 100X microscopic fields. All experiments were conducted in triplicate. The unpaired two-tail student’s t-test was used for comparison.</w:t>
      </w:r>
    </w:p>
    <w:p w:rsidR="009D7A5A" w:rsidRDefault="009D7A5A" w:rsidP="009D7A5A">
      <w:pPr>
        <w:spacing w:line="480" w:lineRule="auto"/>
        <w:rPr>
          <w:rFonts w:ascii="Arial" w:hAnsi="Arial" w:cs="Arial"/>
          <w:sz w:val="24"/>
          <w:szCs w:val="24"/>
        </w:rPr>
      </w:pPr>
    </w:p>
    <w:p w:rsidR="008F0352" w:rsidRPr="0066126A" w:rsidRDefault="008F0352" w:rsidP="009D7A5A">
      <w:pPr>
        <w:spacing w:line="480" w:lineRule="auto"/>
        <w:rPr>
          <w:rFonts w:ascii="Arial" w:hAnsi="Arial" w:cs="Arial"/>
          <w:b/>
          <w:color w:val="FF0000"/>
          <w:sz w:val="24"/>
          <w:szCs w:val="24"/>
        </w:rPr>
      </w:pPr>
      <w:r w:rsidRPr="0066126A">
        <w:rPr>
          <w:rFonts w:ascii="Arial" w:hAnsi="Arial" w:cs="Arial" w:hint="eastAsia"/>
          <w:b/>
          <w:color w:val="FF0000"/>
          <w:sz w:val="24"/>
          <w:szCs w:val="24"/>
        </w:rPr>
        <w:t>W</w:t>
      </w:r>
      <w:r w:rsidRPr="0066126A">
        <w:rPr>
          <w:rFonts w:ascii="Arial" w:hAnsi="Arial" w:cs="Arial"/>
          <w:b/>
          <w:color w:val="FF0000"/>
          <w:sz w:val="24"/>
          <w:szCs w:val="24"/>
        </w:rPr>
        <w:t>ound healing assay</w:t>
      </w:r>
    </w:p>
    <w:p w:rsidR="008F0352" w:rsidRPr="0066126A" w:rsidRDefault="00F14850" w:rsidP="009D7A5A">
      <w:pPr>
        <w:spacing w:line="480" w:lineRule="auto"/>
        <w:rPr>
          <w:rFonts w:ascii="Arial" w:hAnsi="Arial" w:cs="Arial"/>
          <w:color w:val="FF0000"/>
          <w:sz w:val="24"/>
          <w:szCs w:val="24"/>
        </w:rPr>
      </w:pPr>
      <w:r w:rsidRPr="0066126A">
        <w:rPr>
          <w:rFonts w:ascii="Arial" w:hAnsi="Arial" w:cs="Arial" w:hint="eastAsia"/>
          <w:color w:val="FF0000"/>
          <w:sz w:val="24"/>
          <w:szCs w:val="24"/>
        </w:rPr>
        <w:t>W</w:t>
      </w:r>
      <w:r w:rsidRPr="0066126A">
        <w:rPr>
          <w:rFonts w:ascii="Arial" w:hAnsi="Arial" w:cs="Arial"/>
          <w:color w:val="FF0000"/>
          <w:sz w:val="24"/>
          <w:szCs w:val="24"/>
        </w:rPr>
        <w:t xml:space="preserve">ounding healing assay was conducted as previous described[4]. Briefly, cells were washed with PBS for 3 times after, and cultured with DMEM supplemented with 1% FBS. All assays were performed in triplicate. </w:t>
      </w:r>
    </w:p>
    <w:p w:rsidR="008F0352" w:rsidRPr="00E914E7" w:rsidRDefault="008F0352"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hint="eastAsia"/>
          <w:b/>
          <w:sz w:val="24"/>
          <w:szCs w:val="24"/>
        </w:rPr>
        <w:t>F</w:t>
      </w:r>
      <w:r w:rsidRPr="00E914E7">
        <w:rPr>
          <w:rFonts w:ascii="Arial" w:hAnsi="Arial" w:cs="Arial"/>
          <w:b/>
          <w:sz w:val="24"/>
          <w:szCs w:val="24"/>
        </w:rPr>
        <w:t>low cytometry</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For cell cycle analysis, the FxCycle Violet Stain kit (Invitrogen, USA) was used according to the manufacturer’s instructions. Briefly, cells were harvested and fixed using 4% methanol. After three washes, the cell concentration was adjusted to 1 x 10</w:t>
      </w:r>
      <w:r w:rsidRPr="00E914E7">
        <w:rPr>
          <w:rFonts w:ascii="Arial" w:hAnsi="Arial" w:cs="Arial"/>
          <w:sz w:val="24"/>
          <w:szCs w:val="24"/>
          <w:vertAlign w:val="superscript"/>
        </w:rPr>
        <w:t xml:space="preserve">6 </w:t>
      </w:r>
      <w:r w:rsidRPr="00E914E7">
        <w:rPr>
          <w:rFonts w:ascii="Arial" w:hAnsi="Arial" w:cs="Arial"/>
          <w:sz w:val="24"/>
          <w:szCs w:val="24"/>
        </w:rPr>
        <w:t xml:space="preserve">cells per ml. Then, 1 μl of FxCycle Violet stain was added to each sample, and cells were incubated for 30 min at room temperature, protected from light. Cells were analyzed using an Aria II flow cytometer (BD, USA). For apoptosis analysis, the FITC Annexin V Apoptosis Detection Kit II </w:t>
      </w:r>
      <w:r w:rsidRPr="00E914E7">
        <w:rPr>
          <w:rFonts w:ascii="Arial" w:hAnsi="Arial" w:cs="Arial"/>
          <w:sz w:val="24"/>
          <w:szCs w:val="24"/>
        </w:rPr>
        <w:lastRenderedPageBreak/>
        <w:t>(BD, USA) was used according to the manufacturer’s instructions. Briefly, cells were harvested and washed with pre-cold PBS buffer three times. Then, 5 μl of FITC-labeled Annexin V and 5 μl of PI solution were added to each sample, and cells were incubated for 15 min at room temperature. Cells were analyzed using the Aria II flow cytometer.</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sz w:val="24"/>
          <w:szCs w:val="24"/>
        </w:rPr>
      </w:pPr>
      <w:r w:rsidRPr="00E914E7">
        <w:rPr>
          <w:rFonts w:ascii="Arial" w:hAnsi="Arial" w:cs="Arial"/>
          <w:b/>
          <w:sz w:val="24"/>
          <w:szCs w:val="24"/>
        </w:rPr>
        <w:t>Immunofluorescence</w:t>
      </w:r>
    </w:p>
    <w:p w:rsidR="009D7A5A" w:rsidRPr="00E914E7" w:rsidRDefault="005E0ED8" w:rsidP="009D7A5A">
      <w:pPr>
        <w:spacing w:line="480" w:lineRule="auto"/>
        <w:rPr>
          <w:rFonts w:ascii="Arial" w:hAnsi="Arial" w:cs="Arial"/>
          <w:sz w:val="24"/>
          <w:szCs w:val="24"/>
        </w:rPr>
      </w:pPr>
      <w:r w:rsidRPr="00EF1AA2">
        <w:rPr>
          <w:rFonts w:ascii="Arial" w:hAnsi="Arial" w:cs="Arial"/>
          <w:color w:val="FF0000"/>
          <w:sz w:val="24"/>
          <w:szCs w:val="24"/>
        </w:rPr>
        <w:t>For EMT-related markers staining, c</w:t>
      </w:r>
      <w:r w:rsidR="009D7A5A" w:rsidRPr="00EF1AA2">
        <w:rPr>
          <w:rFonts w:ascii="Arial" w:hAnsi="Arial" w:cs="Arial"/>
          <w:color w:val="FF0000"/>
          <w:sz w:val="24"/>
          <w:szCs w:val="24"/>
        </w:rPr>
        <w:t xml:space="preserve">ells were fixed in 4% </w:t>
      </w:r>
      <w:r w:rsidR="009D7A5A" w:rsidRPr="00EF1AA2">
        <w:rPr>
          <w:rFonts w:ascii="Arial" w:hAnsi="Arial" w:cs="Arial"/>
          <w:color w:val="FF0000"/>
          <w:kern w:val="0"/>
          <w:sz w:val="24"/>
          <w:szCs w:val="24"/>
        </w:rPr>
        <w:t xml:space="preserve">paraformaldehyde and blocked with 5% bovine serum albumin. Samples were incubated with phycoerythrin (PE)-conjugated mouse anti-human E-Cadherin (BD, USA), N-Cadherin (BD, USA) or Vimentin (BD, USA) overnight at 4°C. After washing with PBS three times, cells were counterstained with DAPI (Sigma-Aldrich, USA). </w:t>
      </w:r>
      <w:r w:rsidR="0046648B" w:rsidRPr="00EF1AA2">
        <w:rPr>
          <w:rFonts w:ascii="Arial" w:hAnsi="Arial" w:cs="Arial"/>
          <w:color w:val="FF0000"/>
          <w:kern w:val="0"/>
          <w:sz w:val="24"/>
          <w:szCs w:val="24"/>
        </w:rPr>
        <w:t>For Rap1 and P110β staining, cells were incubated with mouse anti-Rap1 (1:100, Abcam) and rabbit anti-P110β (1:100, Abcam) primary antibodies overnight at 4°C. After washing with PBS three times, cells were stained by PE-conjugated goat anti-rabbit (CST, 1:500) and FITC-conjugated goat anti-mouse secondary antibodies (Abcam, 1:500) for 2 hours at room temperature. Afterwards, cells were counterstained with DAPI (Sigma-Aldrich, USA).</w:t>
      </w:r>
      <w:r w:rsidR="00EF1AA2" w:rsidRPr="00EF1AA2">
        <w:rPr>
          <w:rFonts w:ascii="Arial" w:hAnsi="Arial" w:cs="Arial"/>
          <w:color w:val="FF0000"/>
          <w:kern w:val="0"/>
          <w:sz w:val="24"/>
          <w:szCs w:val="24"/>
        </w:rPr>
        <w:t xml:space="preserve"> For </w:t>
      </w:r>
      <w:r w:rsidR="00EF1AA2">
        <w:rPr>
          <w:rFonts w:ascii="Arial" w:hAnsi="Arial" w:cs="Arial"/>
          <w:color w:val="FF0000"/>
          <w:kern w:val="0"/>
          <w:sz w:val="24"/>
          <w:szCs w:val="24"/>
        </w:rPr>
        <w:t xml:space="preserve">cytoskeletal staining, cells were firstly </w:t>
      </w:r>
      <w:r w:rsidR="003B6AE8" w:rsidRPr="00EF1AA2">
        <w:rPr>
          <w:rFonts w:ascii="Arial" w:hAnsi="Arial" w:cs="Arial"/>
          <w:color w:val="FF0000"/>
          <w:sz w:val="24"/>
          <w:szCs w:val="24"/>
        </w:rPr>
        <w:t xml:space="preserve">fixed in 4% </w:t>
      </w:r>
      <w:r w:rsidR="003B6AE8" w:rsidRPr="00EF1AA2">
        <w:rPr>
          <w:rFonts w:ascii="Arial" w:hAnsi="Arial" w:cs="Arial"/>
          <w:color w:val="FF0000"/>
          <w:kern w:val="0"/>
          <w:sz w:val="24"/>
          <w:szCs w:val="24"/>
        </w:rPr>
        <w:t>paraformaldehyde and blocked with 5% bovine serum albumin</w:t>
      </w:r>
      <w:r w:rsidR="003B6AE8">
        <w:rPr>
          <w:rFonts w:ascii="Arial" w:hAnsi="Arial" w:cs="Arial"/>
          <w:color w:val="FF0000"/>
          <w:kern w:val="0"/>
          <w:sz w:val="24"/>
          <w:szCs w:val="24"/>
        </w:rPr>
        <w:t xml:space="preserve">. Then, cells were stained with 488-conjugated </w:t>
      </w:r>
      <w:r w:rsidR="003B6AE8" w:rsidRPr="003B6AE8">
        <w:rPr>
          <w:rFonts w:ascii="Arial" w:hAnsi="Arial" w:hint="eastAsia"/>
          <w:color w:val="FF0000"/>
          <w:sz w:val="24"/>
          <w:szCs w:val="24"/>
          <w:shd w:val="clear" w:color="auto" w:fill="FFFFFF"/>
        </w:rPr>
        <w:t>phalloidin</w:t>
      </w:r>
      <w:r w:rsidR="003B6AE8">
        <w:rPr>
          <w:rFonts w:ascii="Arial" w:hAnsi="Arial"/>
          <w:color w:val="FF0000"/>
          <w:sz w:val="24"/>
          <w:szCs w:val="24"/>
          <w:shd w:val="clear" w:color="auto" w:fill="FFFFFF"/>
        </w:rPr>
        <w:t xml:space="preserve"> (Abcam) for 1 hour at room temperature, and </w:t>
      </w:r>
      <w:r w:rsidR="003B6AE8" w:rsidRPr="00EF1AA2">
        <w:rPr>
          <w:rFonts w:ascii="Arial" w:hAnsi="Arial" w:cs="Arial"/>
          <w:color w:val="FF0000"/>
          <w:kern w:val="0"/>
          <w:sz w:val="24"/>
          <w:szCs w:val="24"/>
        </w:rPr>
        <w:t>cells were counterstained with DAPI</w:t>
      </w:r>
      <w:r w:rsidR="003B6AE8">
        <w:rPr>
          <w:rFonts w:ascii="Arial" w:hAnsi="Arial" w:cs="Arial"/>
          <w:color w:val="FF0000"/>
          <w:kern w:val="0"/>
          <w:sz w:val="24"/>
          <w:szCs w:val="24"/>
        </w:rPr>
        <w:t xml:space="preserve"> for final evaluations. </w:t>
      </w:r>
    </w:p>
    <w:p w:rsidR="009D7A5A" w:rsidRDefault="009D7A5A" w:rsidP="009D7A5A"/>
    <w:p w:rsidR="009D7A5A" w:rsidRPr="00E914E7" w:rsidRDefault="009D7A5A" w:rsidP="009D7A5A">
      <w:pPr>
        <w:spacing w:line="480" w:lineRule="auto"/>
        <w:rPr>
          <w:rFonts w:ascii="Arial" w:hAnsi="Arial" w:cs="Arial"/>
          <w:b/>
          <w:sz w:val="24"/>
          <w:szCs w:val="24"/>
        </w:rPr>
      </w:pPr>
      <w:r w:rsidRPr="00E914E7">
        <w:rPr>
          <w:rFonts w:ascii="Arial" w:hAnsi="Arial" w:cs="Arial" w:hint="eastAsia"/>
          <w:b/>
          <w:sz w:val="24"/>
          <w:szCs w:val="24"/>
        </w:rPr>
        <w:t>C</w:t>
      </w:r>
      <w:r w:rsidRPr="00E914E7">
        <w:rPr>
          <w:rFonts w:ascii="Arial" w:hAnsi="Arial" w:cs="Arial"/>
          <w:b/>
          <w:sz w:val="24"/>
          <w:szCs w:val="24"/>
        </w:rPr>
        <w:t>ytosolic and plasma membrane fractionation</w:t>
      </w:r>
    </w:p>
    <w:p w:rsidR="009D7A5A" w:rsidRPr="00E914E7" w:rsidRDefault="009D7A5A" w:rsidP="009D7A5A">
      <w:pPr>
        <w:spacing w:line="480" w:lineRule="auto"/>
        <w:rPr>
          <w:rFonts w:ascii="Arial" w:hAnsi="Arial" w:cs="Arial"/>
          <w:sz w:val="24"/>
          <w:szCs w:val="24"/>
        </w:rPr>
      </w:pPr>
      <w:r w:rsidRPr="00E914E7">
        <w:rPr>
          <w:rFonts w:ascii="Arial" w:hAnsi="Arial" w:cs="Arial" w:hint="eastAsia"/>
          <w:sz w:val="24"/>
          <w:szCs w:val="24"/>
        </w:rPr>
        <w:t>I</w:t>
      </w:r>
      <w:r w:rsidRPr="00E914E7">
        <w:rPr>
          <w:rFonts w:ascii="Arial" w:hAnsi="Arial" w:cs="Arial"/>
          <w:sz w:val="24"/>
          <w:szCs w:val="24"/>
        </w:rPr>
        <w:t>solation of cytosolic and membrane proteins was conducted according to previous studies</w:t>
      </w:r>
      <w:r>
        <w:rPr>
          <w:rFonts w:ascii="Arial" w:eastAsiaTheme="minorEastAsia" w:hAnsi="Arial" w:cs="Arial"/>
          <w:color w:val="080000"/>
          <w:kern w:val="0"/>
          <w:sz w:val="24"/>
          <w:szCs w:val="24"/>
        </w:rPr>
        <w:t>[4, 5]</w:t>
      </w:r>
      <w:r w:rsidRPr="00E914E7">
        <w:rPr>
          <w:rFonts w:ascii="Arial" w:hAnsi="Arial" w:cs="Arial"/>
          <w:sz w:val="24"/>
          <w:szCs w:val="24"/>
        </w:rPr>
        <w:t xml:space="preserve">. Briefly, cells were harvested and washed with pre-cold PBS buffer for three times and then resuspended on ice in a hypotonic buffer. Cells were sheared and lysates were centrifuged at a low speed. After discarding the precipitation (nuclei), the supernatant was re-centrifuged. Both supernatant (cytosolic fractions) and precipitation (membrane fractions) were harvested. Membrane fractions were washed twice with hypotonic buffer and resuspended on ice in lysis buffer containing 1% NP-40. Protein concentrations of both fractions were determined using Bradford assay (Beyotime, China).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Pr>
          <w:rFonts w:ascii="Arial" w:hAnsi="Arial" w:cs="Arial"/>
          <w:b/>
          <w:sz w:val="24"/>
          <w:szCs w:val="24"/>
        </w:rPr>
        <w:t xml:space="preserve">Rap1 knockdown and </w:t>
      </w:r>
      <w:r w:rsidRPr="00E914E7">
        <w:rPr>
          <w:rFonts w:ascii="Arial" w:hAnsi="Arial" w:cs="Arial"/>
          <w:b/>
          <w:sz w:val="24"/>
          <w:szCs w:val="24"/>
        </w:rPr>
        <w:t xml:space="preserve">Rap1-GTP quantification </w:t>
      </w:r>
    </w:p>
    <w:p w:rsidR="009D7A5A" w:rsidRPr="00E914E7" w:rsidRDefault="009D7A5A" w:rsidP="009D7A5A">
      <w:pPr>
        <w:spacing w:line="480" w:lineRule="auto"/>
        <w:rPr>
          <w:rFonts w:ascii="Arial" w:hAnsi="Arial" w:cs="Arial"/>
          <w:sz w:val="24"/>
          <w:szCs w:val="24"/>
        </w:rPr>
      </w:pPr>
      <w:r>
        <w:rPr>
          <w:rFonts w:ascii="Arial" w:hAnsi="Arial" w:cs="Arial"/>
          <w:sz w:val="24"/>
          <w:szCs w:val="24"/>
        </w:rPr>
        <w:t>Rap1 knockdown was conducted using a shRNA plasmid targeting human Rap1 (Santa Cruz, USA) according to manufacturer’s instructions. After indicated manipulations, c</w:t>
      </w:r>
      <w:r w:rsidRPr="00E914E7">
        <w:rPr>
          <w:rFonts w:ascii="Arial" w:hAnsi="Arial" w:cs="Arial"/>
          <w:sz w:val="24"/>
          <w:szCs w:val="24"/>
        </w:rPr>
        <w:t>ells were lysed on ice according to previous studies. After centrifugation, protein concentrations were determined with the BCA Protein Assay Kit (Beyotime, China). To quantify the active form of Rap1, Rap1</w:t>
      </w:r>
      <w:r w:rsidRPr="00E914E7">
        <w:rPr>
          <w:rFonts w:ascii="Arial" w:hAnsi="Arial" w:cs="Arial" w:hint="eastAsia"/>
          <w:sz w:val="24"/>
          <w:szCs w:val="24"/>
        </w:rPr>
        <w:t>-</w:t>
      </w:r>
      <w:r w:rsidRPr="00E914E7">
        <w:rPr>
          <w:rFonts w:ascii="Arial" w:hAnsi="Arial" w:cs="Arial"/>
          <w:sz w:val="24"/>
          <w:szCs w:val="24"/>
        </w:rPr>
        <w:t xml:space="preserve">GTP, the Active Rap1 Detection Kit (CST, USA) was used according to the manufacturer’s instructions, and WB was performed with anti-Rap1 antibodies (Abcam, USA).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In vivo xenograft experiments</w:t>
      </w:r>
    </w:p>
    <w:p w:rsidR="009D7A5A" w:rsidRPr="00E914E7" w:rsidRDefault="009D7A5A" w:rsidP="009D7A5A">
      <w:pPr>
        <w:autoSpaceDE w:val="0"/>
        <w:autoSpaceDN w:val="0"/>
        <w:adjustRightInd w:val="0"/>
        <w:spacing w:line="480" w:lineRule="auto"/>
        <w:rPr>
          <w:rFonts w:ascii="Arial" w:hAnsi="Arial" w:cs="Arial"/>
          <w:sz w:val="24"/>
          <w:szCs w:val="24"/>
        </w:rPr>
      </w:pPr>
      <w:r w:rsidRPr="00E914E7">
        <w:rPr>
          <w:rFonts w:ascii="Arial" w:hAnsi="Arial" w:cs="Arial" w:hint="eastAsia"/>
          <w:sz w:val="24"/>
          <w:szCs w:val="24"/>
        </w:rPr>
        <w:lastRenderedPageBreak/>
        <w:t>T</w:t>
      </w:r>
      <w:r w:rsidRPr="00E914E7">
        <w:rPr>
          <w:rFonts w:ascii="Arial" w:hAnsi="Arial" w:cs="Arial"/>
          <w:sz w:val="24"/>
          <w:szCs w:val="24"/>
        </w:rPr>
        <w:t>o minimize the influence of the immune system in our study, supra-immunodeficient NOD/SCID/γc(null) (NOG) mice, purchased from the Chinese Academy of Medical Science, were used for experiments. Establishment of orthotopic liver cancer model mice was conducted according to previous studies</w:t>
      </w:r>
      <w:r>
        <w:rPr>
          <w:rFonts w:ascii="Arial" w:eastAsiaTheme="minorEastAsia" w:hAnsi="Arial" w:cs="Arial"/>
          <w:color w:val="080000"/>
          <w:kern w:val="0"/>
          <w:sz w:val="24"/>
          <w:szCs w:val="24"/>
        </w:rPr>
        <w:t>[</w:t>
      </w:r>
      <w:r w:rsidR="00F14850">
        <w:rPr>
          <w:rFonts w:ascii="Arial" w:eastAsiaTheme="minorEastAsia" w:hAnsi="Arial" w:cs="Arial"/>
          <w:color w:val="080000"/>
          <w:kern w:val="0"/>
          <w:sz w:val="24"/>
          <w:szCs w:val="24"/>
        </w:rPr>
        <w:t>5</w:t>
      </w:r>
      <w:r>
        <w:rPr>
          <w:rFonts w:ascii="Arial" w:eastAsiaTheme="minorEastAsia" w:hAnsi="Arial" w:cs="Arial"/>
          <w:color w:val="080000"/>
          <w:kern w:val="0"/>
          <w:sz w:val="24"/>
          <w:szCs w:val="24"/>
        </w:rPr>
        <w:t>]</w:t>
      </w:r>
      <w:r w:rsidRPr="00E914E7">
        <w:rPr>
          <w:rFonts w:ascii="Arial" w:hAnsi="Arial" w:cs="Arial"/>
          <w:sz w:val="24"/>
          <w:szCs w:val="24"/>
        </w:rPr>
        <w:t>. In brief, 5 × 10</w:t>
      </w:r>
      <w:r w:rsidRPr="00E914E7">
        <w:rPr>
          <w:rFonts w:ascii="Arial" w:hAnsi="Arial" w:cs="Arial"/>
          <w:sz w:val="24"/>
          <w:szCs w:val="24"/>
          <w:vertAlign w:val="superscript"/>
        </w:rPr>
        <w:t>6</w:t>
      </w:r>
      <w:r w:rsidRPr="00E914E7">
        <w:rPr>
          <w:rFonts w:ascii="Arial" w:hAnsi="Arial" w:cs="Arial"/>
          <w:sz w:val="24"/>
          <w:szCs w:val="24"/>
        </w:rPr>
        <w:t xml:space="preserve"> cells were injected subcutaneously into the left upper flank regions of NOG mice. The subcutaneous tumor tissues were removed 6 weeks later, cut into pieces of the</w:t>
      </w:r>
      <w:r w:rsidRPr="00E914E7">
        <w:rPr>
          <w:rFonts w:ascii="Arial" w:hAnsi="Arial" w:cs="Arial" w:hint="eastAsia"/>
          <w:sz w:val="24"/>
          <w:szCs w:val="24"/>
        </w:rPr>
        <w:t xml:space="preserve"> </w:t>
      </w:r>
      <w:r w:rsidRPr="00E914E7">
        <w:rPr>
          <w:rFonts w:ascii="Arial" w:hAnsi="Arial" w:cs="Arial"/>
          <w:sz w:val="24"/>
          <w:szCs w:val="24"/>
        </w:rPr>
        <w:t>same size (1 mm</w:t>
      </w:r>
      <w:r w:rsidRPr="00E914E7">
        <w:rPr>
          <w:rFonts w:ascii="Arial" w:hAnsi="Arial" w:cs="Arial"/>
          <w:sz w:val="24"/>
          <w:szCs w:val="24"/>
          <w:vertAlign w:val="superscript"/>
        </w:rPr>
        <w:t>3</w:t>
      </w:r>
      <w:r w:rsidRPr="00E914E7">
        <w:rPr>
          <w:rFonts w:ascii="Arial" w:hAnsi="Arial" w:cs="Arial"/>
          <w:sz w:val="24"/>
          <w:szCs w:val="24"/>
        </w:rPr>
        <w:t>), and implanted into the liver of each group respectively (6 in each group). At 8 weeks after implantation, the mice</w:t>
      </w:r>
      <w:r w:rsidRPr="00E914E7">
        <w:rPr>
          <w:rFonts w:ascii="Arial" w:hAnsi="Arial" w:cs="Arial" w:hint="eastAsia"/>
          <w:sz w:val="24"/>
          <w:szCs w:val="24"/>
        </w:rPr>
        <w:t xml:space="preserve"> </w:t>
      </w:r>
      <w:r w:rsidRPr="00E914E7">
        <w:rPr>
          <w:rFonts w:ascii="Arial" w:hAnsi="Arial" w:cs="Arial"/>
          <w:sz w:val="24"/>
          <w:szCs w:val="24"/>
        </w:rPr>
        <w:t>were sacrificed. Tumor sizes were calculated using a vernier caliper as follows: tumor volume (mm</w:t>
      </w:r>
      <w:r w:rsidRPr="003739E9">
        <w:rPr>
          <w:rFonts w:ascii="Arial" w:hAnsi="Arial" w:cs="Arial"/>
          <w:sz w:val="24"/>
          <w:szCs w:val="24"/>
          <w:vertAlign w:val="superscript"/>
        </w:rPr>
        <w:t>3</w:t>
      </w:r>
      <w:r w:rsidRPr="00E914E7">
        <w:rPr>
          <w:rFonts w:ascii="Arial" w:hAnsi="Arial" w:cs="Arial"/>
          <w:sz w:val="24"/>
          <w:szCs w:val="24"/>
        </w:rPr>
        <w:t xml:space="preserve">) = (L × W2)/2, where L = long axis and W = short axis. </w:t>
      </w:r>
      <w:bookmarkStart w:id="0" w:name="_GoBack"/>
      <w:r w:rsidRPr="00B60683">
        <w:rPr>
          <w:rFonts w:ascii="Arial" w:hAnsi="Arial" w:cs="Arial"/>
          <w:color w:val="FF0000"/>
          <w:sz w:val="24"/>
          <w:szCs w:val="24"/>
        </w:rPr>
        <w:t xml:space="preserve">To evaluate lung metastasis incidence, all lung tissues from xenografts were harvested, fixed with 4% paraformaldehyde, embedded, </w:t>
      </w:r>
      <w:r w:rsidR="00B60683" w:rsidRPr="00B60683">
        <w:rPr>
          <w:rFonts w:ascii="Arial" w:hAnsi="Arial" w:cs="Arial"/>
          <w:color w:val="FF0000"/>
          <w:sz w:val="24"/>
          <w:szCs w:val="24"/>
        </w:rPr>
        <w:t>and received consecutive resection,</w:t>
      </w:r>
      <w:r w:rsidRPr="00B60683">
        <w:rPr>
          <w:rFonts w:ascii="Arial" w:hAnsi="Arial" w:cs="Arial"/>
          <w:color w:val="FF0000"/>
          <w:sz w:val="24"/>
          <w:szCs w:val="24"/>
        </w:rPr>
        <w:t xml:space="preserve"> </w:t>
      </w:r>
      <w:r w:rsidR="00B60683" w:rsidRPr="00B60683">
        <w:rPr>
          <w:rFonts w:ascii="Arial" w:hAnsi="Arial" w:cs="Arial"/>
          <w:color w:val="FF0000"/>
          <w:sz w:val="24"/>
          <w:szCs w:val="24"/>
        </w:rPr>
        <w:t>followed by HE staining.</w:t>
      </w:r>
      <w:r w:rsidRPr="00B60683">
        <w:rPr>
          <w:rFonts w:ascii="Arial" w:hAnsi="Arial" w:cs="Arial"/>
          <w:color w:val="FF0000"/>
          <w:sz w:val="24"/>
          <w:szCs w:val="24"/>
        </w:rPr>
        <w:t xml:space="preserve"> </w:t>
      </w:r>
      <w:r w:rsidR="00B60683" w:rsidRPr="00B60683">
        <w:rPr>
          <w:rFonts w:ascii="Arial" w:hAnsi="Arial" w:cs="Arial"/>
          <w:color w:val="FF0000"/>
          <w:sz w:val="24"/>
          <w:szCs w:val="24"/>
        </w:rPr>
        <w:t xml:space="preserve">Lung </w:t>
      </w:r>
      <w:r w:rsidRPr="00B60683">
        <w:rPr>
          <w:rFonts w:ascii="Arial" w:hAnsi="Arial" w:cs="Arial"/>
          <w:color w:val="FF0000"/>
          <w:sz w:val="24"/>
          <w:szCs w:val="24"/>
        </w:rPr>
        <w:t>metastases</w:t>
      </w:r>
      <w:r w:rsidR="00B60683" w:rsidRPr="00B60683">
        <w:rPr>
          <w:rFonts w:ascii="Arial" w:hAnsi="Arial" w:cs="Arial"/>
          <w:color w:val="FF0000"/>
          <w:sz w:val="24"/>
          <w:szCs w:val="24"/>
        </w:rPr>
        <w:t xml:space="preserve"> were carefully evaluated by </w:t>
      </w:r>
      <w:r w:rsidR="00B60683" w:rsidRPr="00B60683">
        <w:rPr>
          <w:rFonts w:ascii="Arial" w:hAnsi="Arial"/>
          <w:color w:val="FF0000"/>
          <w:sz w:val="24"/>
          <w:szCs w:val="24"/>
          <w:shd w:val="clear" w:color="auto" w:fill="FFFFFF"/>
        </w:rPr>
        <w:t>two</w:t>
      </w:r>
      <w:r w:rsidR="00B60683" w:rsidRPr="00B60683">
        <w:rPr>
          <w:rFonts w:ascii="Arial" w:hAnsi="Arial" w:hint="eastAsia"/>
          <w:color w:val="FF0000"/>
          <w:sz w:val="24"/>
          <w:szCs w:val="24"/>
          <w:shd w:val="clear" w:color="auto" w:fill="FFFFFF"/>
        </w:rPr>
        <w:t xml:space="preserve"> </w:t>
      </w:r>
      <w:r w:rsidR="00B60683" w:rsidRPr="00B60683">
        <w:rPr>
          <w:rFonts w:ascii="Arial" w:hAnsi="Arial"/>
          <w:color w:val="FF0000"/>
          <w:sz w:val="24"/>
          <w:szCs w:val="24"/>
          <w:shd w:val="clear" w:color="auto" w:fill="FFFFFF"/>
        </w:rPr>
        <w:t>senior histopathologists</w:t>
      </w:r>
      <w:r w:rsidRPr="00B60683">
        <w:rPr>
          <w:rFonts w:ascii="Arial" w:hAnsi="Arial" w:cs="Arial"/>
          <w:color w:val="FF0000"/>
          <w:sz w:val="24"/>
          <w:szCs w:val="24"/>
        </w:rPr>
        <w:t>.</w:t>
      </w:r>
      <w:r w:rsidRPr="00B60683">
        <w:rPr>
          <w:rFonts w:ascii="Arial" w:hAnsi="Arial" w:cs="Arial" w:hint="eastAsia"/>
          <w:color w:val="FF0000"/>
          <w:sz w:val="24"/>
          <w:szCs w:val="24"/>
        </w:rPr>
        <w:t xml:space="preserve"> </w:t>
      </w:r>
      <w:bookmarkEnd w:id="0"/>
    </w:p>
    <w:p w:rsidR="009D7A5A" w:rsidRPr="00E914E7" w:rsidRDefault="009D7A5A" w:rsidP="009D7A5A">
      <w:pPr>
        <w:autoSpaceDE w:val="0"/>
        <w:autoSpaceDN w:val="0"/>
        <w:adjustRightInd w:val="0"/>
        <w:spacing w:line="480" w:lineRule="auto"/>
        <w:rPr>
          <w:rFonts w:ascii="Arial" w:hAnsi="Arial" w:cs="Arial"/>
          <w:sz w:val="24"/>
          <w:szCs w:val="24"/>
        </w:rPr>
      </w:pPr>
      <w:r w:rsidRPr="00E914E7">
        <w:rPr>
          <w:rFonts w:ascii="Arial" w:hAnsi="Arial" w:cs="Arial"/>
          <w:sz w:val="24"/>
          <w:szCs w:val="24"/>
        </w:rPr>
        <w:t>For inhibitor experiments, the subcutaneous NOG mouse models were established as described. Once the xenograft size reached approximately 5 × 5 mm</w:t>
      </w:r>
      <w:r w:rsidRPr="00E914E7">
        <w:rPr>
          <w:rFonts w:ascii="Arial" w:hAnsi="Arial" w:cs="Arial"/>
          <w:sz w:val="24"/>
          <w:szCs w:val="24"/>
          <w:vertAlign w:val="superscript"/>
        </w:rPr>
        <w:t xml:space="preserve">3 </w:t>
      </w:r>
      <w:r w:rsidRPr="00E914E7">
        <w:rPr>
          <w:rFonts w:ascii="Arial" w:hAnsi="Arial" w:cs="Arial"/>
          <w:sz w:val="24"/>
          <w:szCs w:val="24"/>
        </w:rPr>
        <w:t xml:space="preserve">(length × width), the mice were randomly divided into four groups: (1) 0.05% DMSO control (administrated i.p. every other day); (2) APCP (15 mg/Kg, i.p. every other day); (3) KW6002 (10 mg/Kg, p.o. every other day); and (4) 15 mg/Kg APCP (i.p.) plus 10 mg/Kg KW6002 (p.o.) (n=6/group). Tumor growth was recorded for 5 weeks. </w:t>
      </w:r>
    </w:p>
    <w:p w:rsidR="009D7A5A" w:rsidRPr="00E914E7" w:rsidRDefault="009D7A5A" w:rsidP="009D7A5A">
      <w:pPr>
        <w:autoSpaceDE w:val="0"/>
        <w:autoSpaceDN w:val="0"/>
        <w:adjustRightInd w:val="0"/>
        <w:spacing w:line="480" w:lineRule="auto"/>
        <w:rPr>
          <w:rFonts w:ascii="Arial" w:hAnsi="Arial" w:cs="Arial"/>
          <w:sz w:val="24"/>
          <w:szCs w:val="24"/>
        </w:rPr>
      </w:pPr>
      <w:r w:rsidRPr="00E914E7">
        <w:rPr>
          <w:rFonts w:ascii="Arial" w:hAnsi="Arial" w:cs="Arial"/>
          <w:sz w:val="24"/>
          <w:szCs w:val="24"/>
        </w:rPr>
        <w:t xml:space="preserve">To evaluate the effects of inhibitor treatment on preventing metastasis, NOG </w:t>
      </w:r>
      <w:r w:rsidRPr="00E914E7">
        <w:rPr>
          <w:rFonts w:ascii="Arial" w:hAnsi="Arial" w:cs="Arial"/>
          <w:sz w:val="24"/>
          <w:szCs w:val="24"/>
        </w:rPr>
        <w:lastRenderedPageBreak/>
        <w:t>mice were injected intravenously (via tail veins) with 1 × 10</w:t>
      </w:r>
      <w:r w:rsidRPr="00E914E7">
        <w:rPr>
          <w:rFonts w:ascii="Arial" w:hAnsi="Arial" w:cs="Arial"/>
          <w:sz w:val="24"/>
          <w:szCs w:val="24"/>
          <w:vertAlign w:val="superscript"/>
        </w:rPr>
        <w:t>5</w:t>
      </w:r>
      <w:r w:rsidRPr="003739E9">
        <w:rPr>
          <w:rFonts w:ascii="Arial" w:hAnsi="Arial" w:cs="Arial"/>
          <w:sz w:val="24"/>
          <w:szCs w:val="24"/>
        </w:rPr>
        <w:t xml:space="preserve"> </w:t>
      </w:r>
      <w:r w:rsidRPr="00E914E7">
        <w:rPr>
          <w:rFonts w:ascii="Arial" w:hAnsi="Arial" w:cs="Arial"/>
          <w:sz w:val="24"/>
          <w:szCs w:val="24"/>
        </w:rPr>
        <w:t xml:space="preserve">HCCLM3 cells to establish lung metastasis models to exclude the influence of tumor growth in orthotopic models (Day 0). The mice were randomly divided into four groups and treated as described above. After 20 days, mice were sacrificed and lung tissues were harvested for metastasis evaluation as described.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Co-</w:t>
      </w:r>
      <w:bookmarkStart w:id="1" w:name="OLE_LINK131"/>
      <w:bookmarkStart w:id="2" w:name="OLE_LINK132"/>
      <w:r w:rsidRPr="00E914E7">
        <w:rPr>
          <w:rFonts w:ascii="Arial" w:hAnsi="Arial" w:cs="Arial"/>
          <w:b/>
          <w:sz w:val="24"/>
          <w:szCs w:val="24"/>
        </w:rPr>
        <w:t>immunoprecipitation</w:t>
      </w:r>
      <w:bookmarkEnd w:id="1"/>
      <w:bookmarkEnd w:id="2"/>
      <w:r w:rsidRPr="00E914E7">
        <w:rPr>
          <w:rFonts w:ascii="Arial" w:hAnsi="Arial" w:cs="Arial"/>
          <w:b/>
          <w:sz w:val="24"/>
          <w:szCs w:val="24"/>
        </w:rPr>
        <w:t xml:space="preserve"> (</w:t>
      </w:r>
      <w:r>
        <w:rPr>
          <w:rFonts w:ascii="Arial" w:hAnsi="Arial" w:cs="Arial"/>
          <w:b/>
          <w:sz w:val="24"/>
          <w:szCs w:val="24"/>
        </w:rPr>
        <w:t>c</w:t>
      </w:r>
      <w:r w:rsidRPr="00E914E7">
        <w:rPr>
          <w:rFonts w:ascii="Arial" w:hAnsi="Arial" w:cs="Arial"/>
          <w:b/>
          <w:sz w:val="24"/>
          <w:szCs w:val="24"/>
        </w:rPr>
        <w:t>o-IP)</w:t>
      </w:r>
    </w:p>
    <w:p w:rsidR="009D7A5A" w:rsidRPr="00E914E7" w:rsidRDefault="009D7A5A" w:rsidP="009D7A5A">
      <w:pPr>
        <w:spacing w:line="480" w:lineRule="auto"/>
        <w:rPr>
          <w:rFonts w:ascii="Arial" w:hAnsi="Arial" w:cs="Arial"/>
          <w:sz w:val="24"/>
          <w:szCs w:val="24"/>
        </w:rPr>
      </w:pPr>
      <w:r w:rsidRPr="00E914E7">
        <w:rPr>
          <w:rFonts w:ascii="Arial" w:hAnsi="Arial" w:cs="Arial"/>
          <w:sz w:val="24"/>
          <w:szCs w:val="24"/>
        </w:rPr>
        <w:t>Co-IP assay was performed according to previous studies</w:t>
      </w:r>
      <w:r>
        <w:rPr>
          <w:rFonts w:ascii="Arial" w:eastAsiaTheme="minorEastAsia" w:hAnsi="Arial" w:cs="Arial"/>
          <w:color w:val="080000"/>
          <w:kern w:val="0"/>
          <w:sz w:val="24"/>
          <w:szCs w:val="24"/>
        </w:rPr>
        <w:t>[</w:t>
      </w:r>
      <w:r w:rsidR="00F14850">
        <w:rPr>
          <w:rFonts w:ascii="Arial" w:eastAsiaTheme="minorEastAsia" w:hAnsi="Arial" w:cs="Arial"/>
          <w:color w:val="080000"/>
          <w:kern w:val="0"/>
          <w:sz w:val="24"/>
          <w:szCs w:val="24"/>
        </w:rPr>
        <w:t>6, 7</w:t>
      </w:r>
      <w:r>
        <w:rPr>
          <w:rFonts w:ascii="Arial" w:eastAsiaTheme="minorEastAsia" w:hAnsi="Arial" w:cs="Arial"/>
          <w:color w:val="080000"/>
          <w:kern w:val="0"/>
          <w:sz w:val="24"/>
          <w:szCs w:val="24"/>
        </w:rPr>
        <w:t>]</w:t>
      </w:r>
      <w:r w:rsidRPr="00E914E7">
        <w:rPr>
          <w:rFonts w:ascii="Arial" w:hAnsi="Arial" w:cs="Arial"/>
          <w:sz w:val="24"/>
          <w:szCs w:val="24"/>
        </w:rPr>
        <w:t>. Briefly, HEK-293T cells were transfected with expression plasmids. At 48 later, lysates were prepared using lysis buffer containing 20 mM Tris-HCl (pH 8.0), 150 mM NaCl, 0.5% NP-40, 2.5mM EDTA, and protease inhibitor mixture. Lysates were pre-cleared with protein A/G beads, and co-IP assays were performed with either HA</w:t>
      </w:r>
      <w:r>
        <w:rPr>
          <w:rFonts w:ascii="Arial" w:hAnsi="Arial" w:cs="Arial"/>
          <w:sz w:val="24"/>
          <w:szCs w:val="24"/>
        </w:rPr>
        <w:t xml:space="preserve"> (CST, USA)</w:t>
      </w:r>
      <w:r w:rsidRPr="00E914E7">
        <w:rPr>
          <w:rFonts w:ascii="Arial" w:hAnsi="Arial" w:cs="Arial"/>
          <w:sz w:val="24"/>
          <w:szCs w:val="24"/>
        </w:rPr>
        <w:t xml:space="preserve"> or Flag</w:t>
      </w:r>
      <w:r>
        <w:rPr>
          <w:rFonts w:ascii="Arial" w:hAnsi="Arial" w:cs="Arial"/>
          <w:sz w:val="24"/>
          <w:szCs w:val="24"/>
        </w:rPr>
        <w:t xml:space="preserve"> (CST, USA)</w:t>
      </w:r>
      <w:r w:rsidRPr="00E914E7">
        <w:rPr>
          <w:rFonts w:ascii="Arial" w:hAnsi="Arial" w:cs="Arial"/>
          <w:sz w:val="24"/>
          <w:szCs w:val="24"/>
        </w:rPr>
        <w:t xml:space="preserve"> antibodies.</w:t>
      </w:r>
      <w:r w:rsidRPr="00E914E7">
        <w:rPr>
          <w:rFonts w:ascii="Arial" w:hAnsi="Arial" w:cs="Arial" w:hint="eastAsia"/>
          <w:sz w:val="24"/>
          <w:szCs w:val="24"/>
        </w:rPr>
        <w:t xml:space="preserve"> </w:t>
      </w:r>
      <w:r w:rsidRPr="00E914E7">
        <w:rPr>
          <w:rFonts w:ascii="Arial" w:hAnsi="Arial" w:cs="Arial"/>
          <w:sz w:val="24"/>
          <w:szCs w:val="24"/>
        </w:rPr>
        <w:t xml:space="preserve">Endogenous Rap1 and P110β binding was evaluated according to a previous study. In brief, lysates were incubated with anti-Rap1 antibody (Abcam, USA) and protein A/G agarose gel overnight. After washing with RIPA buffer for 4–6 times, the proteins coupled to the gel were boiled in protein loading buffer, followed by WB analysis.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b/>
          <w:sz w:val="24"/>
          <w:szCs w:val="24"/>
        </w:rPr>
        <w:t>Cellular phosphoinositide measurement</w:t>
      </w:r>
    </w:p>
    <w:p w:rsidR="009D7A5A" w:rsidRPr="00E914E7" w:rsidRDefault="009D7A5A" w:rsidP="009D7A5A">
      <w:pPr>
        <w:spacing w:line="480" w:lineRule="auto"/>
        <w:rPr>
          <w:rFonts w:ascii="Arial" w:hAnsi="Arial" w:cs="Arial"/>
          <w:sz w:val="24"/>
          <w:szCs w:val="24"/>
        </w:rPr>
      </w:pPr>
      <w:r w:rsidRPr="00E914E7">
        <w:rPr>
          <w:rFonts w:ascii="Arial" w:hAnsi="Arial" w:cs="Arial" w:hint="eastAsia"/>
          <w:sz w:val="24"/>
          <w:szCs w:val="24"/>
        </w:rPr>
        <w:t>L</w:t>
      </w:r>
      <w:r w:rsidRPr="00E914E7">
        <w:rPr>
          <w:rFonts w:ascii="Arial" w:hAnsi="Arial" w:cs="Arial"/>
          <w:sz w:val="24"/>
          <w:szCs w:val="24"/>
        </w:rPr>
        <w:t xml:space="preserve">ipid extraction and cellular phosphoinositide measurement were conducted using </w:t>
      </w:r>
      <w:r>
        <w:rPr>
          <w:rFonts w:ascii="Arial" w:hAnsi="Arial" w:cs="Arial"/>
          <w:sz w:val="24"/>
          <w:szCs w:val="24"/>
        </w:rPr>
        <w:t>PI(3,4,5)P3 Mass ELISA and PI(4,5)P2 Mass ELISA Kit (</w:t>
      </w:r>
      <w:r w:rsidRPr="00E914E7">
        <w:rPr>
          <w:rFonts w:ascii="Arial" w:hAnsi="Arial" w:cs="Arial"/>
          <w:sz w:val="24"/>
          <w:szCs w:val="24"/>
        </w:rPr>
        <w:t>Echelon Biosciences</w:t>
      </w:r>
      <w:r>
        <w:rPr>
          <w:rFonts w:ascii="Arial" w:hAnsi="Arial" w:cs="Arial"/>
          <w:sz w:val="24"/>
          <w:szCs w:val="24"/>
        </w:rPr>
        <w:t>)</w:t>
      </w:r>
      <w:r w:rsidRPr="00E914E7">
        <w:rPr>
          <w:rFonts w:ascii="Arial" w:hAnsi="Arial" w:cs="Arial"/>
          <w:sz w:val="24"/>
          <w:szCs w:val="24"/>
        </w:rPr>
        <w:t xml:space="preserve"> according to manufacturer’s instructions. Recovered lipids were </w:t>
      </w:r>
      <w:r w:rsidRPr="00E914E7">
        <w:rPr>
          <w:rFonts w:ascii="Arial" w:hAnsi="Arial" w:cs="Arial"/>
          <w:sz w:val="24"/>
          <w:szCs w:val="24"/>
        </w:rPr>
        <w:lastRenderedPageBreak/>
        <w:t>dried, followed by competitive ELISA analysis. PI(4,5)P</w:t>
      </w:r>
      <w:r w:rsidRPr="00E914E7">
        <w:rPr>
          <w:rFonts w:ascii="Arial" w:hAnsi="Arial" w:cs="Arial"/>
          <w:sz w:val="24"/>
          <w:szCs w:val="24"/>
          <w:vertAlign w:val="subscript"/>
        </w:rPr>
        <w:t>2</w:t>
      </w:r>
      <w:r w:rsidRPr="003739E9">
        <w:rPr>
          <w:rFonts w:ascii="Arial" w:hAnsi="Arial" w:cs="Arial"/>
          <w:sz w:val="24"/>
          <w:szCs w:val="24"/>
        </w:rPr>
        <w:t xml:space="preserve"> </w:t>
      </w:r>
      <w:r w:rsidRPr="00E914E7">
        <w:rPr>
          <w:rFonts w:ascii="Arial" w:hAnsi="Arial" w:cs="Arial"/>
          <w:sz w:val="24"/>
          <w:szCs w:val="24"/>
        </w:rPr>
        <w:t xml:space="preserve">levels were used as a control for total phosphoinositides as it is the most abundant phosphoinositide and it is not affected by PI3K activity. </w:t>
      </w:r>
    </w:p>
    <w:p w:rsidR="009D7A5A" w:rsidRPr="00E914E7" w:rsidRDefault="009D7A5A" w:rsidP="009D7A5A">
      <w:pPr>
        <w:spacing w:line="480" w:lineRule="auto"/>
        <w:rPr>
          <w:rFonts w:ascii="Arial" w:hAnsi="Arial" w:cs="Arial"/>
          <w:sz w:val="24"/>
          <w:szCs w:val="24"/>
        </w:rPr>
      </w:pPr>
    </w:p>
    <w:p w:rsidR="009D7A5A" w:rsidRPr="00E914E7" w:rsidRDefault="009D7A5A" w:rsidP="009D7A5A">
      <w:pPr>
        <w:spacing w:line="480" w:lineRule="auto"/>
        <w:rPr>
          <w:rFonts w:ascii="Arial" w:hAnsi="Arial" w:cs="Arial"/>
          <w:b/>
          <w:sz w:val="24"/>
          <w:szCs w:val="24"/>
        </w:rPr>
      </w:pPr>
      <w:r w:rsidRPr="00E914E7">
        <w:rPr>
          <w:rFonts w:ascii="Arial" w:hAnsi="Arial" w:cs="Arial" w:hint="eastAsia"/>
          <w:b/>
          <w:sz w:val="24"/>
          <w:szCs w:val="24"/>
        </w:rPr>
        <w:t>L</w:t>
      </w:r>
      <w:r w:rsidRPr="00E914E7">
        <w:rPr>
          <w:rFonts w:ascii="Arial" w:hAnsi="Arial" w:cs="Arial"/>
          <w:b/>
          <w:sz w:val="24"/>
          <w:szCs w:val="24"/>
        </w:rPr>
        <w:t>uciferase reporter assay</w:t>
      </w:r>
    </w:p>
    <w:p w:rsidR="009D7A5A" w:rsidRDefault="009D7A5A" w:rsidP="008776EA">
      <w:pPr>
        <w:autoSpaceDE w:val="0"/>
        <w:autoSpaceDN w:val="0"/>
        <w:adjustRightInd w:val="0"/>
        <w:spacing w:line="480" w:lineRule="auto"/>
        <w:rPr>
          <w:rFonts w:ascii="Arial" w:hAnsi="Arial" w:cs="Arial"/>
          <w:sz w:val="24"/>
          <w:szCs w:val="24"/>
        </w:rPr>
      </w:pPr>
      <w:r w:rsidRPr="00E914E7">
        <w:rPr>
          <w:rFonts w:ascii="Arial" w:hAnsi="Arial" w:cs="Arial"/>
          <w:sz w:val="24"/>
          <w:szCs w:val="24"/>
        </w:rPr>
        <w:t xml:space="preserve">Interactions between miR-193b and CD73 in HCC were verified by luciferase assay according to previous studies. Briefly, HCCLM3 and Hep3b cells plated in 24-well plates were </w:t>
      </w:r>
      <w:r>
        <w:rPr>
          <w:rFonts w:ascii="Arial" w:hAnsi="Arial" w:cs="Arial"/>
          <w:sz w:val="24"/>
          <w:szCs w:val="24"/>
        </w:rPr>
        <w:t>co-</w:t>
      </w:r>
      <w:r w:rsidRPr="00E914E7">
        <w:rPr>
          <w:rFonts w:ascii="Arial" w:hAnsi="Arial" w:cs="Arial"/>
          <w:sz w:val="24"/>
          <w:szCs w:val="24"/>
        </w:rPr>
        <w:t>transfected</w:t>
      </w:r>
      <w:r>
        <w:rPr>
          <w:rFonts w:ascii="Arial" w:hAnsi="Arial" w:cs="Arial"/>
          <w:sz w:val="24"/>
          <w:szCs w:val="24"/>
        </w:rPr>
        <w:t xml:space="preserve"> with </w:t>
      </w:r>
      <w:r w:rsidRPr="00C422B7">
        <w:rPr>
          <w:rFonts w:ascii="Arial" w:hAnsi="Arial" w:cs="Arial"/>
          <w:sz w:val="24"/>
          <w:szCs w:val="24"/>
        </w:rPr>
        <w:t>psiCHECK-2-</w:t>
      </w:r>
      <w:r>
        <w:rPr>
          <w:rFonts w:ascii="Arial" w:hAnsi="Arial" w:cs="Arial"/>
          <w:sz w:val="24"/>
          <w:szCs w:val="24"/>
        </w:rPr>
        <w:t>CD73</w:t>
      </w:r>
      <w:r w:rsidRPr="00C422B7">
        <w:rPr>
          <w:rFonts w:ascii="Arial" w:hAnsi="Arial" w:cs="Arial"/>
          <w:sz w:val="24"/>
          <w:szCs w:val="24"/>
        </w:rPr>
        <w:t>–3’-UTR reporter</w:t>
      </w:r>
      <w:r w:rsidRPr="00E914E7">
        <w:rPr>
          <w:rFonts w:ascii="Arial" w:hAnsi="Arial" w:cs="Arial"/>
          <w:sz w:val="24"/>
          <w:szCs w:val="24"/>
        </w:rPr>
        <w:t xml:space="preserve"> and 5 pmol of miR-193b</w:t>
      </w:r>
      <w:r>
        <w:rPr>
          <w:rFonts w:ascii="Arial" w:hAnsi="Arial" w:cs="Arial"/>
          <w:sz w:val="24"/>
          <w:szCs w:val="24"/>
        </w:rPr>
        <w:t xml:space="preserve"> mimics</w:t>
      </w:r>
      <w:r w:rsidRPr="00E914E7">
        <w:rPr>
          <w:rFonts w:ascii="Arial" w:hAnsi="Arial" w:cs="Arial"/>
          <w:sz w:val="24"/>
          <w:szCs w:val="24"/>
        </w:rPr>
        <w:t>. pRL-TK (Promega, USA) was used as a normalization control. After 48 h, cells were harvested and luciferase activity was measured using a dual-luciferase reporter system (Promega, USA).</w:t>
      </w:r>
    </w:p>
    <w:p w:rsidR="008776EA" w:rsidRDefault="008776EA" w:rsidP="009D7A5A">
      <w:pPr>
        <w:autoSpaceDE w:val="0"/>
        <w:autoSpaceDN w:val="0"/>
        <w:adjustRightInd w:val="0"/>
        <w:jc w:val="left"/>
        <w:rPr>
          <w:rFonts w:ascii="Times New Roman" w:eastAsiaTheme="minorEastAsia" w:hAnsi="Times New Roman"/>
          <w:kern w:val="0"/>
          <w:sz w:val="24"/>
          <w:szCs w:val="24"/>
        </w:rPr>
      </w:pPr>
    </w:p>
    <w:p w:rsidR="009D7A5A" w:rsidRPr="00F14850" w:rsidRDefault="009D7A5A" w:rsidP="00F14850">
      <w:pPr>
        <w:autoSpaceDE w:val="0"/>
        <w:autoSpaceDN w:val="0"/>
        <w:adjustRightInd w:val="0"/>
        <w:rPr>
          <w:rFonts w:ascii="Arial" w:eastAsiaTheme="minorEastAsia" w:hAnsi="Arial" w:cs="Arial"/>
          <w:color w:val="000000"/>
          <w:kern w:val="0"/>
          <w:sz w:val="20"/>
          <w:szCs w:val="20"/>
        </w:rPr>
      </w:pPr>
      <w:r w:rsidRPr="00F14850">
        <w:rPr>
          <w:rFonts w:ascii="Arial" w:eastAsiaTheme="minorEastAsia" w:hAnsi="Arial" w:cs="Arial"/>
          <w:b/>
          <w:color w:val="000000"/>
          <w:kern w:val="0"/>
          <w:sz w:val="20"/>
          <w:szCs w:val="20"/>
        </w:rPr>
        <w:t>References</w:t>
      </w:r>
      <w:r w:rsidRPr="00F14850">
        <w:rPr>
          <w:rFonts w:ascii="Arial" w:eastAsiaTheme="minorEastAsia" w:hAnsi="Arial" w:cs="Arial"/>
          <w:color w:val="000000"/>
          <w:kern w:val="0"/>
          <w:sz w:val="20"/>
          <w:szCs w:val="20"/>
        </w:rPr>
        <w:t>:</w:t>
      </w:r>
    </w:p>
    <w:p w:rsidR="009D7A5A" w:rsidRPr="00F14850" w:rsidRDefault="009D7A5A" w:rsidP="00F14850">
      <w:pPr>
        <w:autoSpaceDE w:val="0"/>
        <w:autoSpaceDN w:val="0"/>
        <w:adjustRightInd w:val="0"/>
        <w:rPr>
          <w:rFonts w:ascii="Arial" w:eastAsiaTheme="minorEastAsia" w:hAnsi="Arial" w:cs="Arial"/>
          <w:color w:val="000000"/>
          <w:kern w:val="0"/>
          <w:sz w:val="20"/>
          <w:szCs w:val="20"/>
        </w:rPr>
      </w:pPr>
      <w:r w:rsidRPr="00F14850">
        <w:rPr>
          <w:rFonts w:ascii="Arial" w:eastAsiaTheme="minorEastAsia" w:hAnsi="Arial" w:cs="Arial"/>
          <w:color w:val="000000"/>
          <w:kern w:val="0"/>
          <w:sz w:val="20"/>
          <w:szCs w:val="20"/>
        </w:rPr>
        <w:t>1.</w:t>
      </w:r>
      <w:r w:rsidRPr="00F14850">
        <w:rPr>
          <w:rFonts w:ascii="Arial" w:eastAsiaTheme="minorEastAsia" w:hAnsi="Arial" w:cs="Arial"/>
          <w:color w:val="000000"/>
          <w:kern w:val="0"/>
          <w:sz w:val="20"/>
          <w:szCs w:val="20"/>
        </w:rPr>
        <w:tab/>
        <w:t>Lupia M, Angiolini F, Bertalot G, Freddi S, Sachsenmeier KF, Chisci E, Kutryb-Zajac B, Confalonieri S, Smolenski RT, Giovannoni R, et al: CD73 Regulates Stemness and Epithelial-Mesenchymal Transition in Ovarian Cancer-Initiating Cells. Stem Cell Rep</w:t>
      </w:r>
      <w:r w:rsidR="00F14850">
        <w:rPr>
          <w:rFonts w:ascii="Arial" w:eastAsiaTheme="minorEastAsia" w:hAnsi="Arial" w:cs="Arial"/>
          <w:color w:val="000000"/>
          <w:kern w:val="0"/>
          <w:sz w:val="20"/>
          <w:szCs w:val="20"/>
        </w:rPr>
        <w:t>. 2018;</w:t>
      </w:r>
      <w:r w:rsidRPr="00F14850">
        <w:rPr>
          <w:rFonts w:ascii="Arial" w:eastAsiaTheme="minorEastAsia" w:hAnsi="Arial" w:cs="Arial"/>
          <w:color w:val="000000"/>
          <w:kern w:val="0"/>
          <w:sz w:val="20"/>
          <w:szCs w:val="20"/>
        </w:rPr>
        <w:t>10:1412-1425.</w:t>
      </w:r>
    </w:p>
    <w:p w:rsidR="009D7A5A" w:rsidRPr="00F14850" w:rsidRDefault="009D7A5A" w:rsidP="00F14850">
      <w:pPr>
        <w:autoSpaceDE w:val="0"/>
        <w:autoSpaceDN w:val="0"/>
        <w:adjustRightInd w:val="0"/>
        <w:rPr>
          <w:rFonts w:ascii="Arial" w:eastAsiaTheme="minorEastAsia" w:hAnsi="Arial" w:cs="Arial"/>
          <w:color w:val="000000"/>
          <w:kern w:val="0"/>
          <w:sz w:val="20"/>
          <w:szCs w:val="20"/>
        </w:rPr>
      </w:pPr>
      <w:r w:rsidRPr="00F14850">
        <w:rPr>
          <w:rFonts w:ascii="Arial" w:eastAsiaTheme="minorEastAsia" w:hAnsi="Arial" w:cs="Arial"/>
          <w:color w:val="000000"/>
          <w:kern w:val="0"/>
          <w:sz w:val="20"/>
          <w:szCs w:val="20"/>
        </w:rPr>
        <w:t>2.</w:t>
      </w:r>
      <w:r w:rsidRPr="00F14850">
        <w:rPr>
          <w:rFonts w:ascii="Arial" w:eastAsiaTheme="minorEastAsia" w:hAnsi="Arial" w:cs="Arial"/>
          <w:color w:val="000000"/>
          <w:kern w:val="0"/>
          <w:sz w:val="20"/>
          <w:szCs w:val="20"/>
        </w:rPr>
        <w:tab/>
      </w:r>
      <w:bookmarkStart w:id="3" w:name="_nebA303C3C5_14AD_41EC_A069_93E9235756A8"/>
      <w:r w:rsidRPr="00F14850">
        <w:rPr>
          <w:rFonts w:ascii="Arial" w:eastAsiaTheme="minorEastAsia" w:hAnsi="Arial" w:cs="Arial"/>
          <w:color w:val="000000"/>
          <w:kern w:val="0"/>
          <w:sz w:val="20"/>
          <w:szCs w:val="20"/>
        </w:rPr>
        <w:t>Hu B, Ding GY, Fu PY, Zhu XD, Ji Y, Shi GM, Shen YH, Cai JB, Yang Z, Zhou J, et al: NOD-like receptor X1 functions as a tumor suppressor by inhibiting epithelial-mesenchymal transition and inducing aging in hepatocellular carcinoma  cells. J Hematol Oncol</w:t>
      </w:r>
      <w:r w:rsidR="00F14850">
        <w:rPr>
          <w:rFonts w:ascii="Arial" w:eastAsiaTheme="minorEastAsia" w:hAnsi="Arial" w:cs="Arial"/>
          <w:color w:val="000000"/>
          <w:kern w:val="0"/>
          <w:sz w:val="20"/>
          <w:szCs w:val="20"/>
        </w:rPr>
        <w:t>. 2018;</w:t>
      </w:r>
      <w:r w:rsidRPr="00F14850">
        <w:rPr>
          <w:rFonts w:ascii="Arial" w:eastAsiaTheme="minorEastAsia" w:hAnsi="Arial" w:cs="Arial"/>
          <w:color w:val="000000"/>
          <w:kern w:val="0"/>
          <w:sz w:val="20"/>
          <w:szCs w:val="20"/>
        </w:rPr>
        <w:t>11:28.</w:t>
      </w:r>
      <w:bookmarkEnd w:id="3"/>
    </w:p>
    <w:p w:rsidR="009D7A5A" w:rsidRPr="00F14850" w:rsidRDefault="009D7A5A" w:rsidP="00F14850">
      <w:pPr>
        <w:autoSpaceDE w:val="0"/>
        <w:autoSpaceDN w:val="0"/>
        <w:adjustRightInd w:val="0"/>
        <w:rPr>
          <w:rFonts w:ascii="Arial" w:eastAsiaTheme="minorEastAsia" w:hAnsi="Arial" w:cs="Arial"/>
          <w:color w:val="000000"/>
          <w:kern w:val="0"/>
          <w:sz w:val="20"/>
          <w:szCs w:val="20"/>
        </w:rPr>
      </w:pPr>
      <w:r w:rsidRPr="00F14850">
        <w:rPr>
          <w:rFonts w:ascii="Arial" w:eastAsiaTheme="minorEastAsia" w:hAnsi="Arial" w:cs="Arial"/>
          <w:color w:val="000000"/>
          <w:kern w:val="0"/>
          <w:sz w:val="20"/>
          <w:szCs w:val="20"/>
        </w:rPr>
        <w:t>3.</w:t>
      </w:r>
      <w:r w:rsidRPr="00F14850">
        <w:rPr>
          <w:rFonts w:ascii="Arial" w:eastAsiaTheme="minorEastAsia" w:hAnsi="Arial" w:cs="Arial"/>
          <w:color w:val="000000"/>
          <w:kern w:val="0"/>
          <w:sz w:val="20"/>
          <w:szCs w:val="20"/>
        </w:rPr>
        <w:tab/>
      </w:r>
      <w:bookmarkStart w:id="4" w:name="_neb53B18800_53A3_4021_AC11_C4FAB33C0F07"/>
      <w:r w:rsidRPr="00F14850">
        <w:rPr>
          <w:rFonts w:ascii="Arial" w:eastAsiaTheme="minorEastAsia" w:hAnsi="Arial" w:cs="Arial"/>
          <w:color w:val="000000"/>
          <w:kern w:val="0"/>
          <w:sz w:val="20"/>
          <w:szCs w:val="20"/>
        </w:rPr>
        <w:t>Guo W, Sun YF, Shen MN, Ma XL, Wu J, Zhang CY, Zhou Y, Xu Y, Hu B, Zhang M, et al: Circulating Tumor Cells with Stem-Like Phenotypes for Diagnosis, Prognosis, and Therapeutic Response Evaluation in Hepatocellular Carcinoma. Clin Cancer Res</w:t>
      </w:r>
      <w:r w:rsidR="00F14850">
        <w:rPr>
          <w:rFonts w:ascii="Arial" w:eastAsiaTheme="minorEastAsia" w:hAnsi="Arial" w:cs="Arial"/>
          <w:color w:val="000000"/>
          <w:kern w:val="0"/>
          <w:sz w:val="20"/>
          <w:szCs w:val="20"/>
        </w:rPr>
        <w:t>. 2018;</w:t>
      </w:r>
      <w:r w:rsidRPr="00F14850">
        <w:rPr>
          <w:rFonts w:ascii="Arial" w:eastAsiaTheme="minorEastAsia" w:hAnsi="Arial" w:cs="Arial"/>
          <w:color w:val="000000"/>
          <w:kern w:val="0"/>
          <w:sz w:val="20"/>
          <w:szCs w:val="20"/>
        </w:rPr>
        <w:t>24:2203-2213.</w:t>
      </w:r>
      <w:bookmarkEnd w:id="4"/>
    </w:p>
    <w:p w:rsidR="00F14850" w:rsidRPr="00F14850" w:rsidRDefault="00F14850" w:rsidP="00F14850">
      <w:pPr>
        <w:autoSpaceDE w:val="0"/>
        <w:autoSpaceDN w:val="0"/>
        <w:adjustRightInd w:val="0"/>
        <w:rPr>
          <w:rFonts w:ascii="Arial" w:eastAsiaTheme="minorEastAsia" w:hAnsi="Arial" w:cs="Arial"/>
          <w:color w:val="000000"/>
          <w:kern w:val="0"/>
          <w:sz w:val="20"/>
          <w:szCs w:val="20"/>
        </w:rPr>
      </w:pPr>
      <w:r w:rsidRPr="00F14850">
        <w:rPr>
          <w:rFonts w:ascii="Arial" w:eastAsiaTheme="minorEastAsia" w:hAnsi="Arial" w:cs="Arial"/>
          <w:color w:val="000000"/>
          <w:kern w:val="0"/>
          <w:sz w:val="20"/>
          <w:szCs w:val="20"/>
        </w:rPr>
        <w:t xml:space="preserve">4.  Yang XR, Xu Y, Yu B, Zhou J, Li JC, Qiu SJ, et al. CD24 is a novel predictor for poor prognosis of hepatocellular carcinoma after surgery. </w:t>
      </w:r>
      <w:r>
        <w:rPr>
          <w:rFonts w:ascii="Arial" w:eastAsiaTheme="minorEastAsia" w:hAnsi="Arial" w:cs="Arial"/>
          <w:color w:val="000000"/>
          <w:kern w:val="0"/>
          <w:sz w:val="20"/>
          <w:szCs w:val="20"/>
        </w:rPr>
        <w:t>Clin Cancer Res. 2009;15:5518-5527.</w:t>
      </w:r>
    </w:p>
    <w:p w:rsidR="009D7A5A" w:rsidRPr="00F14850" w:rsidRDefault="00BC2126" w:rsidP="00F14850">
      <w:pPr>
        <w:autoSpaceDE w:val="0"/>
        <w:autoSpaceDN w:val="0"/>
        <w:adjustRightInd w:val="0"/>
        <w:rPr>
          <w:rFonts w:ascii="Arial" w:eastAsiaTheme="minorEastAsia" w:hAnsi="Arial" w:cs="Arial"/>
          <w:color w:val="000000"/>
          <w:kern w:val="0"/>
          <w:sz w:val="20"/>
          <w:szCs w:val="20"/>
        </w:rPr>
      </w:pPr>
      <w:r>
        <w:rPr>
          <w:rFonts w:ascii="Arial" w:eastAsiaTheme="minorEastAsia" w:hAnsi="Arial" w:cs="Arial"/>
          <w:color w:val="000000"/>
          <w:kern w:val="0"/>
          <w:sz w:val="20"/>
          <w:szCs w:val="20"/>
        </w:rPr>
        <w:t>5</w:t>
      </w:r>
      <w:r w:rsidR="009D7A5A" w:rsidRPr="00F14850">
        <w:rPr>
          <w:rFonts w:ascii="Arial" w:eastAsiaTheme="minorEastAsia" w:hAnsi="Arial" w:cs="Arial"/>
          <w:color w:val="000000"/>
          <w:kern w:val="0"/>
          <w:sz w:val="20"/>
          <w:szCs w:val="20"/>
        </w:rPr>
        <w:t>.</w:t>
      </w:r>
      <w:r w:rsidR="009D7A5A" w:rsidRPr="00F14850">
        <w:rPr>
          <w:rFonts w:ascii="Arial" w:eastAsiaTheme="minorEastAsia" w:hAnsi="Arial" w:cs="Arial"/>
          <w:color w:val="000000"/>
          <w:kern w:val="0"/>
          <w:sz w:val="20"/>
          <w:szCs w:val="20"/>
        </w:rPr>
        <w:tab/>
      </w:r>
      <w:bookmarkStart w:id="5" w:name="_neb50C9920E_5EC5_4956_8EB8_6B67A5A5AF09"/>
      <w:bookmarkStart w:id="6" w:name="_neb8595539F_9A09_4064_BF4F_2266F5BA9279"/>
      <w:r w:rsidRPr="00F14850">
        <w:rPr>
          <w:rFonts w:ascii="Arial" w:eastAsiaTheme="minorEastAsia" w:hAnsi="Arial" w:cs="Arial"/>
          <w:color w:val="000000"/>
          <w:kern w:val="0"/>
          <w:sz w:val="20"/>
          <w:szCs w:val="20"/>
        </w:rPr>
        <w:t>Xiao S, Chang RM, Yang MY, Lei X, Liu X, Gao WB, Xiao JL, Yang LY: Actin-like 6A predicts poor prognosis of hepatocellular carcinoma and promotes metastasis and epithelial-mesenchymal transition. Hepatology</w:t>
      </w:r>
      <w:r>
        <w:rPr>
          <w:rFonts w:ascii="Arial" w:eastAsiaTheme="minorEastAsia" w:hAnsi="Arial" w:cs="Arial"/>
          <w:color w:val="000000"/>
          <w:kern w:val="0"/>
          <w:sz w:val="20"/>
          <w:szCs w:val="20"/>
        </w:rPr>
        <w:t>. 2016;</w:t>
      </w:r>
      <w:r w:rsidRPr="00F14850">
        <w:rPr>
          <w:rFonts w:ascii="Arial" w:eastAsiaTheme="minorEastAsia" w:hAnsi="Arial" w:cs="Arial"/>
          <w:color w:val="000000"/>
          <w:kern w:val="0"/>
          <w:sz w:val="20"/>
          <w:szCs w:val="20"/>
        </w:rPr>
        <w:t>63:1256-1271.</w:t>
      </w:r>
      <w:bookmarkEnd w:id="5"/>
      <w:bookmarkEnd w:id="6"/>
    </w:p>
    <w:p w:rsidR="009D7A5A" w:rsidRPr="00F14850" w:rsidRDefault="00BC2126" w:rsidP="00F14850">
      <w:pPr>
        <w:autoSpaceDE w:val="0"/>
        <w:autoSpaceDN w:val="0"/>
        <w:adjustRightInd w:val="0"/>
        <w:rPr>
          <w:rFonts w:ascii="Arial" w:eastAsiaTheme="minorEastAsia" w:hAnsi="Arial" w:cs="Arial"/>
          <w:color w:val="000000"/>
          <w:kern w:val="0"/>
          <w:sz w:val="20"/>
          <w:szCs w:val="20"/>
        </w:rPr>
      </w:pPr>
      <w:r>
        <w:rPr>
          <w:rFonts w:ascii="Arial" w:eastAsiaTheme="minorEastAsia" w:hAnsi="Arial" w:cs="Arial"/>
          <w:color w:val="000000"/>
          <w:kern w:val="0"/>
          <w:sz w:val="20"/>
          <w:szCs w:val="20"/>
        </w:rPr>
        <w:t>6</w:t>
      </w:r>
      <w:r w:rsidR="009D7A5A" w:rsidRPr="00F14850">
        <w:rPr>
          <w:rFonts w:ascii="Arial" w:eastAsiaTheme="minorEastAsia" w:hAnsi="Arial" w:cs="Arial"/>
          <w:color w:val="000000"/>
          <w:kern w:val="0"/>
          <w:sz w:val="20"/>
          <w:szCs w:val="20"/>
        </w:rPr>
        <w:t>.</w:t>
      </w:r>
      <w:r w:rsidR="009D7A5A" w:rsidRPr="00F14850">
        <w:rPr>
          <w:rFonts w:ascii="Arial" w:eastAsiaTheme="minorEastAsia" w:hAnsi="Arial" w:cs="Arial"/>
          <w:color w:val="000000"/>
          <w:kern w:val="0"/>
          <w:sz w:val="20"/>
          <w:szCs w:val="20"/>
        </w:rPr>
        <w:tab/>
      </w:r>
      <w:r w:rsidRPr="00F14850">
        <w:rPr>
          <w:rFonts w:ascii="Arial" w:eastAsiaTheme="minorEastAsia" w:hAnsi="Arial" w:cs="Arial"/>
          <w:color w:val="000000"/>
          <w:kern w:val="0"/>
          <w:sz w:val="20"/>
          <w:szCs w:val="20"/>
        </w:rPr>
        <w:t>Xiong Y, Ye C, Yang N, Li M, Liu H: Ubc9 Binds to ADAP and Is Required for Rap1 Membrane Recruitment, Rac1 Activation, and Integrin-Mediated T Cell Adhesion. J Immunol</w:t>
      </w:r>
      <w:r>
        <w:rPr>
          <w:rFonts w:ascii="Arial" w:eastAsiaTheme="minorEastAsia" w:hAnsi="Arial" w:cs="Arial"/>
          <w:color w:val="000000"/>
          <w:kern w:val="0"/>
          <w:sz w:val="20"/>
          <w:szCs w:val="20"/>
        </w:rPr>
        <w:t>. 2017;</w:t>
      </w:r>
      <w:r w:rsidRPr="00F14850">
        <w:rPr>
          <w:rFonts w:ascii="Arial" w:eastAsiaTheme="minorEastAsia" w:hAnsi="Arial" w:cs="Arial"/>
          <w:color w:val="000000"/>
          <w:kern w:val="0"/>
          <w:sz w:val="20"/>
          <w:szCs w:val="20"/>
        </w:rPr>
        <w:t>199:4142-4154.</w:t>
      </w:r>
    </w:p>
    <w:p w:rsidR="009D7A5A" w:rsidRPr="00F14850" w:rsidRDefault="00BC2126" w:rsidP="00F14850">
      <w:pPr>
        <w:autoSpaceDE w:val="0"/>
        <w:autoSpaceDN w:val="0"/>
        <w:adjustRightInd w:val="0"/>
        <w:rPr>
          <w:rFonts w:ascii="Arial" w:eastAsiaTheme="minorEastAsia" w:hAnsi="Arial" w:cs="Arial"/>
          <w:color w:val="000000"/>
          <w:kern w:val="0"/>
          <w:sz w:val="20"/>
          <w:szCs w:val="20"/>
        </w:rPr>
      </w:pPr>
      <w:r>
        <w:rPr>
          <w:rFonts w:ascii="Arial" w:eastAsiaTheme="minorEastAsia" w:hAnsi="Arial" w:cs="Arial"/>
          <w:color w:val="000000"/>
          <w:kern w:val="0"/>
          <w:sz w:val="20"/>
          <w:szCs w:val="20"/>
        </w:rPr>
        <w:t>7</w:t>
      </w:r>
      <w:r w:rsidR="009D7A5A" w:rsidRPr="00F14850">
        <w:rPr>
          <w:rFonts w:ascii="Arial" w:eastAsiaTheme="minorEastAsia" w:hAnsi="Arial" w:cs="Arial"/>
          <w:color w:val="000000"/>
          <w:kern w:val="0"/>
          <w:sz w:val="20"/>
          <w:szCs w:val="20"/>
        </w:rPr>
        <w:t>.</w:t>
      </w:r>
      <w:r w:rsidR="009D7A5A" w:rsidRPr="00F14850">
        <w:rPr>
          <w:rFonts w:ascii="Arial" w:eastAsiaTheme="minorEastAsia" w:hAnsi="Arial" w:cs="Arial"/>
          <w:color w:val="000000"/>
          <w:kern w:val="0"/>
          <w:sz w:val="20"/>
          <w:szCs w:val="20"/>
        </w:rPr>
        <w:tab/>
      </w:r>
      <w:r w:rsidRPr="00F14850">
        <w:rPr>
          <w:rFonts w:ascii="Arial" w:eastAsiaTheme="minorEastAsia" w:hAnsi="Arial" w:cs="Arial"/>
          <w:color w:val="000000"/>
          <w:kern w:val="0"/>
          <w:sz w:val="20"/>
          <w:szCs w:val="20"/>
        </w:rPr>
        <w:t>Meller N, Liu YC, Collins TL, Bonnefoy-Berard N, Baier G, Isakov N, Altman A: Direct interaction between protein kinase C theta (PKC theta) and 14-3-3 tau in T cells: 14-3-3 overexpression results in inhibition of PKC theta translocation and function. Mol Cell Biol</w:t>
      </w:r>
      <w:r>
        <w:rPr>
          <w:rFonts w:ascii="Arial" w:eastAsiaTheme="minorEastAsia" w:hAnsi="Arial" w:cs="Arial"/>
          <w:color w:val="000000"/>
          <w:kern w:val="0"/>
          <w:sz w:val="20"/>
          <w:szCs w:val="20"/>
        </w:rPr>
        <w:t xml:space="preserve">. </w:t>
      </w:r>
      <w:r>
        <w:rPr>
          <w:rFonts w:ascii="Arial" w:eastAsiaTheme="minorEastAsia" w:hAnsi="Arial" w:cs="Arial"/>
          <w:color w:val="000000"/>
          <w:kern w:val="0"/>
          <w:sz w:val="20"/>
          <w:szCs w:val="20"/>
        </w:rPr>
        <w:lastRenderedPageBreak/>
        <w:t>1996;</w:t>
      </w:r>
      <w:r w:rsidRPr="00F14850">
        <w:rPr>
          <w:rFonts w:ascii="Arial" w:eastAsiaTheme="minorEastAsia" w:hAnsi="Arial" w:cs="Arial"/>
          <w:color w:val="000000"/>
          <w:kern w:val="0"/>
          <w:sz w:val="20"/>
          <w:szCs w:val="20"/>
        </w:rPr>
        <w:t>16:5782-5791.</w:t>
      </w:r>
    </w:p>
    <w:p w:rsidR="001433F5" w:rsidRDefault="001433F5"/>
    <w:sectPr w:rsidR="001433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F75" w:rsidRDefault="001B5F75" w:rsidP="00010E3C">
      <w:r>
        <w:separator/>
      </w:r>
    </w:p>
  </w:endnote>
  <w:endnote w:type="continuationSeparator" w:id="0">
    <w:p w:rsidR="001B5F75" w:rsidRDefault="001B5F75" w:rsidP="0001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F75" w:rsidRDefault="001B5F75" w:rsidP="00010E3C">
      <w:r>
        <w:separator/>
      </w:r>
    </w:p>
  </w:footnote>
  <w:footnote w:type="continuationSeparator" w:id="0">
    <w:p w:rsidR="001B5F75" w:rsidRDefault="001B5F75" w:rsidP="00010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19C0FEE3-0A78-4097-819F-691AD8993A53}" w:val=" ADDIN NE.Ref.{19C0FEE3-0A78-4097-819F-691AD8993A53} ADDIN NE.Ref.{19C0FEE3-0A78-4097-819F-691AD8993A53}&lt;Citation&gt;&lt;Group&gt;&lt;References&gt;&lt;Item&gt;&lt;ID&gt;4&lt;/ID&gt;&lt;UID&gt;{50C9920E-5EC5-4956-8EB8-6B67A5A5AF09}&lt;/UID&gt;&lt;Title&gt;Ubc9 Binds to ADAP and Is Required for Rap1 Membrane Recruitment, Rac1 Activation, and Integrin-Mediated T Cell Adhesion&lt;/Title&gt;&lt;Template&gt;Journal Article&lt;/Template&gt;&lt;Star&gt;0&lt;/Star&gt;&lt;Tag&gt;0&lt;/Tag&gt;&lt;Author&gt;Xiong, Y; Ye, C; Yang, N; Li, M; Liu, H&lt;/Author&gt;&lt;Year&gt;2017&lt;/Year&gt;&lt;Details&gt;&lt;_accession_num&gt;29127148&lt;/_accession_num&gt;&lt;_author_adr&gt;Department of Biological Sciences, Xi&amp;apos;an Jiaotong-Liverpool University, Suzhou, Jiangsu 215123, China; and.; Department of Veterinary Medicine, Zhejiang A &amp;amp; F University, Lin&amp;apos;an, Hangzhou, Zhejiang 311300, China.; Department of Biological Sciences, Xi&amp;apos;an Jiaotong-Liverpool University, Suzhou, Jiangsu 215123, China; and.; Department of Biological Sciences, Xi&amp;apos;an Jiaotong-Liverpool University, Suzhou, Jiangsu 215123, China; and.; Department of Biological Sciences, Xi&amp;apos;an Jiaotong-Liverpool University, Suzhou, Jiangsu 215123, China; and hb1liu@foxmail.com.; Department of Veterinary Medicine, Zhejiang A &amp;amp; F University, Lin&amp;apos;an, Hangzhou, Zhejiang 311300, China.&lt;/_author_adr&gt;&lt;_date_display&gt;2017 Dec 15&lt;/_date_display&gt;&lt;_date&gt;2017-12-15&lt;/_date&gt;&lt;_doi&gt;10.4049/jimmunol.1700572&lt;/_doi&gt;&lt;_isbn&gt;1550-6606 (Electronic); 0022-1767 (Linking)&lt;/_isbn&gt;&lt;_issue&gt;12&lt;/_issue&gt;&lt;_journal&gt;J Immunol&lt;/_journal&gt;&lt;_keywords&gt;Adaptor Proteins, Signal Transducing/*metabolism; Amino Acid Sequence; Animals; COS Cells; Cell Adhesion; Cell Membrane/*metabolism; Cercopithecus aethiops; Enzyme Activation; Gene Knockdown Techniques; Humans; Integrins/physiology; Jurkat Cells; Lymphocyte Function-Associated Antigen-1/physiology; Mice; Models, Immunological; Monomeric GTP-Binding Proteins/*metabolism; Phosphoproteins/genetics/metabolism; Phosphorylation; Protein Binding; Protein Processing, Post-Translational; RNA, Small Interfering/pharmacology; Receptors, Antigen, T-Cell/immunology; Recombinant Fusion Proteins/metabolism; Signal Transduction/physiology; T-Lymphocytes/*cytology; Ubiquitin-Conjugating Enzymes/antagonists &amp;amp; inhibitors/genetics/*physiology; rac1 GTP-Binding Protein/*metabolism; rap1 GTP-Binding Proteins/*metabolism&lt;/_keywords&gt;&lt;_language&gt;eng&lt;/_language&gt;&lt;_ori_publication&gt;Copyright (c) 2017 by The American Association of Immunologists, Inc.&lt;/_ori_publication&gt;&lt;_pages&gt;4142-4154&lt;/_pages&gt;&lt;_tertiary_title&gt;Journal of immunology (Baltimore, Md. : 1950)&lt;/_tertiary_title&gt;&lt;_type_work&gt;Journal Article; Research Support, Non-U.S. Gov&amp;apos;t&lt;/_type_work&gt;&lt;_url&gt;http://www.ncbi.nlm.nih.gov/entrez/query.fcgi?cmd=Retrieve&amp;amp;db=pubmed&amp;amp;dopt=Abstract&amp;amp;list_uids=29127148&amp;amp;query_hl=1&lt;/_url&gt;&lt;_volume&gt;199&lt;/_volume&gt;&lt;_created&gt;62564940&lt;/_created&gt;&lt;_modified&gt;62565038&lt;/_modified&gt;&lt;_impact_factor&gt;   4.539&lt;/_impact_factor&gt;&lt;_collection_scope&gt;SCI;SCIE;&lt;/_collection_scope&gt;&lt;/Details&gt;&lt;Extra&gt;&lt;DBUID&gt;{FB0339FA-7C50-4BE0-8CC8-5A98B52918A4}&lt;/DBUID&gt;&lt;/Extra&gt;&lt;/Item&gt;&lt;/References&gt;&lt;/Group&gt;&lt;Group&gt;&lt;References&gt;&lt;Item&gt;&lt;ID&gt;5&lt;/ID&gt;&lt;UID&gt;{0B5C3A5D-9837-4F8B-9AA6-15309D7E26FF}&lt;/UID&gt;&lt;Title&gt;Direct interaction between protein kinase C theta (PKC theta) and 14-3-3 tau in T cells: 14-3-3 overexpression results in inhibition of PKC theta translocation and function&lt;/Title&gt;&lt;Template&gt;Journal Article&lt;/Template&gt;&lt;Star&gt;0&lt;/Star&gt;&lt;Tag&gt;0&lt;/Tag&gt;&lt;Author&gt;Meller, N; Liu, Y C; Collins, T L; Bonnefoy-Berard, N; Baier, G; Isakov, N; Altman, A&lt;/Author&gt;&lt;Year&gt;1996&lt;/Year&gt;&lt;Details&gt;&lt;_accession_num&gt;8816492&lt;/_accession_num&gt;&lt;_author_adr&gt;Division of Cell Biology, La Jolla Institute for Allergy and Immunology, San Diego, California 92121, USA.&lt;/_author_adr&gt;&lt;_date_display&gt;1996 Oct&lt;/_date_display&gt;&lt;_date&gt;1996-10-01&lt;/_date&gt;&lt;_isbn&gt;0270-7306 (Print); 0270-7306 (Linking)&lt;/_isbn&gt;&lt;_issue&gt;10&lt;/_issue&gt;&lt;_journal&gt;Mol Cell Biol&lt;/_journal&gt;&lt;_keywords&gt;14-3-3 Proteins; Blotting, Western; Chloramphenicol O-Acetyltransferase/biosynthesis; Gene Expression Regulation; Glutathione Transferase/biosynthesis; Humans; Interleukin-2/biosynthesis/genetics; Ionomycin/pharmacology; Isoenzymes/biosynthesis/isolation &amp;amp; purification/*metabolism; Jurkat Cells; Mutagenesis, Site-Directed; Point Mutation; Promoter Regions, Genetic; Protein Biosynthesis; Protein Kinase C/biosynthesis/isolation &amp;amp; purification/*metabolism; Protein Kinase C-theta; Proteins/isolation &amp;amp; purification/*metabolism; Recombinant Proteins/biosynthesis/isolation &amp;amp; purification/metabolism; Sequence Tagged Sites; Signal Transduction; T-Lymphocytes/*metabolism; Tetradecanoylphorbol Acetate/pharmacology; Transfection; *Tyrosine 3-Monooxygenase&lt;/_keywords&gt;&lt;_language&gt;eng&lt;/_language&gt;&lt;_pages&gt;5782-91&lt;/_pages&gt;&lt;_tertiary_title&gt;Molecular and cellular biology&lt;/_tertiary_title&gt;&lt;_type_work&gt;Journal Article; Research Support, Non-U.S. Gov&amp;apos;t; Research Support, U.S. Gov&amp;apos;t, Non-P.H.S.; Research Support, U.S. Gov&amp;apos;t, P.H.S.&lt;/_type_work&gt;&lt;_url&gt;http://www.ncbi.nlm.nih.gov/entrez/query.fcgi?cmd=Retrieve&amp;amp;db=pubmed&amp;amp;dopt=Abstract&amp;amp;list_uids=8816492&amp;amp;query_hl=1&lt;/_url&gt;&lt;_volume&gt;16&lt;/_volume&gt;&lt;_created&gt;62565049&lt;/_created&gt;&lt;_modified&gt;62565049&lt;/_modified&gt;&lt;_impact_factor&gt;   3.813&lt;/_impact_factor&gt;&lt;_collection_scope&gt;SCI;SCIE;&lt;/_collection_scope&gt;&lt;/Details&gt;&lt;Extra&gt;&lt;DBUID&gt;{FB0339FA-7C50-4BE0-8CC8-5A98B52918A4}&lt;/DBUID&gt;&lt;/Extra&gt;&lt;/Item&gt;&lt;/References&gt;&lt;/Group&gt;&lt;/Citation&gt;_x000a_"/>
    <w:docVar w:name="NE.Ref{303CF20E-6DF6-4EDB-8E25-6436D6E66A2E}" w:val=" ADDIN NE.Ref.{303CF20E-6DF6-4EDB-8E25-6436D6E66A2E} ADDIN NE.Ref.{303CF20E-6DF6-4EDB-8E25-6436D6E66A2E}&lt;Citation&gt;&lt;Group&gt;&lt;References&gt;&lt;Item&gt;&lt;ID&gt;1&lt;/ID&gt;&lt;UID&gt;{04E8C4F6-07F8-4CF4-803C-1FF2230BF4F0}&lt;/UID&gt;&lt;Title&gt;CD73 Regulates Stemness and Epithelial-Mesenchymal Transition in Ovarian Cancer-Initiating Cells&lt;/Title&gt;&lt;Template&gt;Journal Article&lt;/Template&gt;&lt;Star&gt;0&lt;/Star&gt;&lt;Tag&gt;0&lt;/Tag&gt;&lt;Author&gt;Lupia, M; Angiolini, F; Bertalot, G; Freddi, S; Sachsenmeier, K F; Chisci, E; Kutryb-Zajac, B; Confalonieri, S; Smolenski, R T; Giovannoni, R; Colombo, N; Bianchi, F; Cavallaro, U&lt;/Author&gt;&lt;Year&gt;2018&lt;/Year&gt;&lt;Details&gt;&lt;_accession_num&gt;29551673&lt;/_accession_num&gt;&lt;_author_adr&gt;Unit of Gynecological Oncology Research, European Institute of Oncology, Via G. Ripamonti 435, 20141 Milano, Italy.; Unit of Gynecological Oncology Research, European Institute of Oncology, Via G. Ripamonti 435, 20141 Milano, Italy.; Molecular Medicine Program, European Institute of Oncology, Milan, Italy.; Molecular Medicine Program, European Institute of Oncology, Milan, Italy.; MedImmune, Gaithersburg, MD, USA.; School of Medicine and Surgery, University of Milano-Bicocca, Monza, Italy.; Department of Biochemistry, Medical University of Gdansk, Gdansk, Poland.; IFOM, FIRC Institute of Molecular Oncology, Milan, Italy.; Department of Biochemistry, Medical University of Gdansk, Gdansk, Poland.; School of Medicine and Surgery, University of Milano-Bicocca, Monza, Italy.; Division of Gynecologic Oncology, European Institute of Oncology, Milan, Italy.; Institute for Stem Cell Biology, Regenerative Medicine and Innovative Therapies,  IRCCS-Casa Sollievo della Sofferenza, San Giovanni Rotondo, Italy.; Unit of Gynecological Oncology Research, European Institute of Oncology, Via G. Ripamonti 435, 20141 Milano, Italy. Electronic address: ugo.cavallaro@ieo.it.&lt;/_author_adr&gt;&lt;_date_display&gt;2018 Apr 10&lt;/_date_display&gt;&lt;_date&gt;2018-04-10&lt;/_date&gt;&lt;_doi&gt;10.1016/j.stemcr.2018.02.009&lt;/_doi&gt;&lt;_isbn&gt;2213-6711 (Electronic); 2213-6711 (Linking)&lt;/_isbn&gt;&lt;_issue&gt;4&lt;/_issue&gt;&lt;_journal&gt;Stem Cell Reports&lt;/_journal&gt;&lt;_keywords&gt;CD73; EMT; adenosine; cancer stem cells; cancer-initiating cells; ovarian cancer&lt;/_keywords&gt;&lt;_language&gt;eng&lt;/_language&gt;&lt;_ori_publication&gt;Copyright (c) 2018 The Authors. Published by Elsevier Inc. All rights reserved.&lt;/_ori_publication&gt;&lt;_pages&gt;1412-1425&lt;/_pages&gt;&lt;_tertiary_title&gt;Stem cell reports&lt;/_tertiary_title&gt;&lt;_type_work&gt;Journal Article&lt;/_type_work&gt;&lt;_url&gt;http://www.ncbi.nlm.nih.gov/entrez/query.fcgi?cmd=Retrieve&amp;amp;db=pubmed&amp;amp;dopt=Abstract&amp;amp;list_uids=29551673&amp;amp;query_hl=1&lt;/_url&gt;&lt;_volume&gt;10&lt;/_volume&gt;&lt;_created&gt;62564885&lt;/_created&gt;&lt;_modified&gt;62565019&lt;/_modified&gt;&lt;_impact_factor&gt;   6.537&lt;/_impact_factor&gt;&lt;_collection_scope&gt;SCIE;&lt;/_collection_scope&gt;&lt;/Details&gt;&lt;Extra&gt;&lt;DBUID&gt;{FB0339FA-7C50-4BE0-8CC8-5A98B52918A4}&lt;/DBUID&gt;&lt;/Extra&gt;&lt;/Item&gt;&lt;/References&gt;&lt;/Group&gt;&lt;/Citation&gt;_x000a_"/>
    <w:docVar w:name="NE.Ref{5311D23C-1A3F-4649-AFC4-4021F477F04C}" w:val=" ADDIN NE.Ref.{5311D23C-1A3F-4649-AFC4-4021F477F04C} ADDIN NE.Ref.{5311D23C-1A3F-4649-AFC4-4021F477F04C}&lt;Citation&gt;&lt;Group&gt;&lt;References&gt;&lt;Item&gt;&lt;ID&gt;3&lt;/ID&gt;&lt;UID&gt;{53B18800-53A3-4021-AC11-C4FAB33C0F07}&lt;/UID&gt;&lt;Title&gt;Circulating Tumor Cells with Stem-Like Phenotypes for Diagnosis, Prognosis, and Therapeutic Response Evaluation in Hepatocellular Carcinoma&lt;/Title&gt;&lt;Template&gt;Journal Article&lt;/Template&gt;&lt;Star&gt;0&lt;/Star&gt;&lt;Tag&gt;0&lt;/Tag&gt;&lt;Author&gt;Guo, W; Sun, Y F; Shen, M N; Ma, X L; Wu, J; Zhang, C Y; Zhou, Y; Xu, Y; Hu, B; Zhang, M; Wang, G; Chen, W Q; Guo, L; Lu, R Q; Zhou, C H; Zhang, X; Shi, Y H; Qiu, S J; Pan, B S; Cao, Y; Zhou, J; Yang, X R; Fan, J&lt;/Author&gt;&lt;Year&gt;2018&lt;/Year&gt;&lt;Details&gt;&lt;_accession_num&gt;29374055&lt;/_accession_num&gt;&lt;_author_adr&gt;Department of Laboratory Medicine, Zhongshan Hospital, Fudan University, Shanghai, P.R. China.; Department of Liver Surgery, Liver Cancer Institute, Zhongshan Hospital, Fudan University; and Key Laboratory of Carcinogenesis and Cancer Invasion, Ministry of Education,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Clinical Laboratory, Shanghai Public Health Clinical Center, Fudan  University, Shanghai, P.R. China.; Department of Clinical Laboratory, Shanghai Public Health Clinical Center, Fudan  University, Shanghai, P.R. China.; Department of Clinical Laboratory, Longhua Hospital, Shanghai University of Traditional Chinese Medicine, Shanghai, P.R. China.; Department of Laboratory Medicine, Shanghai Cancer Center, Fudan University, Shanghai, P.R. China.; Department of Laboratory Medicine, Shanghai Cancer Center, Fudan University, Shanghai, P.R. China.; Department of Gastroenterology, Zhongshan Hospital, Fudan University,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Laboratory Medicine, Zhongshan Hospital, Fudan University, Shanghai, P.R. China.; Cancer Research Institute, Xiangya School of Medicine, Central South University;  and Key Laboratory of Carcinogenesis and Cancer Invasion, Ministry of Education,  Changsha, China.; Department of Liver Surgery, Liver Cancer Institute, Zhongshan Hospital, Fudan University; and Key Laboratory of Carcinogenesis and Cancer Invasion, Ministry of Education, Shanghai, P.R. China.; Institute of Biomedical Sciences, Fudan University, Shanghai, P.R. China.; Department of Liver Surgery, Liver Cancer Institute, Zhongshan Hospital, Fudan University; and Key Laboratory of Carcinogenesis and Cancer Invasion, Ministry of Education, Shanghai, P.R. China. fan.jia@zs-hospital.sh.cn yang.xinrong@zs-hospital.sh.cn.; Department of Liver Surgery, Liver Cancer Institute, Zhongshan Hospital, Fudan University; and Key Laboratory of Carcinogenesis and Cancer Invasion, Ministry of Education, Shanghai, P.R. China. fan.jia@zs-hospital.sh.cn yang.xinrong@zs-hospital.sh.cn.; Institute of Biomedical Sciences, Fudan University, Shanghai, P.R. China.&lt;/_author_adr&gt;&lt;_date_display&gt;2018 May 1&lt;/_date_display&gt;&lt;_date&gt;2018-05-01&lt;/_date&gt;&lt;_doi&gt;10.1158/1078-0432.CCR-17-1753&lt;/_doi&gt;&lt;_isbn&gt;1078-0432 (Print); 1078-0432 (Linking)&lt;/_isbn&gt;&lt;_issue&gt;9&lt;/_issue&gt;&lt;_journal&gt;Clin Cancer Res&lt;/_journal&gt;&lt;_language&gt;eng&lt;/_language&gt;&lt;_ori_publication&gt;(c)2018 American Association for Cancer Research.&lt;/_ori_publication&gt;&lt;_pages&gt;2203-2213&lt;/_pages&gt;&lt;_tertiary_title&gt;Clinical cancer research : an official journal of the American Association for_x000d__x000a_      Cancer Research&lt;/_tertiary_title&gt;&lt;_type_work&gt;Journal Article&lt;/_type_work&gt;&lt;_url&gt;http://www.ncbi.nlm.nih.gov/entrez/query.fcgi?cmd=Retrieve&amp;amp;db=pubmed&amp;amp;dopt=Abstract&amp;amp;list_uids=29374055&amp;amp;query_hl=1&lt;/_url&gt;&lt;_volume&gt;24&lt;/_volume&gt;&lt;_created&gt;62565037&lt;/_created&gt;&lt;_modified&gt;62565037&lt;/_modified&gt;&lt;_impact_factor&gt;  10.199&lt;/_impact_factor&gt;&lt;_collection_scope&gt;SCI;SCIE;&lt;/_collection_scope&gt;&lt;/Details&gt;&lt;Extra&gt;&lt;DBUID&gt;{FB0339FA-7C50-4BE0-8CC8-5A98B52918A4}&lt;/DBUID&gt;&lt;/Extra&gt;&lt;/Item&gt;&lt;/References&gt;&lt;/Group&gt;&lt;/Citation&gt;_x000a_"/>
    <w:docVar w:name="NE.Ref{6A5806ED-FA9B-476D-88D9-2C2FAA5FED41}" w:val=" ADDIN NE.Ref.{6A5806ED-FA9B-476D-88D9-2C2FAA5FED41} ADDIN NE.Ref.{6A5806ED-FA9B-476D-88D9-2C2FAA5FED41}&lt;Citation&gt;&lt;Group&gt;&lt;References&gt;&lt;Item&gt;&lt;ID&gt;6&lt;/ID&gt;&lt;UID&gt;{8595539F-9A09-4064-BF4F-2266F5BA9279}&lt;/UID&gt;&lt;Title&gt;Actin-like 6A predicts poor prognosis of hepatocellular carcinoma and promotes metastasis and epithelial-mesenchymal transition&lt;/Title&gt;&lt;Template&gt;Journal Article&lt;/Template&gt;&lt;Star&gt;0&lt;/Star&gt;&lt;Tag&gt;0&lt;/Tag&gt;&lt;Author&gt;Xiao, S; Chang, R M; Yang, M Y; Lei, X; Liu, X; Gao, W B; Xiao, J L; Yang, L Y&lt;/Author&gt;&lt;Year&gt;2016&lt;/Year&gt;&lt;Details&gt;&lt;_accession_num&gt;26698646&lt;/_accession_num&gt;&lt;_author_adr&gt;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 Liver Cancer Laboratory, Department of Surgery, Xiangya Hospital, Central South University, Changsha, China.&lt;/_author_adr&gt;&lt;_date_display&gt;2016 Apr&lt;/_date_display&gt;&lt;_date&gt;2016-04-01&lt;/_date&gt;&lt;_doi&gt;10.1002/hep.28417&lt;/_doi&gt;&lt;_isbn&gt;1527-3350 (Electronic); 0270-9139 (Linking)&lt;/_isbn&gt;&lt;_issue&gt;4&lt;/_issue&gt;&lt;_journal&gt;Hepatology&lt;/_journal&gt;&lt;_keywords&gt;Actins/*genetics; Adult; Aged; Analysis of Variance; Animals; Biopsy, Needle; Carcinoma, Hepatocellular/*genetics/mortality/pathology; Chromosomal Proteins, Non-Histone/*genetics; DNA-Binding Proteins/*genetics; Disease Models, Animal; Epithelial-Mesenchymal Transition/*genetics; Female; *Gene Expression Regulation, Neoplastic; Humans; Immunohistochemistry; Liver Neoplasms/*genetics/mortality/pathology; Male; Mice; Middle Aged; Multivariate Analysis; Neoplasm Invasiveness/pathology; Neoplasm Metastasis/genetics; Predictive Value of Tests; Prognosis; Random Allocation; Survival Analysis; Transcriptional Activation; Tumor Cells, Cultured; Up-Regulation&lt;/_keywords&gt;&lt;_language&gt;eng&lt;/_language&gt;&lt;_ori_publication&gt;(c) 2015 The Authors. Hepatology published by Wiley Periodicals, Inc., on behalf _x000d__x000a_      of American Association for the Study of Liver Diseases.&lt;/_ori_publication&gt;&lt;_pages&gt;1256-71&lt;/_pages&gt;&lt;_tertiary_title&gt;Hepatology (Baltimore, Md.)&lt;/_tertiary_title&gt;&lt;_type_work&gt;Comparative Study; Journal Article; Research Support, Non-U.S. Gov&amp;apos;t&lt;/_type_work&gt;&lt;_url&gt;http://www.ncbi.nlm.nih.gov/entrez/query.fcgi?cmd=Retrieve&amp;amp;db=pubmed&amp;amp;dopt=Abstract&amp;amp;list_uids=26698646&amp;amp;query_hl=1&lt;/_url&gt;&lt;_volume&gt;63&lt;/_volume&gt;&lt;_created&gt;62565050&lt;/_created&gt;&lt;_modified&gt;62565050&lt;/_modified&gt;&lt;_impact_factor&gt;  14.079&lt;/_impact_factor&gt;&lt;_collection_scope&gt;SCI;SCIE;&lt;/_collection_scope&gt;&lt;/Details&gt;&lt;Extra&gt;&lt;DBUID&gt;{FB0339FA-7C50-4BE0-8CC8-5A98B52918A4}&lt;/DBUID&gt;&lt;/Extra&gt;&lt;/Item&gt;&lt;/References&gt;&lt;/Group&gt;&lt;/Citation&gt;_x000a_"/>
    <w:docVar w:name="NE.Ref{8F79F637-DF10-4267-9311-B46DA9DEEF3E}" w:val=" ADDIN NE.Ref.{8F79F637-DF10-4267-9311-B46DA9DEEF3E} ADDIN NE.Ref.{8F79F637-DF10-4267-9311-B46DA9DEEF3E}&lt;Citation&gt;&lt;Group&gt;&lt;References&gt;&lt;Item&gt;&lt;ID&gt;4&lt;/ID&gt;&lt;UID&gt;{50C9920E-5EC5-4956-8EB8-6B67A5A5AF09}&lt;/UID&gt;&lt;Title&gt;Ubc9 Binds to ADAP and Is Required for Rap1 Membrane Recruitment, Rac1 Activation, and Integrin-Mediated T Cell Adhesion&lt;/Title&gt;&lt;Template&gt;Journal Article&lt;/Template&gt;&lt;Star&gt;0&lt;/Star&gt;&lt;Tag&gt;0&lt;/Tag&gt;&lt;Author&gt;Xiong, Y; Ye, C; Yang, N; Li, M; Liu, H&lt;/Author&gt;&lt;Year&gt;2017&lt;/Year&gt;&lt;Details&gt;&lt;_accession_num&gt;29127148&lt;/_accession_num&gt;&lt;_author_adr&gt;Department of Biological Sciences, Xi&amp;apos;an Jiaotong-Liverpool University, Suzhou, Jiangsu 215123, China; and.; Department of Veterinary Medicine, Zhejiang A &amp;amp; F University, Lin&amp;apos;an, Hangzhou, Zhejiang 311300, China.; Department of Biological Sciences, Xi&amp;apos;an Jiaotong-Liverpool University, Suzhou, Jiangsu 215123, China; and.; Department of Biological Sciences, Xi&amp;apos;an Jiaotong-Liverpool University, Suzhou, Jiangsu 215123, China; and.; Department of Biological Sciences, Xi&amp;apos;an Jiaotong-Liverpool University, Suzhou, Jiangsu 215123, China; and hb1liu@foxmail.com.; Department of Veterinary Medicine, Zhejiang A &amp;amp; F University, Lin&amp;apos;an, Hangzhou, Zhejiang 311300, China.&lt;/_author_adr&gt;&lt;_date_display&gt;2017 Dec 15&lt;/_date_display&gt;&lt;_date&gt;2017-12-15&lt;/_date&gt;&lt;_doi&gt;10.4049/jimmunol.1700572&lt;/_doi&gt;&lt;_isbn&gt;1550-6606 (Electronic); 0022-1767 (Linking)&lt;/_isbn&gt;&lt;_issue&gt;12&lt;/_issue&gt;&lt;_journal&gt;J Immunol&lt;/_journal&gt;&lt;_keywords&gt;Adaptor Proteins, Signal Transducing/*metabolism; Amino Acid Sequence; Animals; COS Cells; Cell Adhesion; Cell Membrane/*metabolism; Cercopithecus aethiops; Enzyme Activation; Gene Knockdown Techniques; Humans; Integrins/physiology; Jurkat Cells; Lymphocyte Function-Associated Antigen-1/physiology; Mice; Models, Immunological; Monomeric GTP-Binding Proteins/*metabolism; Phosphoproteins/genetics/metabolism; Phosphorylation; Protein Binding; Protein Processing, Post-Translational; RNA, Small Interfering/pharmacology; Receptors, Antigen, T-Cell/immunology; Recombinant Fusion Proteins/metabolism; Signal Transduction/physiology; T-Lymphocytes/*cytology; Ubiquitin-Conjugating Enzymes/antagonists &amp;amp; inhibitors/genetics/*physiology; rac1 GTP-Binding Protein/*metabolism; rap1 GTP-Binding Proteins/*metabolism&lt;/_keywords&gt;&lt;_language&gt;eng&lt;/_language&gt;&lt;_ori_publication&gt;Copyright (c) 2017 by The American Association of Immunologists, Inc.&lt;/_ori_publication&gt;&lt;_pages&gt;4142-4154&lt;/_pages&gt;&lt;_tertiary_title&gt;Journal of immunology (Baltimore, Md. : 1950)&lt;/_tertiary_title&gt;&lt;_type_work&gt;Journal Article; Research Support, Non-U.S. Gov&amp;apos;t&lt;/_type_work&gt;&lt;_url&gt;http://www.ncbi.nlm.nih.gov/entrez/query.fcgi?cmd=Retrieve&amp;amp;db=pubmed&amp;amp;dopt=Abstract&amp;amp;list_uids=29127148&amp;amp;query_hl=1&lt;/_url&gt;&lt;_volume&gt;199&lt;/_volume&gt;&lt;_created&gt;62564940&lt;/_created&gt;&lt;_modified&gt;62565038&lt;/_modified&gt;&lt;_impact_factor&gt;   4.539&lt;/_impact_factor&gt;&lt;_collection_scope&gt;SCI;SCIE;&lt;/_collection_scope&gt;&lt;/Details&gt;&lt;Extra&gt;&lt;DBUID&gt;{FB0339FA-7C50-4BE0-8CC8-5A98B52918A4}&lt;/DBUID&gt;&lt;/Extra&gt;&lt;/Item&gt;&lt;/References&gt;&lt;/Group&gt;&lt;Group&gt;&lt;References&gt;&lt;Item&gt;&lt;ID&gt;5&lt;/ID&gt;&lt;UID&gt;{0B5C3A5D-9837-4F8B-9AA6-15309D7E26FF}&lt;/UID&gt;&lt;Title&gt;Direct interaction between protein kinase C theta (PKC theta) and 14-3-3 tau in T cells: 14-3-3 overexpression results in inhibition of PKC theta translocation and function&lt;/Title&gt;&lt;Template&gt;Journal Article&lt;/Template&gt;&lt;Star&gt;0&lt;/Star&gt;&lt;Tag&gt;0&lt;/Tag&gt;&lt;Author&gt;Meller, N; Liu, Y C; Collins, T L; Bonnefoy-Berard, N; Baier, G; Isakov, N; Altman, A&lt;/Author&gt;&lt;Year&gt;1996&lt;/Year&gt;&lt;Details&gt;&lt;_accession_num&gt;8816492&lt;/_accession_num&gt;&lt;_author_adr&gt;Division of Cell Biology, La Jolla Institute for Allergy and Immunology, San Diego, California 92121, USA.&lt;/_author_adr&gt;&lt;_date_display&gt;1996 Oct&lt;/_date_display&gt;&lt;_date&gt;1996-10-01&lt;/_date&gt;&lt;_isbn&gt;0270-7306 (Print); 0270-7306 (Linking)&lt;/_isbn&gt;&lt;_issue&gt;10&lt;/_issue&gt;&lt;_journal&gt;Mol Cell Biol&lt;/_journal&gt;&lt;_keywords&gt;14-3-3 Proteins; Blotting, Western; Chloramphenicol O-Acetyltransferase/biosynthesis; Gene Expression Regulation; Glutathione Transferase/biosynthesis; Humans; Interleukin-2/biosynthesis/genetics; Ionomycin/pharmacology; Isoenzymes/biosynthesis/isolation &amp;amp; purification/*metabolism; Jurkat Cells; Mutagenesis, Site-Directed; Point Mutation; Promoter Regions, Genetic; Protein Biosynthesis; Protein Kinase C/biosynthesis/isolation &amp;amp; purification/*metabolism; Protein Kinase C-theta; Proteins/isolation &amp;amp; purification/*metabolism; Recombinant Proteins/biosynthesis/isolation &amp;amp; purification/metabolism; Sequence Tagged Sites; Signal Transduction; T-Lymphocytes/*metabolism; Tetradecanoylphorbol Acetate/pharmacology; Transfection; *Tyrosine 3-Monooxygenase&lt;/_keywords&gt;&lt;_language&gt;eng&lt;/_language&gt;&lt;_pages&gt;5782-91&lt;/_pages&gt;&lt;_tertiary_title&gt;Molecular and cellular biology&lt;/_tertiary_title&gt;&lt;_type_work&gt;Journal Article; Research Support, Non-U.S. Gov&amp;apos;t; Research Support, U.S. Gov&amp;apos;t, Non-P.H.S.; Research Support, U.S. Gov&amp;apos;t, P.H.S.&lt;/_type_work&gt;&lt;_url&gt;http://www.ncbi.nlm.nih.gov/entrez/query.fcgi?cmd=Retrieve&amp;amp;db=pubmed&amp;amp;dopt=Abstract&amp;amp;list_uids=8816492&amp;amp;query_hl=1&lt;/_url&gt;&lt;_volume&gt;16&lt;/_volume&gt;&lt;_created&gt;62565049&lt;/_created&gt;&lt;_modified&gt;62565049&lt;/_modified&gt;&lt;_impact_factor&gt;   3.813&lt;/_impact_factor&gt;&lt;_collection_scope&gt;SCI;SCIE;&lt;/_collection_scope&gt;&lt;/Details&gt;&lt;Extra&gt;&lt;DBUID&gt;{FB0339FA-7C50-4BE0-8CC8-5A98B52918A4}&lt;/DBUID&gt;&lt;/Extra&gt;&lt;/Item&gt;&lt;/References&gt;&lt;/Group&gt;&lt;/Citation&gt;_x000a_"/>
    <w:docVar w:name="NE.Ref{9E3C12F4-A915-410D-B916-950D26B61ED7}" w:val=" ADDIN NE.Ref.{9E3C12F4-A915-410D-B916-950D26B61ED7} ADDIN NE.Ref.{9E3C12F4-A915-410D-B916-950D26B61ED7}&lt;Citation&gt;&lt;Group&gt;&lt;References&gt;&lt;Item&gt;&lt;ID&gt;3&lt;/ID&gt;&lt;UID&gt;{53B18800-53A3-4021-AC11-C4FAB33C0F07}&lt;/UID&gt;&lt;Title&gt;Circulating Tumor Cells with Stem-Like Phenotypes for Diagnosis, Prognosis, and Therapeutic Response Evaluation in Hepatocellular Carcinoma&lt;/Title&gt;&lt;Template&gt;Journal Article&lt;/Template&gt;&lt;Star&gt;0&lt;/Star&gt;&lt;Tag&gt;0&lt;/Tag&gt;&lt;Author&gt;Guo, W; Sun, Y F; Shen, M N; Ma, X L; Wu, J; Zhang, C Y; Zhou, Y; Xu, Y; Hu, B; Zhang, M; Wang, G; Chen, W Q; Guo, L; Lu, R Q; Zhou, C H; Zhang, X; Shi, Y H; Qiu, S J; Pan, B S; Cao, Y; Zhou, J; Yang, X R; Fan, J&lt;/Author&gt;&lt;Year&gt;2018&lt;/Year&gt;&lt;Details&gt;&lt;_accession_num&gt;29374055&lt;/_accession_num&gt;&lt;_author_adr&gt;Department of Laboratory Medicine, Zhongshan Hospital, Fudan University, Shanghai, P.R. China.; Department of Liver Surgery, Liver Cancer Institute, Zhongshan Hospital, Fudan University; and Key Laboratory of Carcinogenesis and Cancer Invasion, Ministry of Education,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aboratory Medicine, Zhongshan Hospital, Fudan University,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Clinical Laboratory, Shanghai Public Health Clinical Center, Fudan  University, Shanghai, P.R. China.; Department of Clinical Laboratory, Shanghai Public Health Clinical Center, Fudan  University, Shanghai, P.R. China.; Department of Clinical Laboratory, Longhua Hospital, Shanghai University of Traditional Chinese Medicine, Shanghai, P.R. China.; Department of Laboratory Medicine, Shanghai Cancer Center, Fudan University, Shanghai, P.R. China.; Department of Laboratory Medicine, Shanghai Cancer Center, Fudan University, Shanghai, P.R. China.; Department of Gastroenterology, Zhongshan Hospital, Fudan University,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Liver Surgery, Liver Cancer Institute, Zhongshan Hospital, Fudan University; and Key Laboratory of Carcinogenesis and Cancer Invasion, Ministry of Education, Shanghai, P.R. China.; Department of Laboratory Medicine, Zhongshan Hospital, Fudan University, Shanghai, P.R. China.; Cancer Research Institute, Xiangya School of Medicine, Central South University;  and Key Laboratory of Carcinogenesis and Cancer Invasion, Ministry of Education,  Changsha, China.; Department of Liver Surgery, Liver Cancer Institute, Zhongshan Hospital, Fudan University; and Key Laboratory of Carcinogenesis and Cancer Invasion, Ministry of Education, Shanghai, P.R. China.; Institute of Biomedical Sciences, Fudan University, Shanghai, P.R. China.; Department of Liver Surgery, Liver Cancer Institute, Zhongshan Hospital, Fudan University; and Key Laboratory of Carcinogenesis and Cancer Invasion, Ministry of Education, Shanghai, P.R. China. fan.jia@zs-hospital.sh.cn yang.xinrong@zs-hospital.sh.cn.; Department of Liver Surgery, Liver Cancer Institute, Zhongshan Hospital, Fudan University; and Key Laboratory of Carcinogenesis and Cancer Invasion, Ministry of Education, Shanghai, P.R. China. fan.jia@zs-hospital.sh.cn yang.xinrong@zs-hospital.sh.cn.; Institute of Biomedical Sciences, Fudan University, Shanghai, P.R. China.&lt;/_author_adr&gt;&lt;_date_display&gt;2018 May 1&lt;/_date_display&gt;&lt;_date&gt;2018-05-01&lt;/_date&gt;&lt;_doi&gt;10.1158/1078-0432.CCR-17-1753&lt;/_doi&gt;&lt;_isbn&gt;1078-0432 (Print); 1078-0432 (Linking)&lt;/_isbn&gt;&lt;_issue&gt;9&lt;/_issue&gt;&lt;_journal&gt;Clin Cancer Res&lt;/_journal&gt;&lt;_language&gt;eng&lt;/_language&gt;&lt;_ori_publication&gt;(c)2018 American Association for Cancer Research.&lt;/_ori_publication&gt;&lt;_pages&gt;2203-2213&lt;/_pages&gt;&lt;_tertiary_title&gt;Clinical cancer research : an official journal of the American Association for_x000d__x000a_      Cancer Research&lt;/_tertiary_title&gt;&lt;_type_work&gt;Journal Article&lt;/_type_work&gt;&lt;_url&gt;http://www.ncbi.nlm.nih.gov/entrez/query.fcgi?cmd=Retrieve&amp;amp;db=pubmed&amp;amp;dopt=Abstract&amp;amp;list_uids=29374055&amp;amp;query_hl=1&lt;/_url&gt;&lt;_volume&gt;24&lt;/_volume&gt;&lt;_created&gt;62565037&lt;/_created&gt;&lt;_modified&gt;62565037&lt;/_modified&gt;&lt;_impact_factor&gt;  10.199&lt;/_impact_factor&gt;&lt;_collection_scope&gt;SCI;SCIE;&lt;/_collection_scope&gt;&lt;/Details&gt;&lt;Extra&gt;&lt;DBUID&gt;{FB0339FA-7C50-4BE0-8CC8-5A98B52918A4}&lt;/DBUID&gt;&lt;/Extra&gt;&lt;/Item&gt;&lt;/References&gt;&lt;/Group&gt;&lt;/Citation&gt;_x000a_"/>
    <w:docVar w:name="NE.Ref{C3B40C0D-BF51-4EE1-98B5-DFF0A70AD6F5}" w:val=" ADDIN NE.Ref.{C3B40C0D-BF51-4EE1-98B5-DFF0A70AD6F5} ADDIN NE.Ref.{C3B40C0D-BF51-4EE1-98B5-DFF0A70AD6F5}&lt;Citation&gt;&lt;Group&gt;&lt;References&gt;&lt;Item&gt;&lt;ID&gt;2&lt;/ID&gt;&lt;UID&gt;{A303C3C5-14AD-41EC-A069-93E9235756A8}&lt;/UID&gt;&lt;Title&gt;NOD-like receptor X1 functions as a tumor suppressor by inhibiting epithelial-mesenchymal transition and inducing aging in hepatocellular carcinoma  cells&lt;/Title&gt;&lt;Template&gt;Journal Article&lt;/Template&gt;&lt;Star&gt;0&lt;/Star&gt;&lt;Tag&gt;0&lt;/Tag&gt;&lt;Author&gt;Hu, B; Ding, G Y; Fu, P Y; Zhu, X D; Ji, Y; Shi, G M; Shen, Y H; Cai, J B; Yang, Z; Zhou, J; Fan, J; Sun, H C; Kuang, M; Huang, C&lt;/Author&gt;&lt;Year&gt;2018&lt;/Year&gt;&lt;Details&gt;&lt;_accession_num&gt;29482578&lt;/_accession_num&gt;&lt;_author_adr&gt;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Pathology, Zhongshan Hospital, Fudan University,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Key Laboratory of Computational Biology, CAS-MPG Partner Institute for Computational Biology, 320 Yue Yang Road, Shanghai, 200031,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The First Affiliated Hospital, Sun Yat-sen University, 58 Zhong Shan Rd 2, Guangzhou, 510080, China. kuangm@mail.sysu.edu.cn.; Department of Liver Surgery and Transplant, Liver Cancer Institute and Zhongshan  Hospital, Fudan University, 136 Yi Xue Yuan Rd, Shanghai, 200032, China. huang.cheng@zs-hospital.sh.cn.; Key Laboratory for Carcinogenesis and Cancer Invasion, Chinese Ministry of Education, Shanghai, China. huang.cheng@zs-hospital.sh.cn.&lt;/_author_adr&gt;&lt;_date_display&gt;2018 Feb 26&lt;/_date_display&gt;&lt;_date&gt;2018-02-26&lt;/_date&gt;&lt;_doi&gt;10.1186/s13045-018-0573-9&lt;/_doi&gt;&lt;_isbn&gt;1756-8722 (Electronic); 1756-8722 (Linking)&lt;/_isbn&gt;&lt;_issue&gt;1&lt;/_issue&gt;&lt;_journal&gt;J Hematol Oncol&lt;/_journal&gt;&lt;_keywords&gt;Epithelial-mesenchymal-transition; Hepatocellular carcinoma; NLRX1; Senescence; Transition; Tumor suppressor&lt;/_keywords&gt;&lt;_language&gt;eng&lt;/_language&gt;&lt;_pages&gt;28&lt;/_pages&gt;&lt;_tertiary_title&gt;Journal of hematology &amp;amp; oncology&lt;/_tertiary_title&gt;&lt;_type_work&gt;Journal Article&lt;/_type_work&gt;&lt;_url&gt;http://www.ncbi.nlm.nih.gov/entrez/query.fcgi?cmd=Retrieve&amp;amp;db=pubmed&amp;amp;dopt=Abstract&amp;amp;list_uids=29482578&amp;amp;query_hl=1&lt;/_url&gt;&lt;_volume&gt;11&lt;/_volume&gt;&lt;_created&gt;62565034&lt;/_created&gt;&lt;_modified&gt;62565034&lt;/_modified&gt;&lt;_impact_factor&gt;   7.333&lt;/_impact_factor&gt;&lt;_collection_scope&gt;SCIE;&lt;/_collection_scope&gt;&lt;/Details&gt;&lt;Extra&gt;&lt;DBUID&gt;{FB0339FA-7C50-4BE0-8CC8-5A98B52918A4}&lt;/DBUID&gt;&lt;/Extra&gt;&lt;/Item&gt;&lt;/References&gt;&lt;/Group&gt;&lt;/Citation&gt;_x000a_"/>
    <w:docVar w:name="NE.Ref{EA841EF1-34CB-42D7-AD1F-52CD598DB39C}" w:val=" ADDIN NE.Ref.{EA841EF1-34CB-42D7-AD1F-52CD598DB39C} ADDIN NE.Ref.{EA841EF1-34CB-42D7-AD1F-52CD598DB39C}&lt;Citation&gt;&lt;Group&gt;&lt;References&gt;&lt;Item&gt;&lt;ID&gt;2&lt;/ID&gt;&lt;UID&gt;{A303C3C5-14AD-41EC-A069-93E9235756A8}&lt;/UID&gt;&lt;Title&gt;NOD-like receptor X1 functions as a tumor suppressor by inhibiting epithelial-mesenchymal transition and inducing aging in hepatocellular carcinoma  cells&lt;/Title&gt;&lt;Template&gt;Journal Article&lt;/Template&gt;&lt;Star&gt;0&lt;/Star&gt;&lt;Tag&gt;0&lt;/Tag&gt;&lt;Author&gt;Hu, B; Ding, G Y; Fu, P Y; Zhu, X D; Ji, Y; Shi, G M; Shen, Y H; Cai, J B; Yang, Z; Zhou, J; Fan, J; Sun, H C; Kuang, M; Huang, C&lt;/Author&gt;&lt;Year&gt;2018&lt;/Year&gt;&lt;Details&gt;&lt;_accession_num&gt;29482578&lt;/_accession_num&gt;&lt;_author_adr&gt;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Pathology, Zhongshan Hospital, Fudan University,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Key Laboratory of Computational Biology, CAS-MPG Partner Institute for Computational Biology, 320 Yue Yang Road, Shanghai, 200031,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and Transplant, Liver Cancer Institute and Zhongshan  Hospital, Fudan University, 136 Yi Xue Yuan Rd, Shanghai, 200032, China.; Key Laboratory for Carcinogenesis and Cancer Invasion, Chinese Ministry of Education, Shanghai, China.; Department of Liver Surgery, The First Affiliated Hospital, Sun Yat-sen University, 58 Zhong Shan Rd 2, Guangzhou, 510080, China. kuangm@mail.sysu.edu.cn.; Department of Liver Surgery and Transplant, Liver Cancer Institute and Zhongshan  Hospital, Fudan University, 136 Yi Xue Yuan Rd, Shanghai, 200032, China. huang.cheng@zs-hospital.sh.cn.; Key Laboratory for Carcinogenesis and Cancer Invasion, Chinese Ministry of Education, Shanghai, China. huang.cheng@zs-hospital.sh.cn.&lt;/_author_adr&gt;&lt;_date_display&gt;2018 Feb 26&lt;/_date_display&gt;&lt;_date&gt;2018-02-26&lt;/_date&gt;&lt;_doi&gt;10.1186/s13045-018-0573-9&lt;/_doi&gt;&lt;_isbn&gt;1756-8722 (Electronic); 1756-8722 (Linking)&lt;/_isbn&gt;&lt;_issue&gt;1&lt;/_issue&gt;&lt;_journal&gt;J Hematol Oncol&lt;/_journal&gt;&lt;_keywords&gt;Epithelial-mesenchymal-transition; Hepatocellular carcinoma; NLRX1; Senescence; Transition; Tumor suppressor&lt;/_keywords&gt;&lt;_language&gt;eng&lt;/_language&gt;&lt;_pages&gt;28&lt;/_pages&gt;&lt;_tertiary_title&gt;Journal of hematology &amp;amp; oncology&lt;/_tertiary_title&gt;&lt;_type_work&gt;Journal Article&lt;/_type_work&gt;&lt;_url&gt;http://www.ncbi.nlm.nih.gov/entrez/query.fcgi?cmd=Retrieve&amp;amp;db=pubmed&amp;amp;dopt=Abstract&amp;amp;list_uids=29482578&amp;amp;query_hl=1&lt;/_url&gt;&lt;_volume&gt;11&lt;/_volume&gt;&lt;_created&gt;62565034&lt;/_created&gt;&lt;_modified&gt;62565034&lt;/_modified&gt;&lt;_impact_factor&gt;   7.333&lt;/_impact_factor&gt;&lt;_collection_scope&gt;SCIE;&lt;/_collection_scope&gt;&lt;/Details&gt;&lt;Extra&gt;&lt;DBUID&gt;{FB0339FA-7C50-4BE0-8CC8-5A98B52918A4}&lt;/DBUID&gt;&lt;/Extra&gt;&lt;/Item&gt;&lt;/References&gt;&lt;/Group&gt;&lt;/Citation&gt;_x000a_"/>
    <w:docVar w:name="ne_stylename" w:val="Molecular Cancer"/>
  </w:docVars>
  <w:rsids>
    <w:rsidRoot w:val="009D7A5A"/>
    <w:rsid w:val="00010E3C"/>
    <w:rsid w:val="000E5B76"/>
    <w:rsid w:val="00123538"/>
    <w:rsid w:val="001433F5"/>
    <w:rsid w:val="001B5F75"/>
    <w:rsid w:val="003B6AE8"/>
    <w:rsid w:val="0046648B"/>
    <w:rsid w:val="0050362D"/>
    <w:rsid w:val="00525206"/>
    <w:rsid w:val="005E0ED8"/>
    <w:rsid w:val="005F5781"/>
    <w:rsid w:val="00606B4D"/>
    <w:rsid w:val="0066126A"/>
    <w:rsid w:val="0066628F"/>
    <w:rsid w:val="00716C3F"/>
    <w:rsid w:val="00857EA6"/>
    <w:rsid w:val="008776EA"/>
    <w:rsid w:val="008F0352"/>
    <w:rsid w:val="009D7A5A"/>
    <w:rsid w:val="00A471AA"/>
    <w:rsid w:val="00B60683"/>
    <w:rsid w:val="00BC0FD6"/>
    <w:rsid w:val="00BC2126"/>
    <w:rsid w:val="00DB5023"/>
    <w:rsid w:val="00E846D1"/>
    <w:rsid w:val="00ED579E"/>
    <w:rsid w:val="00EF1AA2"/>
    <w:rsid w:val="00EF679D"/>
    <w:rsid w:val="00F14850"/>
    <w:rsid w:val="00F55D3D"/>
    <w:rsid w:val="00FC5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0746F3-6112-49DF-97F1-EB48B33E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A5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0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0E3C"/>
    <w:rPr>
      <w:rFonts w:ascii="Calibri" w:eastAsia="宋体" w:hAnsi="Calibri" w:cs="Times New Roman"/>
      <w:sz w:val="18"/>
      <w:szCs w:val="18"/>
    </w:rPr>
  </w:style>
  <w:style w:type="paragraph" w:styleId="a4">
    <w:name w:val="footer"/>
    <w:basedOn w:val="a"/>
    <w:link w:val="Char0"/>
    <w:uiPriority w:val="99"/>
    <w:unhideWhenUsed/>
    <w:rsid w:val="00010E3C"/>
    <w:pPr>
      <w:tabs>
        <w:tab w:val="center" w:pos="4153"/>
        <w:tab w:val="right" w:pos="8306"/>
      </w:tabs>
      <w:snapToGrid w:val="0"/>
      <w:jc w:val="left"/>
    </w:pPr>
    <w:rPr>
      <w:sz w:val="18"/>
      <w:szCs w:val="18"/>
    </w:rPr>
  </w:style>
  <w:style w:type="character" w:customStyle="1" w:styleId="Char0">
    <w:name w:val="页脚 Char"/>
    <w:basedOn w:val="a0"/>
    <w:link w:val="a4"/>
    <w:uiPriority w:val="99"/>
    <w:rsid w:val="00010E3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13</Pages>
  <Words>2604</Words>
  <Characters>14844</Characters>
  <Application>Microsoft Office Word</Application>
  <DocSecurity>0</DocSecurity>
  <Lines>123</Lines>
  <Paragraphs>34</Paragraphs>
  <ScaleCrop>false</ScaleCrop>
  <Company/>
  <LinksUpToDate>false</LinksUpToDate>
  <CharactersWithSpaces>17414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ma.xiaolu</dc:creator>
  <cp:keywords/>
  <dc:description/>
  <cp:lastModifiedBy>ma.xiaolu</cp:lastModifiedBy>
  <cp:revision>23</cp:revision>
  <dcterms:created xsi:type="dcterms:W3CDTF">2018-12-21T08:50:00Z</dcterms:created>
  <dcterms:modified xsi:type="dcterms:W3CDTF">2019-03-15T14:05:00Z</dcterms:modified>
</cp:coreProperties>
</file>