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55" w:rsidRPr="003E0D76" w:rsidRDefault="00734C41" w:rsidP="00D60055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  <w:bookmarkStart w:id="0" w:name="_GoBack"/>
      <w:r>
        <w:rPr>
          <w:rFonts w:ascii="Times" w:hAnsi="Times" w:cs="Times"/>
          <w:sz w:val="24"/>
          <w:szCs w:val="24"/>
        </w:rPr>
        <w:t>Supporting Information</w:t>
      </w:r>
      <w:r w:rsidR="00D60055" w:rsidRPr="003E0D76">
        <w:rPr>
          <w:rFonts w:ascii="Times" w:hAnsi="Times" w:cs="Times"/>
          <w:sz w:val="24"/>
          <w:szCs w:val="24"/>
        </w:rPr>
        <w:t xml:space="preserve"> </w:t>
      </w:r>
      <w:r w:rsidR="00D60055">
        <w:rPr>
          <w:rFonts w:ascii="Times" w:hAnsi="Times" w:cs="Times"/>
          <w:sz w:val="24"/>
          <w:szCs w:val="24"/>
        </w:rPr>
        <w:t>Data</w:t>
      </w:r>
    </w:p>
    <w:p w:rsidR="001509FB" w:rsidRDefault="001509FB" w:rsidP="00D60055">
      <w:pPr>
        <w:pStyle w:val="BIEmailAddress"/>
        <w:rPr>
          <w:rFonts w:ascii="Times New Roman" w:hAnsi="Times New Roman"/>
          <w:sz w:val="28"/>
          <w:szCs w:val="24"/>
        </w:rPr>
      </w:pPr>
      <w:r w:rsidRPr="001509FB">
        <w:rPr>
          <w:rFonts w:ascii="Times New Roman" w:hAnsi="Times New Roman"/>
          <w:sz w:val="28"/>
          <w:szCs w:val="24"/>
        </w:rPr>
        <w:t xml:space="preserve">Functional diversity of inhibitors tackling the differentiation blockage of MLL-rearranged leukemia </w:t>
      </w:r>
    </w:p>
    <w:p w:rsidR="00D60055" w:rsidRPr="00AC72AA" w:rsidRDefault="00D60055" w:rsidP="00D60055">
      <w:pPr>
        <w:pStyle w:val="BIEmailAddress"/>
        <w:rPr>
          <w:i/>
          <w:iCs/>
        </w:rPr>
      </w:pPr>
      <w:r w:rsidRPr="00AC72AA">
        <w:rPr>
          <w:i/>
          <w:iCs/>
        </w:rPr>
        <w:t>Krzysztof Brzezinka</w:t>
      </w:r>
      <w:r w:rsidRPr="00AC72AA">
        <w:rPr>
          <w:i/>
          <w:iCs/>
          <w:vertAlign w:val="superscript"/>
        </w:rPr>
        <w:t>1</w:t>
      </w:r>
      <w:r w:rsidRPr="00AC72AA">
        <w:rPr>
          <w:i/>
          <w:iCs/>
        </w:rPr>
        <w:t>,</w:t>
      </w:r>
      <w:r w:rsidRPr="00AC72AA">
        <w:t xml:space="preserve"> </w:t>
      </w:r>
      <w:r w:rsidRPr="00AC72AA">
        <w:rPr>
          <w:i/>
        </w:rPr>
        <w:t xml:space="preserve">Ekaterina </w:t>
      </w:r>
      <w:r w:rsidRPr="00AC72AA">
        <w:rPr>
          <w:i/>
          <w:iCs/>
        </w:rPr>
        <w:t>Nevedomskaya</w:t>
      </w:r>
      <w:r w:rsidRPr="00AC72AA">
        <w:rPr>
          <w:i/>
          <w:iCs/>
          <w:vertAlign w:val="superscript"/>
        </w:rPr>
        <w:t>1</w:t>
      </w:r>
      <w:r w:rsidRPr="00AC72AA">
        <w:rPr>
          <w:i/>
          <w:iCs/>
        </w:rPr>
        <w:t>, R</w:t>
      </w:r>
      <w:r>
        <w:rPr>
          <w:i/>
          <w:iCs/>
        </w:rPr>
        <w:t xml:space="preserve">alf </w:t>
      </w:r>
      <w:r w:rsidRPr="00AC72AA">
        <w:rPr>
          <w:i/>
          <w:iCs/>
        </w:rPr>
        <w:t>Lesche</w:t>
      </w:r>
      <w:r w:rsidRPr="00AC72AA">
        <w:rPr>
          <w:i/>
          <w:iCs/>
          <w:vertAlign w:val="superscript"/>
        </w:rPr>
        <w:t>1</w:t>
      </w:r>
      <w:r w:rsidRPr="00AC72AA">
        <w:rPr>
          <w:i/>
          <w:iCs/>
        </w:rPr>
        <w:t>, M</w:t>
      </w:r>
      <w:r>
        <w:rPr>
          <w:i/>
          <w:iCs/>
        </w:rPr>
        <w:t xml:space="preserve">ichael </w:t>
      </w:r>
      <w:r w:rsidRPr="00AC72AA">
        <w:rPr>
          <w:i/>
          <w:iCs/>
        </w:rPr>
        <w:t>Steckel</w:t>
      </w:r>
      <w:r w:rsidRPr="00AC72AA">
        <w:rPr>
          <w:i/>
          <w:iCs/>
          <w:vertAlign w:val="superscript"/>
        </w:rPr>
        <w:t>1</w:t>
      </w:r>
      <w:r w:rsidRPr="00AC72AA">
        <w:rPr>
          <w:i/>
          <w:iCs/>
        </w:rPr>
        <w:t xml:space="preserve">, </w:t>
      </w:r>
      <w:r>
        <w:rPr>
          <w:i/>
          <w:iCs/>
        </w:rPr>
        <w:t>Ashley L.</w:t>
      </w:r>
      <w:r w:rsidRPr="00AC72AA">
        <w:rPr>
          <w:i/>
          <w:iCs/>
        </w:rPr>
        <w:t xml:space="preserve"> Eheim</w:t>
      </w:r>
      <w:r w:rsidRPr="00AC72AA">
        <w:rPr>
          <w:i/>
          <w:iCs/>
          <w:vertAlign w:val="superscript"/>
        </w:rPr>
        <w:t>1</w:t>
      </w:r>
      <w:r w:rsidRPr="00AC72AA">
        <w:rPr>
          <w:i/>
          <w:iCs/>
        </w:rPr>
        <w:t>, A</w:t>
      </w:r>
      <w:r>
        <w:rPr>
          <w:i/>
          <w:iCs/>
        </w:rPr>
        <w:t>ndrea</w:t>
      </w:r>
      <w:r w:rsidRPr="00AC72AA">
        <w:rPr>
          <w:i/>
          <w:iCs/>
        </w:rPr>
        <w:t xml:space="preserve"> Haegebarth</w:t>
      </w:r>
      <w:r w:rsidRPr="00AC72AA">
        <w:rPr>
          <w:i/>
          <w:iCs/>
          <w:vertAlign w:val="superscript"/>
        </w:rPr>
        <w:t>1</w:t>
      </w:r>
      <w:r w:rsidRPr="00AC72AA">
        <w:rPr>
          <w:i/>
          <w:iCs/>
        </w:rPr>
        <w:t>, and C</w:t>
      </w:r>
      <w:r>
        <w:rPr>
          <w:i/>
          <w:iCs/>
        </w:rPr>
        <w:t>arlo</w:t>
      </w:r>
      <w:r w:rsidRPr="00AC72AA">
        <w:rPr>
          <w:i/>
          <w:iCs/>
        </w:rPr>
        <w:t xml:space="preserve"> Stresemann</w:t>
      </w:r>
      <w:r w:rsidRPr="00AC72AA">
        <w:rPr>
          <w:i/>
          <w:iCs/>
          <w:vertAlign w:val="superscript"/>
        </w:rPr>
        <w:t>*1</w:t>
      </w:r>
      <w:r w:rsidRPr="00AC72AA">
        <w:rPr>
          <w:i/>
          <w:iCs/>
        </w:rPr>
        <w:t xml:space="preserve"> </w:t>
      </w:r>
    </w:p>
    <w:p w:rsidR="00D60055" w:rsidRPr="009F5AA8" w:rsidRDefault="00D60055" w:rsidP="00D60055">
      <w:pPr>
        <w:pStyle w:val="BIEmailAddress"/>
        <w:rPr>
          <w:i/>
          <w:iCs/>
        </w:rPr>
      </w:pPr>
      <w:r w:rsidRPr="009F5AA8">
        <w:rPr>
          <w:i/>
          <w:iCs/>
          <w:vertAlign w:val="superscript"/>
        </w:rPr>
        <w:t>1</w:t>
      </w:r>
      <w:r w:rsidRPr="009F5AA8">
        <w:rPr>
          <w:i/>
          <w:iCs/>
        </w:rPr>
        <w:t xml:space="preserve">Bayer AG, </w:t>
      </w:r>
      <w:r>
        <w:rPr>
          <w:i/>
          <w:iCs/>
        </w:rPr>
        <w:t>Research &amp; Development, Pharmaceuticals</w:t>
      </w:r>
      <w:r w:rsidRPr="009F5AA8">
        <w:rPr>
          <w:i/>
          <w:iCs/>
        </w:rPr>
        <w:t>,</w:t>
      </w:r>
      <w:r>
        <w:rPr>
          <w:i/>
          <w:iCs/>
        </w:rPr>
        <w:t xml:space="preserve"> </w:t>
      </w:r>
      <w:proofErr w:type="spellStart"/>
      <w:r w:rsidRPr="00B87981">
        <w:rPr>
          <w:i/>
          <w:iCs/>
        </w:rPr>
        <w:t>Muellerstrasse</w:t>
      </w:r>
      <w:proofErr w:type="spellEnd"/>
      <w:r w:rsidRPr="00B87981">
        <w:rPr>
          <w:i/>
          <w:iCs/>
        </w:rPr>
        <w:t xml:space="preserve"> 178, </w:t>
      </w:r>
      <w:r>
        <w:rPr>
          <w:i/>
          <w:iCs/>
        </w:rPr>
        <w:t>D-</w:t>
      </w:r>
      <w:r w:rsidRPr="00B87981">
        <w:rPr>
          <w:i/>
          <w:iCs/>
        </w:rPr>
        <w:t xml:space="preserve">13353 Berlin, Germany </w:t>
      </w:r>
    </w:p>
    <w:p w:rsidR="00D60055" w:rsidRDefault="00D60055" w:rsidP="00D60055">
      <w:pPr>
        <w:pStyle w:val="BIEmailAddress"/>
        <w:rPr>
          <w:rFonts w:ascii="Times New Roman" w:hAnsi="Times New Roman"/>
          <w:b/>
        </w:rPr>
      </w:pPr>
      <w:r w:rsidRPr="005618DF">
        <w:rPr>
          <w:vertAlign w:val="superscript"/>
        </w:rPr>
        <w:t>*</w:t>
      </w:r>
      <w:r>
        <w:t>Corresponding author:</w:t>
      </w:r>
      <w:r>
        <w:rPr>
          <w:rStyle w:val="Hyperlink"/>
        </w:rPr>
        <w:t>carlo.stresemann@bayer.com</w:t>
      </w:r>
      <w:r>
        <w:rPr>
          <w:rFonts w:ascii="Times New Roman" w:hAnsi="Times New Roman"/>
          <w:b/>
        </w:rPr>
        <w:t xml:space="preserve">, </w:t>
      </w:r>
      <w:r w:rsidRPr="00B87981">
        <w:rPr>
          <w:rFonts w:ascii="Times New Roman" w:hAnsi="Times New Roman"/>
        </w:rPr>
        <w:t>Tel:</w:t>
      </w:r>
      <w:r w:rsidRPr="00B87981">
        <w:t xml:space="preserve"> </w:t>
      </w:r>
      <w:r w:rsidRPr="00B87981">
        <w:rPr>
          <w:rFonts w:ascii="Times New Roman" w:hAnsi="Times New Roman"/>
        </w:rPr>
        <w:t>+49 30 468-12866</w:t>
      </w: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D60055" w:rsidRDefault="00D60055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1509FB" w:rsidRDefault="001509FB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99163B" w:rsidRPr="003E0D76" w:rsidRDefault="003E0D76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  <w:r w:rsidRPr="003E0D76">
        <w:rPr>
          <w:rFonts w:ascii="Times" w:hAnsi="Times" w:cs="Times"/>
          <w:sz w:val="24"/>
          <w:szCs w:val="24"/>
        </w:rPr>
        <w:lastRenderedPageBreak/>
        <w:t>Supplementary Table</w:t>
      </w:r>
    </w:p>
    <w:p w:rsidR="0099163B" w:rsidRPr="0005570B" w:rsidRDefault="009C0F32" w:rsidP="0099163B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 xml:space="preserve">Table </w:t>
      </w:r>
      <w:r w:rsidR="004825CE">
        <w:rPr>
          <w:rFonts w:ascii="Times" w:hAnsi="Times" w:cs="Times"/>
          <w:b/>
          <w:sz w:val="24"/>
          <w:szCs w:val="24"/>
        </w:rPr>
        <w:t>S</w:t>
      </w:r>
      <w:r>
        <w:rPr>
          <w:rFonts w:ascii="Times" w:hAnsi="Times" w:cs="Times"/>
          <w:b/>
          <w:sz w:val="24"/>
          <w:szCs w:val="24"/>
        </w:rPr>
        <w:t>1</w:t>
      </w:r>
      <w:r w:rsidR="0099163B" w:rsidRPr="0005570B">
        <w:rPr>
          <w:rFonts w:ascii="Times" w:hAnsi="Times" w:cs="Times"/>
          <w:b/>
          <w:sz w:val="24"/>
          <w:szCs w:val="24"/>
        </w:rPr>
        <w:t xml:space="preserve">. </w:t>
      </w:r>
    </w:p>
    <w:p w:rsidR="0099163B" w:rsidRDefault="0099163B" w:rsidP="0099163B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proofErr w:type="gramStart"/>
      <w:r w:rsidRPr="0005570B">
        <w:rPr>
          <w:rFonts w:ascii="Times" w:hAnsi="Times" w:cs="Times"/>
          <w:b/>
          <w:sz w:val="24"/>
          <w:szCs w:val="24"/>
        </w:rPr>
        <w:t>Characterization of BAY-155 inhibitor.</w:t>
      </w:r>
      <w:proofErr w:type="gramEnd"/>
    </w:p>
    <w:p w:rsidR="003E0D76" w:rsidRPr="0005570B" w:rsidRDefault="0028777A" w:rsidP="0099163B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noProof/>
          <w:sz w:val="24"/>
          <w:szCs w:val="24"/>
          <w:lang w:val="en-PH" w:eastAsia="en-PH"/>
        </w:rPr>
        <w:drawing>
          <wp:inline distT="0" distB="0" distL="0" distR="0">
            <wp:extent cx="5760720" cy="3383280"/>
            <wp:effectExtent l="0" t="0" r="0" b="7620"/>
            <wp:docPr id="1" name="Grafik 1" descr="\\Emea.healthcare.cnb\bhc\Functions\R and D\GDD\PCR\ONC_I\01_Labs\Lab ONC_I-03\Experimente Kris\AML DIFFERENTIATION PAPER\Figures (incl. raw data)\Figures Illustrator\Leukemia\Tab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mea.healthcare.cnb\bhc\Functions\R and D\GDD\PCR\ONC_I\01_Labs\Lab ONC_I-03\Experimente Kris\AML DIFFERENTIATION PAPER\Figures (incl. raw data)\Figures Illustrator\Leukemia\Table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77A" w:rsidRDefault="0028777A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28777A" w:rsidRDefault="0028777A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28777A" w:rsidRDefault="0028777A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28777A" w:rsidRDefault="0028777A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28777A" w:rsidRDefault="0028777A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28777A" w:rsidRDefault="0028777A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28777A" w:rsidRDefault="0028777A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28777A" w:rsidRDefault="0028777A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</w:p>
    <w:p w:rsidR="003E0D76" w:rsidRPr="003E0D76" w:rsidRDefault="003E0D76" w:rsidP="003E0D76">
      <w:pPr>
        <w:spacing w:after="240" w:line="480" w:lineRule="auto"/>
        <w:jc w:val="center"/>
        <w:rPr>
          <w:rFonts w:ascii="Times" w:hAnsi="Times" w:cs="Times"/>
          <w:sz w:val="24"/>
          <w:szCs w:val="24"/>
        </w:rPr>
      </w:pPr>
      <w:r w:rsidRPr="003E0D76">
        <w:rPr>
          <w:rFonts w:ascii="Times" w:hAnsi="Times" w:cs="Times"/>
          <w:sz w:val="24"/>
          <w:szCs w:val="24"/>
        </w:rPr>
        <w:lastRenderedPageBreak/>
        <w:t xml:space="preserve">Supplementary </w:t>
      </w:r>
      <w:r>
        <w:rPr>
          <w:rFonts w:ascii="Times" w:hAnsi="Times" w:cs="Times"/>
          <w:sz w:val="24"/>
          <w:szCs w:val="24"/>
        </w:rPr>
        <w:t>Figures</w:t>
      </w:r>
    </w:p>
    <w:p w:rsidR="004400AC" w:rsidRPr="0005570B" w:rsidRDefault="002F7E3B" w:rsidP="00EA5E20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noProof/>
          <w:sz w:val="24"/>
          <w:szCs w:val="24"/>
          <w:lang w:val="en-PH" w:eastAsia="en-PH"/>
        </w:rPr>
        <w:drawing>
          <wp:inline distT="0" distB="0" distL="0" distR="0">
            <wp:extent cx="3870960" cy="4648200"/>
            <wp:effectExtent l="0" t="0" r="0" b="0"/>
            <wp:docPr id="2" name="Grafik 2" descr="\\Emea.healthcare.cnb\bhc\Functions\R and D\GDD\PCR\ONC_I\01_Labs\Lab ONC_I-03\Experimente Kris\AML DIFFERENTIATION PAPER\Figures (incl. raw data)\Figures Illustrator\Leukemia\Supp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Emea.healthcare.cnb\bhc\Functions\R and D\GDD\PCR\ONC_I\01_Labs\Lab ONC_I-03\Experimente Kris\AML DIFFERENTIATION PAPER\Figures (incl. raw data)\Figures Illustrator\Leukemia\Supp Figur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0A" w:rsidRPr="0005570B" w:rsidRDefault="004825CE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1. </w:t>
      </w:r>
    </w:p>
    <w:p w:rsidR="00A2540A" w:rsidRDefault="00A2540A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 w:rsidRPr="0005570B">
        <w:rPr>
          <w:rFonts w:ascii="Times" w:hAnsi="Times" w:cs="Times"/>
          <w:b/>
          <w:sz w:val="24"/>
          <w:szCs w:val="24"/>
        </w:rPr>
        <w:t>Apoptosis and cell death induced by BAY-155, OTX015, EPZ-5676, BAY 1251152</w:t>
      </w:r>
      <w:r>
        <w:rPr>
          <w:rFonts w:ascii="Times" w:hAnsi="Times" w:cs="Times"/>
          <w:b/>
          <w:sz w:val="24"/>
          <w:szCs w:val="24"/>
        </w:rPr>
        <w:t xml:space="preserve"> </w:t>
      </w:r>
      <w:r w:rsidRPr="0005570B">
        <w:rPr>
          <w:rFonts w:ascii="Times" w:hAnsi="Times" w:cs="Times"/>
          <w:b/>
          <w:sz w:val="24"/>
          <w:szCs w:val="24"/>
        </w:rPr>
        <w:t xml:space="preserve">and </w:t>
      </w:r>
      <w:proofErr w:type="spellStart"/>
      <w:r w:rsidRPr="0005570B">
        <w:rPr>
          <w:rFonts w:ascii="Times" w:hAnsi="Times" w:cs="Times"/>
          <w:b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b/>
          <w:sz w:val="24"/>
          <w:szCs w:val="24"/>
        </w:rPr>
        <w:t xml:space="preserve"> treatment. </w:t>
      </w:r>
      <w:r w:rsidRPr="0005570B">
        <w:rPr>
          <w:rFonts w:ascii="Times" w:hAnsi="Times" w:cs="Times"/>
          <w:sz w:val="24"/>
          <w:szCs w:val="24"/>
        </w:rPr>
        <w:t xml:space="preserve">Cell viability, necrosis, early and late apoptosis induced by BAY-155, OTX015, EPZ-5676, BAY 1251152, and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after 4 days of treatment in MV4-11, MOLM-13 and HL-60 cell lines. Quantification of </w:t>
      </w:r>
      <w:proofErr w:type="spellStart"/>
      <w:r w:rsidRPr="0005570B">
        <w:rPr>
          <w:rFonts w:ascii="Times" w:hAnsi="Times" w:cs="Times"/>
          <w:sz w:val="24"/>
          <w:szCs w:val="24"/>
        </w:rPr>
        <w:t>Annexin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V and </w:t>
      </w:r>
      <w:proofErr w:type="spellStart"/>
      <w:r w:rsidRPr="0005570B">
        <w:rPr>
          <w:rFonts w:ascii="Times" w:hAnsi="Times" w:cs="Times"/>
          <w:sz w:val="24"/>
          <w:szCs w:val="24"/>
        </w:rPr>
        <w:t>Propidium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Iodide (PI) staining was detected by flow cytometry. Data represents % of each cell state in relation to all single intact cell population.</w:t>
      </w:r>
    </w:p>
    <w:p w:rsidR="00EB4C46" w:rsidRPr="0005570B" w:rsidRDefault="002F7E3B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2BFD8BFA" wp14:editId="38EFD1E9">
            <wp:extent cx="4053840" cy="5547360"/>
            <wp:effectExtent l="0" t="0" r="3810" b="0"/>
            <wp:docPr id="3" name="Grafik 3" descr="\\Emea.healthcare.cnb\bhc\Functions\R and D\GDD\PCR\ONC_I\01_Labs\Lab ONC_I-03\Experimente Kris\AML DIFFERENTIATION PAPER\Figures (incl. raw data)\Figures Illustrator\Leukemia\Supp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Emea.healthcare.cnb\bhc\Functions\R and D\GDD\PCR\ONC_I\01_Labs\Lab ONC_I-03\Experimente Kris\AML DIFFERENTIATION PAPER\Figures (incl. raw data)\Figures Illustrator\Leukemia\Supp Figur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0A" w:rsidRPr="0005570B" w:rsidRDefault="004825CE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2. </w:t>
      </w:r>
    </w:p>
    <w:p w:rsidR="00A2540A" w:rsidRDefault="00A2540A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 w:rsidRPr="0005570B">
        <w:rPr>
          <w:rFonts w:ascii="Times" w:hAnsi="Times" w:cs="Times"/>
          <w:b/>
          <w:sz w:val="24"/>
          <w:szCs w:val="24"/>
        </w:rPr>
        <w:t>Cell cycle arrest induced by BAY-155</w:t>
      </w:r>
      <w:r>
        <w:rPr>
          <w:rFonts w:ascii="Times" w:hAnsi="Times" w:cs="Times"/>
          <w:b/>
          <w:sz w:val="24"/>
          <w:szCs w:val="24"/>
        </w:rPr>
        <w:t>, OTX015, EPZ-5676, BAY 1251152</w:t>
      </w:r>
      <w:r w:rsidRPr="0005570B">
        <w:rPr>
          <w:rFonts w:ascii="Times" w:hAnsi="Times" w:cs="Times"/>
          <w:b/>
          <w:sz w:val="24"/>
          <w:szCs w:val="24"/>
        </w:rPr>
        <w:t xml:space="preserve"> and </w:t>
      </w:r>
      <w:proofErr w:type="spellStart"/>
      <w:r w:rsidRPr="0005570B">
        <w:rPr>
          <w:rFonts w:ascii="Times" w:hAnsi="Times" w:cs="Times"/>
          <w:b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b/>
          <w:sz w:val="24"/>
          <w:szCs w:val="24"/>
        </w:rPr>
        <w:t xml:space="preserve"> treatment. </w:t>
      </w:r>
      <w:r>
        <w:rPr>
          <w:rFonts w:ascii="Times" w:hAnsi="Times" w:cs="Times"/>
          <w:sz w:val="24"/>
          <w:szCs w:val="24"/>
        </w:rPr>
        <w:t>C</w:t>
      </w:r>
      <w:r w:rsidRPr="0005570B">
        <w:rPr>
          <w:rFonts w:ascii="Times" w:hAnsi="Times" w:cs="Times"/>
          <w:sz w:val="24"/>
          <w:szCs w:val="24"/>
        </w:rPr>
        <w:t xml:space="preserve">ell-cycle analysis </w:t>
      </w:r>
      <w:r>
        <w:rPr>
          <w:rFonts w:ascii="Times" w:hAnsi="Times" w:cs="Times"/>
          <w:sz w:val="24"/>
          <w:szCs w:val="24"/>
        </w:rPr>
        <w:t>by q</w:t>
      </w:r>
      <w:r w:rsidRPr="0005570B">
        <w:rPr>
          <w:rFonts w:ascii="Times" w:hAnsi="Times" w:cs="Times"/>
          <w:sz w:val="24"/>
          <w:szCs w:val="24"/>
        </w:rPr>
        <w:t>u</w:t>
      </w:r>
      <w:r>
        <w:rPr>
          <w:rFonts w:ascii="Times" w:hAnsi="Times" w:cs="Times"/>
          <w:sz w:val="24"/>
          <w:szCs w:val="24"/>
        </w:rPr>
        <w:t>a</w:t>
      </w:r>
      <w:r w:rsidRPr="0005570B">
        <w:rPr>
          <w:rFonts w:ascii="Times" w:hAnsi="Times" w:cs="Times"/>
          <w:sz w:val="24"/>
          <w:szCs w:val="24"/>
        </w:rPr>
        <w:t xml:space="preserve">ntification of </w:t>
      </w:r>
      <w:proofErr w:type="spellStart"/>
      <w:r w:rsidRPr="0005570B">
        <w:rPr>
          <w:rFonts w:ascii="Times" w:hAnsi="Times" w:cs="Times"/>
          <w:sz w:val="24"/>
          <w:szCs w:val="24"/>
        </w:rPr>
        <w:t>propidium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iodide</w:t>
      </w:r>
      <w:r w:rsidRPr="0005570B">
        <w:rPr>
          <w:rFonts w:ascii="Times" w:hAnsi="Times" w:cs="Times"/>
          <w:b/>
          <w:sz w:val="24"/>
          <w:szCs w:val="24"/>
        </w:rPr>
        <w:t xml:space="preserve"> </w:t>
      </w:r>
      <w:r w:rsidRPr="0005570B">
        <w:rPr>
          <w:rFonts w:ascii="Times" w:hAnsi="Times" w:cs="Times"/>
          <w:sz w:val="24"/>
          <w:szCs w:val="24"/>
        </w:rPr>
        <w:t xml:space="preserve">DNA content after 4 days of treatment with BAY-155, OTX015, EPZ-5676, BAY 1251152, and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in </w:t>
      </w:r>
      <w:proofErr w:type="spellStart"/>
      <w:r w:rsidRPr="0005570B">
        <w:rPr>
          <w:rFonts w:ascii="Times" w:hAnsi="Times" w:cs="Times"/>
          <w:sz w:val="24"/>
          <w:szCs w:val="24"/>
        </w:rPr>
        <w:t>MV4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-11, </w:t>
      </w:r>
      <w:proofErr w:type="spellStart"/>
      <w:r w:rsidRPr="0005570B">
        <w:rPr>
          <w:rFonts w:ascii="Times" w:hAnsi="Times" w:cs="Times"/>
          <w:sz w:val="24"/>
          <w:szCs w:val="24"/>
        </w:rPr>
        <w:t>MOLM</w:t>
      </w:r>
      <w:proofErr w:type="spellEnd"/>
      <w:r w:rsidRPr="0005570B">
        <w:rPr>
          <w:rFonts w:ascii="Times" w:hAnsi="Times" w:cs="Times"/>
          <w:sz w:val="24"/>
          <w:szCs w:val="24"/>
        </w:rPr>
        <w:t>-13 and HL-60 cell lines. Bar charts show an average of two biological replicates, error shows SD.</w:t>
      </w:r>
    </w:p>
    <w:p w:rsidR="00EB4C46" w:rsidRPr="0005570B" w:rsidRDefault="002F7E3B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  <w:lang w:val="en-PH" w:eastAsia="en-PH"/>
        </w:rPr>
        <w:lastRenderedPageBreak/>
        <w:drawing>
          <wp:inline distT="0" distB="0" distL="0" distR="0">
            <wp:extent cx="1965960" cy="3688080"/>
            <wp:effectExtent l="0" t="0" r="0" b="7620"/>
            <wp:docPr id="4" name="Grafik 4" descr="\\Emea.healthcare.cnb\bhc\Functions\R and D\GDD\PCR\ONC_I\01_Labs\Lab ONC_I-03\Experimente Kris\AML DIFFERENTIATION PAPER\Figures (incl. raw data)\Figures Illustrator\Leukemia\Supp 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Emea.healthcare.cnb\bhc\Functions\R and D\GDD\PCR\ONC_I\01_Labs\Lab ONC_I-03\Experimente Kris\AML DIFFERENTIATION PAPER\Figures (incl. raw data)\Figures Illustrator\Leukemia\Supp Figure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0A" w:rsidRPr="0005570B" w:rsidRDefault="004825CE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</w:t>
      </w:r>
      <w:r w:rsidR="00A2540A" w:rsidRPr="0005570B">
        <w:rPr>
          <w:rFonts w:ascii="Times" w:hAnsi="Times" w:cs="Times"/>
          <w:b/>
          <w:sz w:val="24"/>
          <w:szCs w:val="24"/>
        </w:rPr>
        <w:t>3.</w:t>
      </w:r>
    </w:p>
    <w:p w:rsidR="00A2540A" w:rsidRDefault="00A2540A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 w:rsidRPr="0005570B">
        <w:rPr>
          <w:rFonts w:ascii="Times" w:eastAsia="Times New Roman" w:hAnsi="Times" w:cs="Times"/>
          <w:b/>
          <w:sz w:val="24"/>
          <w:szCs w:val="24"/>
        </w:rPr>
        <w:t>Morphological differentiation induced by</w:t>
      </w:r>
      <w:r w:rsidRPr="0005570B">
        <w:rPr>
          <w:rFonts w:ascii="Times" w:hAnsi="Times" w:cs="Times"/>
          <w:b/>
          <w:sz w:val="24"/>
          <w:szCs w:val="24"/>
        </w:rPr>
        <w:t xml:space="preserve"> inhibitor treatment in</w:t>
      </w:r>
      <w:r w:rsidRPr="0005570B">
        <w:rPr>
          <w:rFonts w:ascii="Times" w:eastAsia="Times New Roman" w:hAnsi="Times" w:cs="Times"/>
          <w:b/>
          <w:sz w:val="24"/>
          <w:szCs w:val="24"/>
        </w:rPr>
        <w:t xml:space="preserve"> ALL.</w:t>
      </w:r>
      <w:r w:rsidRPr="0005570B">
        <w:rPr>
          <w:rFonts w:ascii="Times" w:hAnsi="Times" w:cs="Times"/>
          <w:sz w:val="24"/>
          <w:szCs w:val="24"/>
        </w:rPr>
        <w:t xml:space="preserve"> Wright-Giemsa-stained </w:t>
      </w:r>
      <w:proofErr w:type="spellStart"/>
      <w:r w:rsidRPr="0005570B">
        <w:rPr>
          <w:rFonts w:ascii="Times" w:hAnsi="Times" w:cs="Times"/>
          <w:sz w:val="24"/>
          <w:szCs w:val="24"/>
        </w:rPr>
        <w:t>cytospins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of </w:t>
      </w:r>
      <w:proofErr w:type="spellStart"/>
      <w:r w:rsidRPr="0005570B">
        <w:rPr>
          <w:rFonts w:ascii="Times" w:hAnsi="Times" w:cs="Times"/>
          <w:sz w:val="24"/>
          <w:szCs w:val="24"/>
        </w:rPr>
        <w:t>KOPN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-8 and </w:t>
      </w:r>
      <w:proofErr w:type="spellStart"/>
      <w:r w:rsidRPr="0005570B">
        <w:rPr>
          <w:rFonts w:ascii="Times" w:hAnsi="Times" w:cs="Times"/>
          <w:sz w:val="24"/>
          <w:szCs w:val="24"/>
        </w:rPr>
        <w:t>Jurkat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cells after 7 days of treatment with BAY-155 (2.5 µM, 10 µM respectively), OTX015 (0.05 µM, 0.6 µM respectively), EPZ-5676 (10 µM, 10 µM respectively), BAY 125115</w:t>
      </w:r>
      <w:r>
        <w:rPr>
          <w:rFonts w:ascii="Times" w:hAnsi="Times" w:cs="Times"/>
          <w:sz w:val="24"/>
          <w:szCs w:val="24"/>
        </w:rPr>
        <w:t>2 (0.1 µM, 0.1 µM respectively)</w:t>
      </w:r>
      <w:r w:rsidRPr="0005570B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(1 µM, 0.2 µM respectively). In the top right corner of each image magnification of representative cells are shown. Black scale bar indicates 10 µm.</w:t>
      </w:r>
    </w:p>
    <w:p w:rsidR="002F7E3B" w:rsidRDefault="002F7E3B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</w:p>
    <w:p w:rsidR="00EB4C46" w:rsidRPr="0005570B" w:rsidRDefault="002F7E3B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  <w:lang w:val="en-PH" w:eastAsia="en-PH"/>
        </w:rPr>
        <w:lastRenderedPageBreak/>
        <w:drawing>
          <wp:inline distT="0" distB="0" distL="0" distR="0">
            <wp:extent cx="2941320" cy="4145280"/>
            <wp:effectExtent l="0" t="0" r="0" b="7620"/>
            <wp:docPr id="6" name="Grafik 6" descr="\\Emea.healthcare.cnb\bhc\Functions\R and D\GDD\PCR\ONC_I\01_Labs\Lab ONC_I-03\Experimente Kris\AML DIFFERENTIATION PAPER\Figures (incl. raw data)\Figures Illustrator\Leukemia\Supp Figur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Emea.healthcare.cnb\bhc\Functions\R and D\GDD\PCR\ONC_I\01_Labs\Lab ONC_I-03\Experimente Kris\AML DIFFERENTIATION PAPER\Figures (incl. raw data)\Figures Illustrator\Leukemia\Supp Figure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0A" w:rsidRPr="0005570B" w:rsidRDefault="004825CE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</w:t>
      </w:r>
      <w:r w:rsidR="001509FB">
        <w:rPr>
          <w:rFonts w:ascii="Times" w:hAnsi="Times" w:cs="Times"/>
          <w:b/>
          <w:sz w:val="24"/>
          <w:szCs w:val="24"/>
        </w:rPr>
        <w:t>4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. </w:t>
      </w:r>
    </w:p>
    <w:p w:rsidR="00A2540A" w:rsidRDefault="00A2540A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 w:rsidRPr="0005570B">
        <w:rPr>
          <w:rFonts w:ascii="Times" w:hAnsi="Times" w:cs="Times"/>
          <w:b/>
          <w:sz w:val="24"/>
          <w:szCs w:val="24"/>
        </w:rPr>
        <w:t xml:space="preserve">Overlaps of </w:t>
      </w:r>
      <w:r>
        <w:rPr>
          <w:rFonts w:ascii="Times" w:hAnsi="Times" w:cs="Times"/>
          <w:b/>
          <w:sz w:val="24"/>
          <w:szCs w:val="24"/>
        </w:rPr>
        <w:t>up- and down-regulated</w:t>
      </w:r>
      <w:r w:rsidRPr="0005570B">
        <w:rPr>
          <w:rFonts w:ascii="Times" w:hAnsi="Times" w:cs="Times"/>
          <w:b/>
          <w:sz w:val="24"/>
          <w:szCs w:val="24"/>
        </w:rPr>
        <w:t xml:space="preserve"> </w:t>
      </w:r>
      <w:r>
        <w:rPr>
          <w:rFonts w:ascii="Times" w:hAnsi="Times" w:cs="Times"/>
          <w:b/>
          <w:sz w:val="24"/>
          <w:szCs w:val="24"/>
        </w:rPr>
        <w:t>genes</w:t>
      </w:r>
      <w:r w:rsidRPr="0005570B">
        <w:rPr>
          <w:rFonts w:ascii="Times" w:hAnsi="Times" w:cs="Times"/>
          <w:b/>
          <w:sz w:val="24"/>
          <w:szCs w:val="24"/>
        </w:rPr>
        <w:t xml:space="preserve"> between</w:t>
      </w:r>
      <w:r>
        <w:rPr>
          <w:rFonts w:ascii="Times" w:hAnsi="Times" w:cs="Times"/>
          <w:b/>
          <w:sz w:val="24"/>
          <w:szCs w:val="24"/>
        </w:rPr>
        <w:t xml:space="preserve"> different</w:t>
      </w:r>
      <w:r w:rsidRPr="0005570B">
        <w:rPr>
          <w:rFonts w:ascii="Times" w:hAnsi="Times" w:cs="Times"/>
          <w:b/>
          <w:sz w:val="24"/>
          <w:szCs w:val="24"/>
        </w:rPr>
        <w:t xml:space="preserve"> inhibitors and cell models. </w:t>
      </w:r>
      <w:proofErr w:type="spellStart"/>
      <w:r>
        <w:rPr>
          <w:rFonts w:ascii="Times" w:hAnsi="Times" w:cs="Times"/>
          <w:sz w:val="24"/>
          <w:szCs w:val="24"/>
        </w:rPr>
        <w:t>H</w:t>
      </w:r>
      <w:r w:rsidRPr="0005570B">
        <w:rPr>
          <w:rFonts w:ascii="Times" w:hAnsi="Times" w:cs="Times"/>
          <w:sz w:val="24"/>
          <w:szCs w:val="24"/>
        </w:rPr>
        <w:t>eatmap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representing overlaps of up-regulated (A) and down-regulated (B) genes sorted by inhibitor. Overlap proportions are calculated as follows: Overlap = </w:t>
      </w:r>
      <w:proofErr w:type="spellStart"/>
      <w:r w:rsidRPr="0005570B">
        <w:rPr>
          <w:rFonts w:ascii="Times" w:hAnsi="Times" w:cs="Times"/>
          <w:sz w:val="24"/>
          <w:szCs w:val="24"/>
        </w:rPr>
        <w:t>A</w:t>
      </w:r>
      <w:r>
        <w:rPr>
          <w:rFonts w:ascii="Times" w:hAnsi="Times" w:cs="Times"/>
          <w:sz w:val="24"/>
          <w:szCs w:val="24"/>
        </w:rPr>
        <w:t>∩</w:t>
      </w:r>
      <w:r w:rsidRPr="0005570B">
        <w:rPr>
          <w:rFonts w:ascii="Times" w:hAnsi="Times" w:cs="Times"/>
          <w:sz w:val="24"/>
          <w:szCs w:val="24"/>
        </w:rPr>
        <w:t>B</w:t>
      </w:r>
      <w:proofErr w:type="spellEnd"/>
      <w:r w:rsidRPr="0005570B">
        <w:rPr>
          <w:rFonts w:ascii="Times" w:hAnsi="Times" w:cs="Times"/>
          <w:sz w:val="24"/>
          <w:szCs w:val="24"/>
        </w:rPr>
        <w:t>/(</w:t>
      </w:r>
      <w:proofErr w:type="spellStart"/>
      <w:r w:rsidRPr="0005570B">
        <w:rPr>
          <w:rFonts w:ascii="Times" w:hAnsi="Times" w:cs="Times"/>
          <w:sz w:val="24"/>
          <w:szCs w:val="24"/>
        </w:rPr>
        <w:t>A</w:t>
      </w:r>
      <w:r w:rsidRPr="0005570B">
        <w:rPr>
          <w:rFonts w:ascii="Times" w:hAnsi="Times" w:cs="Times"/>
          <w:sz w:val="24"/>
          <w:szCs w:val="24"/>
          <w:vertAlign w:val="subscript"/>
        </w:rPr>
        <w:t>unique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+ </w:t>
      </w:r>
      <w:proofErr w:type="spellStart"/>
      <w:r w:rsidRPr="0005570B">
        <w:rPr>
          <w:rFonts w:ascii="Times" w:hAnsi="Times" w:cs="Times"/>
          <w:sz w:val="24"/>
          <w:szCs w:val="24"/>
        </w:rPr>
        <w:t>A</w:t>
      </w:r>
      <w:r>
        <w:rPr>
          <w:rFonts w:ascii="Times" w:hAnsi="Times" w:cs="Times"/>
          <w:sz w:val="24"/>
          <w:szCs w:val="24"/>
        </w:rPr>
        <w:t>∩</w:t>
      </w:r>
      <w:r w:rsidRPr="0005570B">
        <w:rPr>
          <w:rFonts w:ascii="Times" w:hAnsi="Times" w:cs="Times"/>
          <w:sz w:val="24"/>
          <w:szCs w:val="24"/>
        </w:rPr>
        <w:t>B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+ </w:t>
      </w:r>
      <w:proofErr w:type="spellStart"/>
      <w:r w:rsidRPr="0005570B">
        <w:rPr>
          <w:rFonts w:ascii="Times" w:hAnsi="Times" w:cs="Times"/>
          <w:sz w:val="24"/>
          <w:szCs w:val="24"/>
        </w:rPr>
        <w:t>B</w:t>
      </w:r>
      <w:r w:rsidRPr="0005570B">
        <w:rPr>
          <w:rFonts w:ascii="Times" w:hAnsi="Times" w:cs="Times"/>
          <w:sz w:val="24"/>
          <w:szCs w:val="24"/>
          <w:vertAlign w:val="subscript"/>
        </w:rPr>
        <w:t>unique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), where A and B represent </w:t>
      </w:r>
      <w:r>
        <w:rPr>
          <w:rFonts w:ascii="Times" w:hAnsi="Times" w:cs="Times"/>
          <w:sz w:val="24"/>
          <w:szCs w:val="24"/>
        </w:rPr>
        <w:t>the conditions compared</w:t>
      </w:r>
      <w:r w:rsidRPr="0005570B">
        <w:rPr>
          <w:rFonts w:ascii="Times" w:hAnsi="Times" w:cs="Times"/>
          <w:sz w:val="24"/>
          <w:szCs w:val="24"/>
        </w:rPr>
        <w:t>.</w:t>
      </w:r>
    </w:p>
    <w:p w:rsidR="00EB4C46" w:rsidRPr="0005570B" w:rsidRDefault="002F7E3B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  <w:lang w:val="en-PH" w:eastAsia="en-PH"/>
        </w:rPr>
        <w:lastRenderedPageBreak/>
        <w:drawing>
          <wp:inline distT="0" distB="0" distL="0" distR="0">
            <wp:extent cx="2621280" cy="4632960"/>
            <wp:effectExtent l="0" t="0" r="7620" b="0"/>
            <wp:docPr id="7" name="Grafik 7" descr="\\Emea.healthcare.cnb\bhc\Functions\R and D\GDD\PCR\ONC_I\01_Labs\Lab ONC_I-03\Experimente Kris\AML DIFFERENTIATION PAPER\Figures (incl. raw data)\Figures Illustrator\Leukemia\Supp Figur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Emea.healthcare.cnb\bhc\Functions\R and D\GDD\PCR\ONC_I\01_Labs\Lab ONC_I-03\Experimente Kris\AML DIFFERENTIATION PAPER\Figures (incl. raw data)\Figures Illustrator\Leukemia\Supp Figure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463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0A" w:rsidRPr="0005570B" w:rsidRDefault="004825CE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</w:t>
      </w:r>
      <w:r w:rsidR="001509FB">
        <w:rPr>
          <w:rFonts w:ascii="Times" w:hAnsi="Times" w:cs="Times"/>
          <w:b/>
          <w:sz w:val="24"/>
          <w:szCs w:val="24"/>
        </w:rPr>
        <w:t>5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. </w:t>
      </w:r>
    </w:p>
    <w:p w:rsidR="00A2540A" w:rsidRDefault="00A2540A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P</w:t>
      </w:r>
      <w:r w:rsidRPr="0005570B">
        <w:rPr>
          <w:rFonts w:ascii="Times" w:hAnsi="Times" w:cs="Times"/>
          <w:b/>
          <w:sz w:val="24"/>
          <w:szCs w:val="24"/>
        </w:rPr>
        <w:t xml:space="preserve">rincipal component analysis </w:t>
      </w:r>
      <w:r>
        <w:rPr>
          <w:rFonts w:ascii="Times" w:hAnsi="Times" w:cs="Times"/>
          <w:b/>
          <w:sz w:val="24"/>
          <w:szCs w:val="24"/>
        </w:rPr>
        <w:t>of gene expression in</w:t>
      </w:r>
      <w:r w:rsidRPr="0005570B">
        <w:rPr>
          <w:rFonts w:ascii="Times" w:hAnsi="Times" w:cs="Times"/>
          <w:sz w:val="24"/>
          <w:szCs w:val="24"/>
        </w:rPr>
        <w:t xml:space="preserve"> </w:t>
      </w:r>
      <w:r w:rsidRPr="0005570B">
        <w:rPr>
          <w:rFonts w:ascii="Times" w:hAnsi="Times" w:cs="Times"/>
          <w:b/>
          <w:sz w:val="24"/>
          <w:szCs w:val="24"/>
        </w:rPr>
        <w:t xml:space="preserve">ALL cell lines. </w:t>
      </w:r>
      <w:r w:rsidRPr="0005570B">
        <w:rPr>
          <w:rFonts w:ascii="Times" w:hAnsi="Times" w:cs="Times"/>
          <w:sz w:val="24"/>
          <w:szCs w:val="24"/>
        </w:rPr>
        <w:t xml:space="preserve">(A) </w:t>
      </w:r>
      <w:r>
        <w:rPr>
          <w:rFonts w:ascii="Times" w:hAnsi="Times" w:cs="Times"/>
          <w:sz w:val="24"/>
          <w:szCs w:val="24"/>
        </w:rPr>
        <w:t xml:space="preserve">Scores plot of the PCA based on </w:t>
      </w:r>
      <w:r w:rsidRPr="0005570B">
        <w:rPr>
          <w:rFonts w:ascii="Times" w:hAnsi="Times" w:cs="Times"/>
          <w:sz w:val="24"/>
          <w:szCs w:val="24"/>
        </w:rPr>
        <w:t xml:space="preserve">the top thousand most variable genes </w:t>
      </w:r>
      <w:r>
        <w:rPr>
          <w:rFonts w:ascii="Times" w:hAnsi="Times" w:cs="Times"/>
          <w:sz w:val="24"/>
          <w:szCs w:val="24"/>
        </w:rPr>
        <w:t xml:space="preserve">in </w:t>
      </w:r>
      <w:r w:rsidRPr="0005570B">
        <w:rPr>
          <w:rFonts w:ascii="Times" w:hAnsi="Times" w:cs="Times"/>
          <w:sz w:val="24"/>
          <w:szCs w:val="24"/>
        </w:rPr>
        <w:t>A</w:t>
      </w:r>
      <w:r>
        <w:rPr>
          <w:rFonts w:ascii="Times" w:hAnsi="Times" w:cs="Times"/>
          <w:sz w:val="24"/>
          <w:szCs w:val="24"/>
        </w:rPr>
        <w:t>L</w:t>
      </w:r>
      <w:r w:rsidRPr="0005570B">
        <w:rPr>
          <w:rFonts w:ascii="Times" w:hAnsi="Times" w:cs="Times"/>
          <w:sz w:val="24"/>
          <w:szCs w:val="24"/>
        </w:rPr>
        <w:t>L cell line</w:t>
      </w:r>
      <w:r>
        <w:rPr>
          <w:rFonts w:ascii="Times" w:hAnsi="Times" w:cs="Times"/>
          <w:sz w:val="24"/>
          <w:szCs w:val="24"/>
        </w:rPr>
        <w:t>s.</w:t>
      </w:r>
      <w:r w:rsidRPr="0005570B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Data adjusted</w:t>
      </w:r>
      <w:r w:rsidRPr="0005570B">
        <w:rPr>
          <w:rFonts w:ascii="Times" w:hAnsi="Times" w:cs="Times"/>
          <w:sz w:val="24"/>
          <w:szCs w:val="24"/>
        </w:rPr>
        <w:t xml:space="preserve"> to </w:t>
      </w:r>
      <w:r>
        <w:rPr>
          <w:rFonts w:ascii="Times" w:hAnsi="Times" w:cs="Times"/>
          <w:sz w:val="24"/>
          <w:szCs w:val="24"/>
        </w:rPr>
        <w:t xml:space="preserve">gene expression in </w:t>
      </w:r>
      <w:r w:rsidRPr="0005570B">
        <w:rPr>
          <w:rFonts w:ascii="Times" w:hAnsi="Times" w:cs="Times"/>
          <w:sz w:val="24"/>
          <w:szCs w:val="24"/>
        </w:rPr>
        <w:t>vehicle (DMSO). (C)</w:t>
      </w:r>
      <w:r>
        <w:rPr>
          <w:rFonts w:ascii="Times" w:hAnsi="Times" w:cs="Times"/>
          <w:sz w:val="24"/>
          <w:szCs w:val="24"/>
        </w:rPr>
        <w:t xml:space="preserve"> Loadings plot corresponding to the plot in</w:t>
      </w:r>
      <w:r w:rsidRPr="0005570B">
        <w:rPr>
          <w:rFonts w:ascii="Times" w:hAnsi="Times" w:cs="Times"/>
          <w:sz w:val="24"/>
          <w:szCs w:val="24"/>
        </w:rPr>
        <w:t xml:space="preserve"> (B). Genes associated with A</w:t>
      </w:r>
      <w:r>
        <w:rPr>
          <w:rFonts w:ascii="Times" w:hAnsi="Times" w:cs="Times"/>
          <w:sz w:val="24"/>
          <w:szCs w:val="24"/>
        </w:rPr>
        <w:t>L</w:t>
      </w:r>
      <w:r w:rsidRPr="0005570B">
        <w:rPr>
          <w:rFonts w:ascii="Times" w:hAnsi="Times" w:cs="Times"/>
          <w:sz w:val="24"/>
          <w:szCs w:val="24"/>
        </w:rPr>
        <w:t>L differentiation are highlighted.</w:t>
      </w:r>
    </w:p>
    <w:p w:rsidR="00EB4C46" w:rsidRPr="00FF3A0B" w:rsidRDefault="002F7E3B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7CBB628E" wp14:editId="3BC0D3B4">
            <wp:extent cx="5760720" cy="5897880"/>
            <wp:effectExtent l="0" t="0" r="0" b="7620"/>
            <wp:docPr id="8" name="Grafik 8" descr="\\Emea.healthcare.cnb\bhc\Functions\R and D\GDD\PCR\ONC_I\01_Labs\Lab ONC_I-03\Experimente Kris\AML DIFFERENTIATION PAPER\Figures (incl. raw data)\Figures Illustrator\Leukemia\Supp Figur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Emea.healthcare.cnb\bhc\Functions\R and D\GDD\PCR\ONC_I\01_Labs\Lab ONC_I-03\Experimente Kris\AML DIFFERENTIATION PAPER\Figures (incl. raw data)\Figures Illustrator\Leukemia\Supp Figure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0A" w:rsidRPr="0005570B" w:rsidRDefault="004825CE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</w:t>
      </w:r>
      <w:r w:rsidR="001509FB">
        <w:rPr>
          <w:rFonts w:ascii="Times" w:hAnsi="Times" w:cs="Times"/>
          <w:b/>
          <w:sz w:val="24"/>
          <w:szCs w:val="24"/>
        </w:rPr>
        <w:t>6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. </w:t>
      </w:r>
    </w:p>
    <w:p w:rsidR="003714D5" w:rsidRDefault="00A2540A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 w:rsidRPr="0005570B">
        <w:rPr>
          <w:rFonts w:ascii="Times" w:hAnsi="Times" w:cs="Times"/>
          <w:b/>
          <w:sz w:val="24"/>
          <w:szCs w:val="24"/>
        </w:rPr>
        <w:t xml:space="preserve">HEXIM1 links DHODH inhibition with cell differentiation. </w:t>
      </w:r>
      <w:r w:rsidRPr="0005570B">
        <w:rPr>
          <w:rFonts w:ascii="Times" w:hAnsi="Times" w:cs="Times"/>
          <w:sz w:val="24"/>
          <w:szCs w:val="24"/>
        </w:rPr>
        <w:t xml:space="preserve">(A) </w:t>
      </w:r>
      <w:r>
        <w:rPr>
          <w:rFonts w:ascii="Times" w:hAnsi="Times" w:cs="Times"/>
          <w:sz w:val="24"/>
          <w:szCs w:val="24"/>
        </w:rPr>
        <w:t xml:space="preserve">Log2FC of </w:t>
      </w:r>
      <w:r w:rsidRPr="0005570B">
        <w:rPr>
          <w:rFonts w:ascii="Times" w:hAnsi="Times" w:cs="Times"/>
          <w:i/>
          <w:sz w:val="24"/>
          <w:szCs w:val="24"/>
        </w:rPr>
        <w:t>HEXIM1</w:t>
      </w:r>
      <w:r w:rsidRPr="0005570B">
        <w:rPr>
          <w:rFonts w:ascii="Times" w:hAnsi="Times" w:cs="Times"/>
          <w:sz w:val="24"/>
          <w:szCs w:val="24"/>
        </w:rPr>
        <w:t xml:space="preserve"> expression </w:t>
      </w:r>
      <w:r>
        <w:rPr>
          <w:rFonts w:ascii="Times" w:hAnsi="Times" w:cs="Times"/>
          <w:sz w:val="24"/>
          <w:szCs w:val="24"/>
        </w:rPr>
        <w:t>upon</w:t>
      </w:r>
      <w:r w:rsidRPr="0005570B">
        <w:rPr>
          <w:rFonts w:ascii="Times" w:hAnsi="Times" w:cs="Times"/>
          <w:sz w:val="24"/>
          <w:szCs w:val="24"/>
        </w:rPr>
        <w:t xml:space="preserve"> inhibitor treatment </w:t>
      </w:r>
      <w:r>
        <w:rPr>
          <w:rFonts w:ascii="Times" w:hAnsi="Times" w:cs="Times"/>
          <w:sz w:val="24"/>
          <w:szCs w:val="24"/>
        </w:rPr>
        <w:t>relative</w:t>
      </w:r>
      <w:r w:rsidRPr="0005570B">
        <w:rPr>
          <w:rFonts w:ascii="Times" w:hAnsi="Times" w:cs="Times"/>
          <w:sz w:val="24"/>
          <w:szCs w:val="24"/>
        </w:rPr>
        <w:t xml:space="preserve"> to DMSO.</w:t>
      </w:r>
      <w:r>
        <w:rPr>
          <w:rFonts w:ascii="Times" w:hAnsi="Times" w:cs="Times"/>
          <w:sz w:val="24"/>
          <w:szCs w:val="24"/>
        </w:rPr>
        <w:t xml:space="preserve"> </w:t>
      </w:r>
      <w:r w:rsidRPr="0005570B">
        <w:rPr>
          <w:rFonts w:ascii="Times" w:hAnsi="Times" w:cs="Times"/>
          <w:sz w:val="24"/>
          <w:szCs w:val="24"/>
        </w:rPr>
        <w:t>(B)</w:t>
      </w:r>
      <w:r w:rsidRPr="0005570B">
        <w:rPr>
          <w:rFonts w:ascii="Times" w:hAnsi="Times" w:cs="Times"/>
          <w:b/>
          <w:sz w:val="24"/>
          <w:szCs w:val="24"/>
        </w:rPr>
        <w:t xml:space="preserve"> </w:t>
      </w:r>
      <w:proofErr w:type="spellStart"/>
      <w:r w:rsidRPr="0005570B">
        <w:rPr>
          <w:rFonts w:ascii="Times" w:hAnsi="Times" w:cs="Times"/>
          <w:sz w:val="24"/>
          <w:szCs w:val="24"/>
        </w:rPr>
        <w:t>qRT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-PCR analysis of representative surface markers and genes associated with hematopoietic differentiation after 7 days of treatment </w:t>
      </w:r>
      <w:r>
        <w:rPr>
          <w:rFonts w:ascii="Times" w:hAnsi="Times" w:cs="Times"/>
          <w:sz w:val="24"/>
          <w:szCs w:val="24"/>
        </w:rPr>
        <w:t>with</w:t>
      </w:r>
      <w:r w:rsidRPr="0005570B">
        <w:rPr>
          <w:rFonts w:ascii="Times" w:hAnsi="Times" w:cs="Times"/>
          <w:sz w:val="24"/>
          <w:szCs w:val="24"/>
        </w:rPr>
        <w:t xml:space="preserve"> BAY-155, (3 µM) OTX015 (0.2 µM), EPZ-5676 (5 µM) and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(3 µM). Analysis was performed in four transgenic lines in MOLM-13 background</w:t>
      </w:r>
      <w:r>
        <w:rPr>
          <w:rFonts w:ascii="Times" w:hAnsi="Times" w:cs="Times"/>
          <w:sz w:val="24"/>
          <w:szCs w:val="24"/>
        </w:rPr>
        <w:t xml:space="preserve"> with HEXIM1 knockout (sg1-3) or</w:t>
      </w:r>
      <w:r w:rsidRPr="002816BD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a n</w:t>
      </w:r>
      <w:r w:rsidRPr="0005570B">
        <w:rPr>
          <w:rFonts w:ascii="Times" w:hAnsi="Times" w:cs="Times"/>
          <w:sz w:val="24"/>
          <w:szCs w:val="24"/>
        </w:rPr>
        <w:t>on</w:t>
      </w:r>
      <w:r>
        <w:rPr>
          <w:rFonts w:ascii="Times" w:hAnsi="Times" w:cs="Times"/>
          <w:sz w:val="24"/>
          <w:szCs w:val="24"/>
        </w:rPr>
        <w:t>-</w:t>
      </w:r>
      <w:r w:rsidRPr="0005570B">
        <w:rPr>
          <w:rFonts w:ascii="Times" w:hAnsi="Times" w:cs="Times"/>
          <w:sz w:val="24"/>
          <w:szCs w:val="24"/>
        </w:rPr>
        <w:t>targeting</w:t>
      </w:r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sgRNA</w:t>
      </w:r>
      <w:proofErr w:type="spellEnd"/>
      <w:r>
        <w:rPr>
          <w:rFonts w:ascii="Times" w:hAnsi="Times" w:cs="Times"/>
          <w:sz w:val="24"/>
          <w:szCs w:val="24"/>
        </w:rPr>
        <w:t xml:space="preserve"> control (NT)</w:t>
      </w:r>
      <w:r w:rsidRPr="0005570B">
        <w:rPr>
          <w:rFonts w:ascii="Times" w:hAnsi="Times" w:cs="Times"/>
          <w:sz w:val="24"/>
          <w:szCs w:val="24"/>
        </w:rPr>
        <w:t xml:space="preserve">. Obtained data is normalized to vehicle (DMSO) and average of three biological replicates is shown. * P&lt;0.05, </w:t>
      </w:r>
      <w:r w:rsidRPr="0005570B">
        <w:rPr>
          <w:rFonts w:ascii="Times" w:hAnsi="Times" w:cs="Times"/>
          <w:sz w:val="24"/>
          <w:szCs w:val="24"/>
        </w:rPr>
        <w:lastRenderedPageBreak/>
        <w:t>two sided t</w:t>
      </w:r>
      <w:r>
        <w:rPr>
          <w:rFonts w:ascii="Times" w:hAnsi="Times" w:cs="Times"/>
          <w:sz w:val="24"/>
          <w:szCs w:val="24"/>
        </w:rPr>
        <w:t>-</w:t>
      </w:r>
      <w:r w:rsidRPr="0005570B">
        <w:rPr>
          <w:rFonts w:ascii="Times" w:hAnsi="Times" w:cs="Times"/>
          <w:sz w:val="24"/>
          <w:szCs w:val="24"/>
        </w:rPr>
        <w:t xml:space="preserve">test. (C) Quantification of CD11b expression after titration with BAY-155, OTX015, EPZ-5676, BAY 1251152 and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in </w:t>
      </w:r>
      <w:r w:rsidRPr="0005570B">
        <w:rPr>
          <w:rFonts w:ascii="Times" w:hAnsi="Times" w:cs="Times"/>
          <w:sz w:val="24"/>
          <w:szCs w:val="24"/>
        </w:rPr>
        <w:t>four transgenic MOLM-13 cell lines after 4 days of treatment detected with flow cytometry. Data presented is normalized to vehicle control (DMSO). (D) Western blot analysis of HEXIM1 and β-ACTIN in four MOLM13 transgenic cell lines</w:t>
      </w:r>
      <w:r w:rsidRPr="002816BD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with HEXIM1 knockout (sg1-3) or</w:t>
      </w:r>
      <w:r w:rsidRPr="002816BD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a n</w:t>
      </w:r>
      <w:r w:rsidRPr="0005570B">
        <w:rPr>
          <w:rFonts w:ascii="Times" w:hAnsi="Times" w:cs="Times"/>
          <w:sz w:val="24"/>
          <w:szCs w:val="24"/>
        </w:rPr>
        <w:t>on</w:t>
      </w:r>
      <w:r>
        <w:rPr>
          <w:rFonts w:ascii="Times" w:hAnsi="Times" w:cs="Times"/>
          <w:sz w:val="24"/>
          <w:szCs w:val="24"/>
        </w:rPr>
        <w:t>-</w:t>
      </w:r>
      <w:r w:rsidRPr="0005570B">
        <w:rPr>
          <w:rFonts w:ascii="Times" w:hAnsi="Times" w:cs="Times"/>
          <w:sz w:val="24"/>
          <w:szCs w:val="24"/>
        </w:rPr>
        <w:t>targeting</w:t>
      </w:r>
      <w:r>
        <w:rPr>
          <w:rFonts w:ascii="Times" w:hAnsi="Times" w:cs="Times"/>
          <w:sz w:val="24"/>
          <w:szCs w:val="24"/>
        </w:rPr>
        <w:t xml:space="preserve"> control (NT)</w:t>
      </w:r>
      <w:r w:rsidRPr="0005570B">
        <w:rPr>
          <w:rFonts w:ascii="Times" w:hAnsi="Times" w:cs="Times"/>
          <w:sz w:val="24"/>
          <w:szCs w:val="24"/>
        </w:rPr>
        <w:t>.</w:t>
      </w:r>
    </w:p>
    <w:p w:rsidR="003714D5" w:rsidRDefault="003714D5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 w:type="page"/>
      </w:r>
    </w:p>
    <w:p w:rsidR="001509FB" w:rsidRDefault="001509FB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6A093660" wp14:editId="7E77F72F">
            <wp:extent cx="3403600" cy="2014855"/>
            <wp:effectExtent l="0" t="0" r="6350" b="4445"/>
            <wp:docPr id="5" name="Grafik 5" descr="\\Emea.healthcare.cnb\bhc\Functions\R and D\GDD\PCR\ONC_I\01_Labs\Lab ONC_I-03\Experimente Kris\AML DIFFERENTIATION PAPER\International Journal of Cancer submission\Supp Figur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mea.healthcare.cnb\bhc\Functions\R and D\GDD\PCR\ONC_I\01_Labs\Lab ONC_I-03\Experimente Kris\AML DIFFERENTIATION PAPER\International Journal of Cancer submission\Supp Figure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0A" w:rsidRPr="0005570B" w:rsidRDefault="004825CE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</w:t>
      </w:r>
      <w:r w:rsidR="001509FB">
        <w:rPr>
          <w:rFonts w:ascii="Times" w:hAnsi="Times" w:cs="Times"/>
          <w:b/>
          <w:sz w:val="24"/>
          <w:szCs w:val="24"/>
        </w:rPr>
        <w:t>7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. </w:t>
      </w:r>
    </w:p>
    <w:p w:rsidR="003714D5" w:rsidRDefault="003714D5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 xml:space="preserve">Surface marker analysis 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after inhibitor induced differentiation in HL-60 cells. </w:t>
      </w:r>
      <w:proofErr w:type="spellStart"/>
      <w:proofErr w:type="gramStart"/>
      <w:r w:rsidR="00A2540A" w:rsidRPr="0005570B">
        <w:rPr>
          <w:rFonts w:ascii="Times" w:hAnsi="Times" w:cs="Times"/>
          <w:sz w:val="24"/>
          <w:szCs w:val="24"/>
        </w:rPr>
        <w:t>qRT</w:t>
      </w:r>
      <w:proofErr w:type="spellEnd"/>
      <w:r w:rsidR="00A2540A" w:rsidRPr="0005570B">
        <w:rPr>
          <w:rFonts w:ascii="Times" w:hAnsi="Times" w:cs="Times"/>
          <w:sz w:val="24"/>
          <w:szCs w:val="24"/>
        </w:rPr>
        <w:t>-PCR</w:t>
      </w:r>
      <w:proofErr w:type="gramEnd"/>
      <w:r w:rsidR="00A2540A" w:rsidRPr="0005570B">
        <w:rPr>
          <w:rFonts w:ascii="Times" w:hAnsi="Times" w:cs="Times"/>
          <w:sz w:val="24"/>
          <w:szCs w:val="24"/>
        </w:rPr>
        <w:t xml:space="preserve"> analysis of representative surface markers and genes associated with hematopoietic differentiation in HL-60 cells after 7 days of treatment with BAY-155, (3 µM) OTX015 (0.2 µM), EPZ-56</w:t>
      </w:r>
      <w:r w:rsidR="00A2540A">
        <w:rPr>
          <w:rFonts w:ascii="Times" w:hAnsi="Times" w:cs="Times"/>
          <w:sz w:val="24"/>
          <w:szCs w:val="24"/>
        </w:rPr>
        <w:t>76 (6 µM), BAY 1251152 (0.1 µM)</w:t>
      </w:r>
      <w:r w:rsidR="00A2540A" w:rsidRPr="0005570B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="00A2540A"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="00A2540A" w:rsidRPr="0005570B">
        <w:rPr>
          <w:rFonts w:ascii="Times" w:hAnsi="Times" w:cs="Times"/>
          <w:sz w:val="24"/>
          <w:szCs w:val="24"/>
        </w:rPr>
        <w:t xml:space="preserve"> (1 µM). Data presented is an average of three biological replicates normalized to vehicle contro</w:t>
      </w:r>
      <w:r w:rsidR="001509FB">
        <w:rPr>
          <w:rFonts w:ascii="Times" w:hAnsi="Times" w:cs="Times"/>
          <w:sz w:val="24"/>
          <w:szCs w:val="24"/>
        </w:rPr>
        <w:t xml:space="preserve">l (DMSO). </w:t>
      </w:r>
      <w:proofErr w:type="spellStart"/>
      <w:r w:rsidR="001509FB">
        <w:rPr>
          <w:rFonts w:ascii="Times" w:hAnsi="Times" w:cs="Times"/>
          <w:sz w:val="24"/>
          <w:szCs w:val="24"/>
        </w:rPr>
        <w:t>n.e.</w:t>
      </w:r>
      <w:proofErr w:type="spellEnd"/>
      <w:r w:rsidR="001509FB">
        <w:rPr>
          <w:rFonts w:ascii="Times" w:hAnsi="Times" w:cs="Times"/>
          <w:sz w:val="24"/>
          <w:szCs w:val="24"/>
        </w:rPr>
        <w:t xml:space="preserve"> - not</w:t>
      </w:r>
      <w:r>
        <w:rPr>
          <w:rFonts w:ascii="Times" w:hAnsi="Times" w:cs="Times"/>
          <w:sz w:val="24"/>
          <w:szCs w:val="24"/>
        </w:rPr>
        <w:t xml:space="preserve"> </w:t>
      </w:r>
      <w:r w:rsidR="001509FB">
        <w:rPr>
          <w:rFonts w:ascii="Times" w:hAnsi="Times" w:cs="Times"/>
          <w:sz w:val="24"/>
          <w:szCs w:val="24"/>
        </w:rPr>
        <w:t>expressed.</w:t>
      </w:r>
    </w:p>
    <w:p w:rsidR="00A31312" w:rsidRDefault="003714D5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  <w:lang w:val="en-PH" w:eastAsia="en-PH"/>
        </w:rPr>
        <w:lastRenderedPageBreak/>
        <w:drawing>
          <wp:inline distT="0" distB="0" distL="0" distR="0">
            <wp:extent cx="5757545" cy="4284345"/>
            <wp:effectExtent l="0" t="0" r="0" b="1905"/>
            <wp:docPr id="11" name="Grafik 11" descr="\\Emea.healthcare.cnb\bhc\Functions\R and D\GDD\PCR\ONC_I\01_Labs\Lab ONC_I-03\Experimente Kris\AML DIFFERENTIATION PAPER\International Journal of Cancer submission\Supp Figur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Emea.healthcare.cnb\bhc\Functions\R and D\GDD\PCR\ONC_I\01_Labs\Lab ONC_I-03\Experimente Kris\AML DIFFERENTIATION PAPER\International Journal of Cancer submission\Supp Figure 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D5" w:rsidRDefault="003714D5" w:rsidP="003714D5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S8</w:t>
      </w:r>
      <w:r w:rsidRPr="0005570B">
        <w:rPr>
          <w:rFonts w:ascii="Times" w:hAnsi="Times" w:cs="Times"/>
          <w:b/>
          <w:sz w:val="24"/>
          <w:szCs w:val="24"/>
        </w:rPr>
        <w:t xml:space="preserve">. </w:t>
      </w:r>
    </w:p>
    <w:p w:rsidR="003714D5" w:rsidRDefault="003714D5" w:rsidP="003714D5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 w:rsidRPr="0005570B">
        <w:rPr>
          <w:rFonts w:ascii="Times" w:hAnsi="Times" w:cs="Times"/>
          <w:b/>
          <w:sz w:val="24"/>
          <w:szCs w:val="24"/>
        </w:rPr>
        <w:t xml:space="preserve">Analysis of combination effects </w:t>
      </w:r>
      <w:r w:rsidR="002843F3">
        <w:rPr>
          <w:rFonts w:ascii="Times" w:hAnsi="Times" w:cs="Times"/>
          <w:b/>
          <w:sz w:val="24"/>
          <w:szCs w:val="24"/>
        </w:rPr>
        <w:t xml:space="preserve">of used inhibitors in </w:t>
      </w:r>
      <w:r>
        <w:rPr>
          <w:rFonts w:ascii="Times" w:hAnsi="Times" w:cs="Times"/>
          <w:b/>
          <w:sz w:val="24"/>
          <w:szCs w:val="24"/>
        </w:rPr>
        <w:t xml:space="preserve">MOLM-13 cells. </w:t>
      </w:r>
      <w:proofErr w:type="spellStart"/>
      <w:r w:rsidRPr="0005570B">
        <w:rPr>
          <w:rFonts w:ascii="Times" w:hAnsi="Times" w:cs="Times"/>
          <w:sz w:val="24"/>
          <w:szCs w:val="24"/>
        </w:rPr>
        <w:t>IC</w:t>
      </w:r>
      <w:r w:rsidRPr="0005570B">
        <w:rPr>
          <w:rFonts w:ascii="Times" w:hAnsi="Times" w:cs="Times"/>
          <w:sz w:val="24"/>
          <w:szCs w:val="24"/>
          <w:vertAlign w:val="subscript"/>
        </w:rPr>
        <w:t>50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- based </w:t>
      </w:r>
      <w:proofErr w:type="spellStart"/>
      <w:r w:rsidRPr="0005570B">
        <w:rPr>
          <w:rFonts w:ascii="Times" w:hAnsi="Times" w:cs="Times"/>
          <w:sz w:val="24"/>
          <w:szCs w:val="24"/>
        </w:rPr>
        <w:t>isobologram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analysis (</w:t>
      </w:r>
      <w:r>
        <w:rPr>
          <w:rFonts w:ascii="Times" w:hAnsi="Times" w:cs="Times"/>
          <w:sz w:val="24"/>
          <w:szCs w:val="24"/>
        </w:rPr>
        <w:t>top</w:t>
      </w:r>
      <w:r w:rsidRPr="0005570B">
        <w:rPr>
          <w:rFonts w:ascii="Times" w:hAnsi="Times" w:cs="Times"/>
          <w:sz w:val="24"/>
          <w:szCs w:val="24"/>
        </w:rPr>
        <w:t>) and CD11b expression level (</w:t>
      </w:r>
      <w:r>
        <w:rPr>
          <w:rFonts w:ascii="Times" w:hAnsi="Times" w:cs="Times"/>
          <w:sz w:val="24"/>
          <w:szCs w:val="24"/>
        </w:rPr>
        <w:t>bottom</w:t>
      </w:r>
      <w:r w:rsidRPr="0005570B">
        <w:rPr>
          <w:rFonts w:ascii="Times" w:hAnsi="Times" w:cs="Times"/>
          <w:sz w:val="24"/>
          <w:szCs w:val="24"/>
        </w:rPr>
        <w:t xml:space="preserve">) of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(0.64 µM) - BAY-155. </w:t>
      </w:r>
      <w:proofErr w:type="gramStart"/>
      <w:r w:rsidRPr="0005570B">
        <w:rPr>
          <w:rFonts w:ascii="Times" w:hAnsi="Times" w:cs="Times"/>
          <w:sz w:val="24"/>
          <w:szCs w:val="24"/>
        </w:rPr>
        <w:t>(0.15 µM), EPZ-5676 (0.64 µM) - BAY-155.</w:t>
      </w:r>
      <w:proofErr w:type="gramEnd"/>
      <w:r w:rsidRPr="0005570B">
        <w:rPr>
          <w:rFonts w:ascii="Times" w:hAnsi="Times" w:cs="Times"/>
          <w:sz w:val="24"/>
          <w:szCs w:val="24"/>
        </w:rPr>
        <w:t xml:space="preserve"> (0.15 µM), EPZ-5676 (0.64 µM) -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(0.15 µM), </w:t>
      </w:r>
      <w:proofErr w:type="spellStart"/>
      <w:r w:rsidRPr="0005570B">
        <w:rPr>
          <w:rFonts w:ascii="Times" w:hAnsi="Times" w:cs="Times"/>
          <w:sz w:val="24"/>
          <w:szCs w:val="24"/>
        </w:rPr>
        <w:t>EPZ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-5676 (0.15 µM) - OTX015 (0.15 µM), BAY-155. (0.15 µM) - OTX015 (0.15 µM) combinations in MOLM-13 cells after 4 days of treatment. (B) </w:t>
      </w:r>
      <w:proofErr w:type="spellStart"/>
      <w:r w:rsidRPr="0005570B">
        <w:rPr>
          <w:rFonts w:ascii="Times" w:hAnsi="Times" w:cs="Times"/>
          <w:sz w:val="24"/>
          <w:szCs w:val="24"/>
        </w:rPr>
        <w:t>IC</w:t>
      </w:r>
      <w:r w:rsidRPr="0005570B">
        <w:rPr>
          <w:rFonts w:ascii="Times" w:hAnsi="Times" w:cs="Times"/>
          <w:sz w:val="24"/>
          <w:szCs w:val="24"/>
          <w:vertAlign w:val="subscript"/>
        </w:rPr>
        <w:t>50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- based </w:t>
      </w:r>
      <w:proofErr w:type="spellStart"/>
      <w:r w:rsidRPr="0005570B">
        <w:rPr>
          <w:rFonts w:ascii="Times" w:hAnsi="Times" w:cs="Times"/>
          <w:sz w:val="24"/>
          <w:szCs w:val="24"/>
        </w:rPr>
        <w:t>isobologram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analysis (</w:t>
      </w:r>
      <w:r>
        <w:rPr>
          <w:rFonts w:ascii="Times" w:hAnsi="Times" w:cs="Times"/>
          <w:sz w:val="24"/>
          <w:szCs w:val="24"/>
        </w:rPr>
        <w:t>top</w:t>
      </w:r>
      <w:r w:rsidRPr="0005570B">
        <w:rPr>
          <w:rFonts w:ascii="Times" w:hAnsi="Times" w:cs="Times"/>
          <w:sz w:val="24"/>
          <w:szCs w:val="24"/>
        </w:rPr>
        <w:t>) and CD11b expression level (</w:t>
      </w:r>
      <w:r>
        <w:rPr>
          <w:rFonts w:ascii="Times" w:hAnsi="Times" w:cs="Times"/>
          <w:sz w:val="24"/>
          <w:szCs w:val="24"/>
        </w:rPr>
        <w:t>bottom</w:t>
      </w:r>
      <w:r w:rsidRPr="0005570B">
        <w:rPr>
          <w:rFonts w:ascii="Times" w:hAnsi="Times" w:cs="Times"/>
          <w:sz w:val="24"/>
          <w:szCs w:val="24"/>
        </w:rPr>
        <w:t xml:space="preserve">) of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(0.15 µM) - OTX015 (0.15 µM), BAY-155. (0.15 µM) - BAY 1251152 (0.04 µM), EPZ-5676 (0.64 µM) - BAY 1251152 (0.04 µM), </w:t>
      </w:r>
      <w:proofErr w:type="spellStart"/>
      <w:r w:rsidRPr="0005570B">
        <w:rPr>
          <w:rFonts w:ascii="Times" w:hAnsi="Times" w:cs="Times"/>
          <w:sz w:val="24"/>
          <w:szCs w:val="24"/>
        </w:rPr>
        <w:t>Brequinar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(0.64 µM) - BAY 1251152 (0.04 µM), BAY 1251152 (0.04 µM) - OTX015 (0.15 µM) combinations in MOLM-13 cells after 4 days of treatment. </w:t>
      </w:r>
      <w:r w:rsidRPr="00DD5F6A">
        <w:rPr>
          <w:rFonts w:ascii="Times" w:hAnsi="Times" w:cs="Times"/>
          <w:sz w:val="24"/>
          <w:szCs w:val="24"/>
        </w:rPr>
        <w:t>The diagonal line</w:t>
      </w:r>
      <w:r>
        <w:rPr>
          <w:rFonts w:ascii="Times" w:hAnsi="Times" w:cs="Times"/>
          <w:sz w:val="24"/>
          <w:szCs w:val="24"/>
        </w:rPr>
        <w:t>s indicate</w:t>
      </w:r>
      <w:r w:rsidRPr="00DD5F6A">
        <w:rPr>
          <w:rFonts w:ascii="Times" w:hAnsi="Times" w:cs="Times"/>
          <w:sz w:val="24"/>
          <w:szCs w:val="24"/>
        </w:rPr>
        <w:t xml:space="preserve"> additivity. Experimental data points, represented by dots</w:t>
      </w:r>
      <w:r>
        <w:rPr>
          <w:rFonts w:ascii="Times" w:hAnsi="Times" w:cs="Times"/>
          <w:sz w:val="24"/>
          <w:szCs w:val="24"/>
        </w:rPr>
        <w:t xml:space="preserve"> (</w:t>
      </w:r>
      <w:r w:rsidRPr="0005570B">
        <w:rPr>
          <w:rFonts w:ascii="Times" w:hAnsi="Times" w:cs="Times"/>
          <w:sz w:val="24"/>
          <w:szCs w:val="24"/>
        </w:rPr>
        <w:t xml:space="preserve">square, triangle and circle) </w:t>
      </w:r>
      <w:r>
        <w:rPr>
          <w:rFonts w:ascii="Times" w:hAnsi="Times" w:cs="Times"/>
          <w:sz w:val="24"/>
          <w:szCs w:val="24"/>
        </w:rPr>
        <w:t>indicate biological replicates. P</w:t>
      </w:r>
      <w:r w:rsidRPr="0005570B">
        <w:rPr>
          <w:rFonts w:ascii="Times" w:hAnsi="Times" w:cs="Times"/>
          <w:sz w:val="24"/>
          <w:szCs w:val="24"/>
        </w:rPr>
        <w:t xml:space="preserve">ale red line shows predicted </w:t>
      </w:r>
      <w:r w:rsidRPr="0005570B">
        <w:rPr>
          <w:rFonts w:ascii="Times" w:hAnsi="Times" w:cs="Times"/>
          <w:sz w:val="24"/>
          <w:szCs w:val="24"/>
        </w:rPr>
        <w:lastRenderedPageBreak/>
        <w:t xml:space="preserve">additive effect, dotted lines show additivity area (left). Bar charts (right) show an average of three biological replicates, orange line indicates predicted additive effect, error shows SD, statistics ***P&lt;0.001, **P&lt;0.01, *P&lt;0.05, </w:t>
      </w:r>
      <w:proofErr w:type="spellStart"/>
      <w:r w:rsidRPr="0005570B">
        <w:rPr>
          <w:rFonts w:ascii="Times" w:hAnsi="Times" w:cs="Times"/>
          <w:sz w:val="24"/>
          <w:szCs w:val="24"/>
        </w:rPr>
        <w:t>n.s.P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&lt;0.05, two sided </w:t>
      </w:r>
      <w:proofErr w:type="spellStart"/>
      <w:r w:rsidRPr="0005570B">
        <w:rPr>
          <w:rFonts w:ascii="Times" w:hAnsi="Times" w:cs="Times"/>
          <w:sz w:val="24"/>
          <w:szCs w:val="24"/>
        </w:rPr>
        <w:t>ttest</w:t>
      </w:r>
      <w:proofErr w:type="spellEnd"/>
      <w:r w:rsidRPr="0005570B">
        <w:rPr>
          <w:rFonts w:ascii="Times" w:hAnsi="Times" w:cs="Times"/>
          <w:sz w:val="24"/>
          <w:szCs w:val="24"/>
        </w:rPr>
        <w:t>.</w:t>
      </w:r>
    </w:p>
    <w:p w:rsidR="003714D5" w:rsidRDefault="003714D5" w:rsidP="003714D5">
      <w:pPr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br w:type="page"/>
      </w:r>
    </w:p>
    <w:p w:rsidR="003714D5" w:rsidRDefault="003714D5" w:rsidP="003714D5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</w:p>
    <w:p w:rsidR="00A31312" w:rsidRDefault="00A31312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</w:p>
    <w:p w:rsidR="00EB4C46" w:rsidRPr="0005570B" w:rsidRDefault="002F7E3B" w:rsidP="00A2540A">
      <w:pPr>
        <w:spacing w:after="24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  <w:lang w:val="en-PH" w:eastAsia="en-PH"/>
        </w:rPr>
        <w:drawing>
          <wp:inline distT="0" distB="0" distL="0" distR="0">
            <wp:extent cx="5029200" cy="4770120"/>
            <wp:effectExtent l="0" t="0" r="0" b="0"/>
            <wp:docPr id="10" name="Grafik 10" descr="\\Emea.healthcare.cnb\bhc\Functions\R and D\GDD\PCR\ONC_I\01_Labs\Lab ONC_I-03\Experimente Kris\AML DIFFERENTIATION PAPER\Figures (incl. raw data)\Figures Illustrator\Leukemia\Supp Figure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Emea.healthcare.cnb\bhc\Functions\R and D\GDD\PCR\ONC_I\01_Labs\Lab ONC_I-03\Experimente Kris\AML DIFFERENTIATION PAPER\Figures (incl. raw data)\Figures Illustrator\Leukemia\Supp Figure 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40A" w:rsidRPr="0005570B" w:rsidRDefault="004825CE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F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igure </w:t>
      </w:r>
      <w:r>
        <w:rPr>
          <w:rFonts w:ascii="Times" w:hAnsi="Times" w:cs="Times"/>
          <w:b/>
          <w:sz w:val="24"/>
          <w:szCs w:val="24"/>
        </w:rPr>
        <w:t>S</w:t>
      </w:r>
      <w:r w:rsidR="00A2540A">
        <w:rPr>
          <w:rFonts w:ascii="Times" w:hAnsi="Times" w:cs="Times"/>
          <w:b/>
          <w:sz w:val="24"/>
          <w:szCs w:val="24"/>
        </w:rPr>
        <w:t>9</w:t>
      </w:r>
      <w:r w:rsidR="00A2540A" w:rsidRPr="0005570B">
        <w:rPr>
          <w:rFonts w:ascii="Times" w:hAnsi="Times" w:cs="Times"/>
          <w:b/>
          <w:sz w:val="24"/>
          <w:szCs w:val="24"/>
        </w:rPr>
        <w:t xml:space="preserve">. </w:t>
      </w:r>
    </w:p>
    <w:p w:rsidR="00A2540A" w:rsidRDefault="00A2540A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  <w:r w:rsidRPr="0005570B">
        <w:rPr>
          <w:rFonts w:ascii="Times" w:hAnsi="Times" w:cs="Times"/>
          <w:b/>
          <w:sz w:val="24"/>
          <w:szCs w:val="24"/>
        </w:rPr>
        <w:t xml:space="preserve">Analysis of combination effects on proliferation of MV4-11 and HL-60 cells. </w:t>
      </w:r>
      <w:proofErr w:type="spellStart"/>
      <w:r w:rsidRPr="0005570B">
        <w:rPr>
          <w:rFonts w:ascii="Times" w:hAnsi="Times" w:cs="Times"/>
          <w:sz w:val="24"/>
          <w:szCs w:val="24"/>
        </w:rPr>
        <w:t>Isobologram</w:t>
      </w:r>
      <w:proofErr w:type="spellEnd"/>
      <w:r w:rsidRPr="0005570B">
        <w:rPr>
          <w:rFonts w:ascii="Times" w:hAnsi="Times" w:cs="Times"/>
          <w:sz w:val="24"/>
          <w:szCs w:val="24"/>
        </w:rPr>
        <w:t xml:space="preserve"> plots show three biological replicates (indicated by square, triangle and circle), pale red line shows predicted additive effect, </w:t>
      </w:r>
      <w:proofErr w:type="gramStart"/>
      <w:r w:rsidRPr="0005570B">
        <w:rPr>
          <w:rFonts w:ascii="Times" w:hAnsi="Times" w:cs="Times"/>
          <w:sz w:val="24"/>
          <w:szCs w:val="24"/>
        </w:rPr>
        <w:t>dotted</w:t>
      </w:r>
      <w:proofErr w:type="gramEnd"/>
      <w:r w:rsidRPr="0005570B">
        <w:rPr>
          <w:rFonts w:ascii="Times" w:hAnsi="Times" w:cs="Times"/>
          <w:sz w:val="24"/>
          <w:szCs w:val="24"/>
        </w:rPr>
        <w:t xml:space="preserve"> lines show additivity area. For inhibitors where IC</w:t>
      </w:r>
      <w:r w:rsidRPr="0005570B">
        <w:rPr>
          <w:rFonts w:ascii="Times" w:hAnsi="Times" w:cs="Times"/>
          <w:sz w:val="24"/>
          <w:szCs w:val="24"/>
          <w:vertAlign w:val="subscript"/>
        </w:rPr>
        <w:t>50</w:t>
      </w:r>
      <w:r w:rsidRPr="0005570B">
        <w:rPr>
          <w:rFonts w:ascii="Times" w:hAnsi="Times" w:cs="Times"/>
          <w:sz w:val="24"/>
          <w:szCs w:val="24"/>
        </w:rPr>
        <w:t xml:space="preserve"> determination was beyond concentration range (&gt;10 µM), % of viable cells for single inhibitor treatment and combination was used. </w:t>
      </w:r>
    </w:p>
    <w:bookmarkEnd w:id="0"/>
    <w:p w:rsidR="00A2540A" w:rsidRDefault="00A2540A" w:rsidP="00A2540A">
      <w:pPr>
        <w:spacing w:after="240" w:line="480" w:lineRule="auto"/>
        <w:jc w:val="both"/>
        <w:rPr>
          <w:rFonts w:ascii="Times" w:hAnsi="Times" w:cs="Times"/>
          <w:b/>
          <w:sz w:val="24"/>
          <w:szCs w:val="24"/>
        </w:rPr>
      </w:pPr>
    </w:p>
    <w:sectPr w:rsidR="00A254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2540A"/>
    <w:rsid w:val="001509FB"/>
    <w:rsid w:val="002843F3"/>
    <w:rsid w:val="0028777A"/>
    <w:rsid w:val="002F7E3B"/>
    <w:rsid w:val="003714D5"/>
    <w:rsid w:val="003E0D76"/>
    <w:rsid w:val="004400AC"/>
    <w:rsid w:val="004825CE"/>
    <w:rsid w:val="0056498E"/>
    <w:rsid w:val="006B12E5"/>
    <w:rsid w:val="00734C41"/>
    <w:rsid w:val="00852BAF"/>
    <w:rsid w:val="0099163B"/>
    <w:rsid w:val="009C0F32"/>
    <w:rsid w:val="00A2540A"/>
    <w:rsid w:val="00A31312"/>
    <w:rsid w:val="00CF4FA5"/>
    <w:rsid w:val="00D60055"/>
    <w:rsid w:val="00EA5E20"/>
    <w:rsid w:val="00EB4C46"/>
    <w:rsid w:val="00F11192"/>
    <w:rsid w:val="00F60D80"/>
    <w:rsid w:val="00FA614A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0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Zchn"/>
    <w:rsid w:val="00A2540A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TAMainTextZchn">
    <w:name w:val="TA_Main_Text Zchn"/>
    <w:basedOn w:val="DefaultParagraphFont"/>
    <w:link w:val="TAMainText"/>
    <w:rsid w:val="00A2540A"/>
    <w:rPr>
      <w:rFonts w:ascii="Times" w:eastAsia="Times New Roman" w:hAnsi="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C46"/>
    <w:rPr>
      <w:rFonts w:ascii="Tahoma" w:hAnsi="Tahoma" w:cs="Tahoma"/>
      <w:sz w:val="16"/>
      <w:szCs w:val="16"/>
      <w:lang w:val="en-US"/>
    </w:rPr>
  </w:style>
  <w:style w:type="paragraph" w:customStyle="1" w:styleId="BATitle">
    <w:name w:val="BA_Title"/>
    <w:basedOn w:val="Normal"/>
    <w:next w:val="Normal"/>
    <w:rsid w:val="00D60055"/>
    <w:pPr>
      <w:spacing w:before="720" w:after="360" w:line="480" w:lineRule="auto"/>
    </w:pPr>
    <w:rPr>
      <w:rFonts w:ascii="Times New Roman" w:eastAsia="Times New Roman" w:hAnsi="Times New Roman" w:cs="Times New Roman"/>
      <w:sz w:val="44"/>
      <w:szCs w:val="20"/>
    </w:rPr>
  </w:style>
  <w:style w:type="paragraph" w:customStyle="1" w:styleId="BIEmailAddress">
    <w:name w:val="BI_Email_Address"/>
    <w:basedOn w:val="Normal"/>
    <w:next w:val="Normal"/>
    <w:rsid w:val="00D60055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styleId="Hyperlink">
    <w:name w:val="Hyperlink"/>
    <w:rsid w:val="00D600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0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Zchn"/>
    <w:rsid w:val="00A2540A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TAMainTextZchn">
    <w:name w:val="TA_Main_Text Zchn"/>
    <w:basedOn w:val="DefaultParagraphFont"/>
    <w:link w:val="TAMainText"/>
    <w:rsid w:val="00A2540A"/>
    <w:rPr>
      <w:rFonts w:ascii="Times" w:eastAsia="Times New Roman" w:hAnsi="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C46"/>
    <w:rPr>
      <w:rFonts w:ascii="Tahoma" w:hAnsi="Tahoma" w:cs="Tahoma"/>
      <w:sz w:val="16"/>
      <w:szCs w:val="16"/>
      <w:lang w:val="en-US"/>
    </w:rPr>
  </w:style>
  <w:style w:type="paragraph" w:customStyle="1" w:styleId="BATitle">
    <w:name w:val="BA_Title"/>
    <w:basedOn w:val="Normal"/>
    <w:next w:val="Normal"/>
    <w:rsid w:val="00D60055"/>
    <w:pPr>
      <w:spacing w:before="720" w:after="360" w:line="480" w:lineRule="auto"/>
    </w:pPr>
    <w:rPr>
      <w:rFonts w:ascii="Times New Roman" w:eastAsia="Times New Roman" w:hAnsi="Times New Roman" w:cs="Times New Roman"/>
      <w:sz w:val="44"/>
      <w:szCs w:val="20"/>
    </w:rPr>
  </w:style>
  <w:style w:type="paragraph" w:customStyle="1" w:styleId="BIEmailAddress">
    <w:name w:val="BI_Email_Address"/>
    <w:basedOn w:val="Normal"/>
    <w:next w:val="Normal"/>
    <w:rsid w:val="00D60055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styleId="Hyperlink">
    <w:name w:val="Hyperlink"/>
    <w:rsid w:val="00D600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841</Words>
  <Characters>4874</Characters>
  <Application>Microsoft Office Word</Application>
  <DocSecurity>0</DocSecurity>
  <Lines>121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Brzezinka</dc:creator>
  <cp:lastModifiedBy>S3G_Apply_Fixed_Case</cp:lastModifiedBy>
  <cp:revision>17</cp:revision>
  <cp:lastPrinted>2019-01-28T13:12:00Z</cp:lastPrinted>
  <dcterms:created xsi:type="dcterms:W3CDTF">2019-01-28T12:08:00Z</dcterms:created>
  <dcterms:modified xsi:type="dcterms:W3CDTF">2019-06-14T21:36:00Z</dcterms:modified>
</cp:coreProperties>
</file>