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401B" w:rsidRDefault="0000401B" w:rsidP="007D6535">
      <w:pPr>
        <w:spacing w:line="480" w:lineRule="auto"/>
        <w:jc w:val="both"/>
        <w:rPr>
          <w:rFonts w:cstheme="minorBidi"/>
          <w:b/>
        </w:rPr>
      </w:pPr>
      <w:r>
        <w:rPr>
          <w:rFonts w:cstheme="minorBidi"/>
          <w:b/>
        </w:rPr>
        <w:t xml:space="preserve">Materials </w:t>
      </w:r>
      <w:r>
        <w:rPr>
          <w:rFonts w:cstheme="minorBidi" w:hint="eastAsia"/>
          <w:b/>
        </w:rPr>
        <w:t>and</w:t>
      </w:r>
      <w:r>
        <w:rPr>
          <w:rFonts w:cstheme="minorBidi"/>
          <w:b/>
        </w:rPr>
        <w:t xml:space="preserve"> </w:t>
      </w:r>
      <w:r w:rsidRPr="006766D7">
        <w:rPr>
          <w:rFonts w:cstheme="minorBidi" w:hint="eastAsia"/>
          <w:b/>
        </w:rPr>
        <w:t>M</w:t>
      </w:r>
      <w:r w:rsidRPr="006766D7">
        <w:rPr>
          <w:rFonts w:cstheme="minorBidi"/>
          <w:b/>
        </w:rPr>
        <w:t>ethods</w:t>
      </w:r>
    </w:p>
    <w:p w:rsidR="0000401B" w:rsidRPr="00715694" w:rsidRDefault="0000401B" w:rsidP="007D6535">
      <w:pPr>
        <w:spacing w:line="480" w:lineRule="auto"/>
        <w:jc w:val="both"/>
        <w:rPr>
          <w:rFonts w:cstheme="minorBidi"/>
          <w:b/>
          <w:i/>
        </w:rPr>
      </w:pPr>
      <w:r w:rsidRPr="00715694">
        <w:rPr>
          <w:rFonts w:cstheme="minorBidi" w:hint="eastAsia"/>
          <w:b/>
          <w:i/>
        </w:rPr>
        <w:t>R</w:t>
      </w:r>
      <w:r w:rsidRPr="00715694">
        <w:rPr>
          <w:rFonts w:cstheme="minorBidi"/>
          <w:b/>
          <w:i/>
        </w:rPr>
        <w:t>eagents</w:t>
      </w:r>
    </w:p>
    <w:p w:rsidR="0000401B" w:rsidRDefault="0000401B" w:rsidP="007D6535">
      <w:pPr>
        <w:spacing w:line="480" w:lineRule="auto"/>
        <w:jc w:val="both"/>
        <w:rPr>
          <w:rFonts w:cstheme="minorBidi"/>
        </w:rPr>
      </w:pPr>
      <w:r w:rsidRPr="00C82E4D">
        <w:rPr>
          <w:rFonts w:cstheme="minorBidi"/>
        </w:rPr>
        <w:t>A</w:t>
      </w:r>
      <w:r w:rsidRPr="00F431AA">
        <w:rPr>
          <w:rFonts w:cstheme="minorBidi"/>
        </w:rPr>
        <w:t xml:space="preserve">ntibodies </w:t>
      </w:r>
      <w:r>
        <w:rPr>
          <w:rFonts w:cstheme="minorBidi" w:hint="eastAsia"/>
        </w:rPr>
        <w:t>and</w:t>
      </w:r>
      <w:r>
        <w:rPr>
          <w:rFonts w:cstheme="minorBidi"/>
        </w:rPr>
        <w:t xml:space="preserve"> </w:t>
      </w:r>
      <w:r w:rsidRPr="00A47317">
        <w:rPr>
          <w:rFonts w:cstheme="minorBidi"/>
        </w:rPr>
        <w:t>material</w:t>
      </w:r>
      <w:r>
        <w:rPr>
          <w:rFonts w:cstheme="minorBidi" w:hint="eastAsia"/>
        </w:rPr>
        <w:t>s</w:t>
      </w:r>
      <w:r>
        <w:rPr>
          <w:rFonts w:cstheme="minorBidi"/>
        </w:rPr>
        <w:t xml:space="preserve"> </w:t>
      </w:r>
      <w:r w:rsidRPr="00F431AA">
        <w:rPr>
          <w:rFonts w:cstheme="minorBidi"/>
        </w:rPr>
        <w:t xml:space="preserve">used in this study can be found in Supplemental Table </w:t>
      </w:r>
      <w:r>
        <w:rPr>
          <w:rFonts w:cstheme="minorBidi"/>
        </w:rPr>
        <w:t>1</w:t>
      </w:r>
      <w:r w:rsidRPr="00F431AA">
        <w:rPr>
          <w:rFonts w:cstheme="minorBidi"/>
        </w:rPr>
        <w:t xml:space="preserve">. </w:t>
      </w:r>
    </w:p>
    <w:p w:rsidR="0000401B" w:rsidRPr="00715694" w:rsidRDefault="0000401B" w:rsidP="007D6535">
      <w:pPr>
        <w:spacing w:line="480" w:lineRule="auto"/>
        <w:jc w:val="both"/>
        <w:rPr>
          <w:rFonts w:cstheme="minorBidi"/>
          <w:b/>
          <w:i/>
        </w:rPr>
      </w:pPr>
      <w:r w:rsidRPr="00715694">
        <w:rPr>
          <w:rFonts w:cstheme="minorBidi"/>
          <w:b/>
          <w:i/>
        </w:rPr>
        <w:t>Cell culture</w:t>
      </w:r>
    </w:p>
    <w:p w:rsidR="0000401B" w:rsidRPr="00693455" w:rsidRDefault="0000401B" w:rsidP="007D6535">
      <w:pPr>
        <w:spacing w:line="480" w:lineRule="auto"/>
        <w:jc w:val="both"/>
        <w:rPr>
          <w:rFonts w:cstheme="minorBidi"/>
        </w:rPr>
      </w:pPr>
      <w:r>
        <w:rPr>
          <w:rFonts w:cstheme="minorBidi"/>
        </w:rPr>
        <w:t>T</w:t>
      </w:r>
      <w:r w:rsidRPr="00693455">
        <w:rPr>
          <w:rFonts w:cstheme="minorBidi"/>
        </w:rPr>
        <w:t>umor cell lines were purchased from Chinese Academy of Sciences Cell Repertoire (Shanghai, China)</w:t>
      </w:r>
      <w:r>
        <w:rPr>
          <w:rFonts w:cstheme="minorBidi"/>
        </w:rPr>
        <w:t xml:space="preserve"> </w:t>
      </w:r>
      <w:r w:rsidRPr="00693455">
        <w:rPr>
          <w:rFonts w:cstheme="minorBidi"/>
        </w:rPr>
        <w:t>and were grown in</w:t>
      </w:r>
      <w:r>
        <w:rPr>
          <w:rFonts w:cstheme="minorBidi"/>
        </w:rPr>
        <w:t xml:space="preserve"> DMEM media supplemented with </w:t>
      </w:r>
      <w:r w:rsidRPr="00693455">
        <w:rPr>
          <w:rFonts w:cstheme="minorBidi"/>
        </w:rPr>
        <w:t xml:space="preserve">L-glutamine, </w:t>
      </w:r>
      <w:r>
        <w:rPr>
          <w:rFonts w:cstheme="minorBidi"/>
        </w:rPr>
        <w:t>5</w:t>
      </w:r>
      <w:r w:rsidRPr="00693455">
        <w:rPr>
          <w:rFonts w:cstheme="minorBidi"/>
        </w:rPr>
        <w:t>% fetal bovine serum</w:t>
      </w:r>
      <w:r>
        <w:rPr>
          <w:rFonts w:cstheme="minorBidi"/>
        </w:rPr>
        <w:t xml:space="preserve"> (FBS)</w:t>
      </w:r>
      <w:r w:rsidRPr="00A47317">
        <w:rPr>
          <w:rFonts w:cstheme="minorBidi"/>
        </w:rPr>
        <w:t xml:space="preserve"> </w:t>
      </w:r>
      <w:r w:rsidRPr="00693455">
        <w:rPr>
          <w:rFonts w:cstheme="minorBidi"/>
        </w:rPr>
        <w:t>and penicillin/streptomycin</w:t>
      </w:r>
      <w:r>
        <w:rPr>
          <w:rFonts w:cstheme="minorBidi"/>
        </w:rPr>
        <w:t xml:space="preserve"> (Gibco)</w:t>
      </w:r>
      <w:r w:rsidRPr="00693455">
        <w:rPr>
          <w:rFonts w:cstheme="minorBidi"/>
        </w:rPr>
        <w:t xml:space="preserve">. T cells were </w:t>
      </w:r>
      <w:r>
        <w:rPr>
          <w:rFonts w:cstheme="minorBidi"/>
        </w:rPr>
        <w:t xml:space="preserve">cultured in </w:t>
      </w:r>
      <w:r w:rsidRPr="00693455">
        <w:rPr>
          <w:rFonts w:cstheme="minorBidi"/>
        </w:rPr>
        <w:t>RPMI-1640</w:t>
      </w:r>
      <w:r>
        <w:rPr>
          <w:rFonts w:cstheme="minorBidi"/>
        </w:rPr>
        <w:t xml:space="preserve"> media with 200 IU/mL</w:t>
      </w:r>
      <w:r w:rsidRPr="00693455">
        <w:rPr>
          <w:rFonts w:cstheme="minorBidi"/>
        </w:rPr>
        <w:t xml:space="preserve"> </w:t>
      </w:r>
      <w:r>
        <w:rPr>
          <w:rFonts w:cstheme="minorBidi"/>
        </w:rPr>
        <w:t xml:space="preserve">IL-2 (Peprotech), 5% FBS (Hyclone) and </w:t>
      </w:r>
      <w:r w:rsidRPr="00693455">
        <w:rPr>
          <w:rFonts w:cstheme="minorBidi"/>
        </w:rPr>
        <w:t>penicillin/streptomycin.</w:t>
      </w:r>
    </w:p>
    <w:p w:rsidR="0000401B" w:rsidRPr="00650DEE" w:rsidRDefault="0000401B" w:rsidP="007D6535">
      <w:pPr>
        <w:spacing w:line="480" w:lineRule="auto"/>
        <w:jc w:val="both"/>
        <w:rPr>
          <w:rFonts w:cstheme="minorBidi"/>
          <w:b/>
          <w:i/>
        </w:rPr>
      </w:pPr>
      <w:r w:rsidRPr="00650DEE">
        <w:rPr>
          <w:rFonts w:cstheme="minorBidi" w:hint="eastAsia"/>
          <w:b/>
          <w:i/>
        </w:rPr>
        <w:t>g</w:t>
      </w:r>
      <w:r w:rsidRPr="00650DEE">
        <w:rPr>
          <w:rFonts w:cstheme="minorBidi"/>
          <w:b/>
          <w:i/>
        </w:rPr>
        <w:t>RNA design and vector construction</w:t>
      </w:r>
    </w:p>
    <w:p w:rsidR="0000401B" w:rsidRDefault="0000401B" w:rsidP="007D6535">
      <w:pPr>
        <w:spacing w:line="480" w:lineRule="auto"/>
        <w:jc w:val="both"/>
        <w:rPr>
          <w:rFonts w:cstheme="minorBidi"/>
        </w:rPr>
      </w:pPr>
      <w:r>
        <w:rPr>
          <w:rFonts w:cstheme="minorBidi" w:hint="eastAsia"/>
        </w:rPr>
        <w:t>ABE</w:t>
      </w:r>
      <w:r w:rsidRPr="00590633">
        <w:rPr>
          <w:rFonts w:cstheme="minorBidi" w:hint="eastAsia"/>
          <w:vertAlign w:val="subscript"/>
        </w:rPr>
        <w:t>max</w:t>
      </w:r>
      <w:r>
        <w:rPr>
          <w:rFonts w:cstheme="minorBidi"/>
        </w:rPr>
        <w:t>, PX458</w:t>
      </w:r>
      <w:r>
        <w:rPr>
          <w:rFonts w:cstheme="minorBidi" w:hint="eastAsia"/>
        </w:rPr>
        <w:t xml:space="preserve"> and lentiviral vectors were obtained from Addgene. </w:t>
      </w:r>
      <w:r w:rsidRPr="00D8189F">
        <w:rPr>
          <w:rFonts w:cstheme="minorBidi" w:hint="eastAsia"/>
          <w:highlight w:val="yellow"/>
        </w:rPr>
        <w:t>gRNA</w:t>
      </w:r>
      <w:r w:rsidRPr="00D8189F">
        <w:rPr>
          <w:rFonts w:cstheme="minorBidi"/>
          <w:highlight w:val="yellow"/>
        </w:rPr>
        <w:t xml:space="preserve"> targeting the coding sequence of N74 in </w:t>
      </w:r>
      <w:r w:rsidRPr="00D8189F">
        <w:rPr>
          <w:rFonts w:cstheme="minorBidi"/>
          <w:i/>
          <w:highlight w:val="yellow"/>
        </w:rPr>
        <w:t>PDCD1</w:t>
      </w:r>
      <w:r w:rsidRPr="00D8189F">
        <w:rPr>
          <w:rFonts w:cstheme="minorBidi" w:hint="eastAsia"/>
          <w:highlight w:val="yellow"/>
        </w:rPr>
        <w:t xml:space="preserve"> </w:t>
      </w:r>
      <w:r w:rsidRPr="00D8189F">
        <w:rPr>
          <w:rFonts w:cstheme="minorBidi"/>
          <w:highlight w:val="yellow"/>
        </w:rPr>
        <w:t xml:space="preserve">or non-specific sequence </w:t>
      </w:r>
      <w:r w:rsidRPr="00D8189F">
        <w:rPr>
          <w:rFonts w:cstheme="minorBidi" w:hint="eastAsia"/>
          <w:highlight w:val="yellow"/>
        </w:rPr>
        <w:t>w</w:t>
      </w:r>
      <w:r w:rsidRPr="00D8189F">
        <w:rPr>
          <w:rFonts w:cstheme="minorBidi"/>
          <w:highlight w:val="yellow"/>
        </w:rPr>
        <w:t>as</w:t>
      </w:r>
      <w:r w:rsidRPr="00D8189F">
        <w:rPr>
          <w:rFonts w:cstheme="minorBidi" w:hint="eastAsia"/>
          <w:highlight w:val="yellow"/>
        </w:rPr>
        <w:t xml:space="preserve"> designed</w:t>
      </w:r>
      <w:r>
        <w:rPr>
          <w:rFonts w:cstheme="minorBidi" w:hint="eastAsia"/>
        </w:rPr>
        <w:t xml:space="preserve"> using web-based tool </w:t>
      </w:r>
      <w:r>
        <w:rPr>
          <w:rFonts w:cstheme="minorBidi"/>
        </w:rPr>
        <w:t>(</w:t>
      </w:r>
      <w:hyperlink r:id="rId6" w:history="1">
        <w:r w:rsidRPr="00820CAD">
          <w:rPr>
            <w:rStyle w:val="a3"/>
            <w:rFonts w:cstheme="minorBidi"/>
          </w:rPr>
          <w:t>https://sg.idtdna.com/</w:t>
        </w:r>
      </w:hyperlink>
      <w:r>
        <w:rPr>
          <w:rFonts w:cstheme="minorBidi"/>
        </w:rPr>
        <w:t xml:space="preserve">). The sequences of gRNA were as follow: N74: </w:t>
      </w:r>
      <w:r w:rsidRPr="00390B8B">
        <w:rPr>
          <w:rFonts w:cstheme="minorBidi"/>
        </w:rPr>
        <w:t>CAGCAACCAGACGGACAAGC</w:t>
      </w:r>
      <w:r>
        <w:rPr>
          <w:rFonts w:cstheme="minorBidi"/>
        </w:rPr>
        <w:t xml:space="preserve">; scramble: </w:t>
      </w:r>
      <w:r w:rsidRPr="00390B8B">
        <w:rPr>
          <w:rFonts w:cstheme="minorBidi"/>
        </w:rPr>
        <w:t>CAGCAACCAGACGGACAAGC</w:t>
      </w:r>
      <w:r>
        <w:rPr>
          <w:rFonts w:cstheme="minorBidi"/>
        </w:rPr>
        <w:t xml:space="preserve">. Those targeting sequences were synthesized (Sangon Biothech, </w:t>
      </w:r>
      <w:r>
        <w:rPr>
          <w:rFonts w:cstheme="minorBidi" w:hint="eastAsia"/>
        </w:rPr>
        <w:t>C</w:t>
      </w:r>
      <w:r>
        <w:rPr>
          <w:rFonts w:cstheme="minorBidi"/>
        </w:rPr>
        <w:t xml:space="preserve">hina) and inserted into PX458 following published protocol </w:t>
      </w:r>
      <w:r>
        <w:rPr>
          <w:rFonts w:cstheme="minorBidi"/>
          <w:noProof/>
        </w:rPr>
        <w:t>(1)</w:t>
      </w:r>
      <w:r>
        <w:rPr>
          <w:rFonts w:cstheme="minorBidi"/>
        </w:rPr>
        <w:t>. To construct stable expression plasmid, gRNA and H1 promoter were inserted into lentiviral vector with mesothelin-</w:t>
      </w:r>
      <w:r>
        <w:rPr>
          <w:rFonts w:cstheme="minorBidi" w:hint="eastAsia"/>
        </w:rPr>
        <w:t>target</w:t>
      </w:r>
      <w:r>
        <w:rPr>
          <w:rFonts w:cstheme="minorBidi"/>
        </w:rPr>
        <w:t xml:space="preserve">ed CAR coding sequence. CAR was synthesized according to previous report </w:t>
      </w:r>
      <w:r>
        <w:rPr>
          <w:rFonts w:cstheme="minorBidi"/>
          <w:noProof/>
        </w:rPr>
        <w:t>(2)</w:t>
      </w:r>
      <w:r>
        <w:rPr>
          <w:rFonts w:cstheme="minorBidi"/>
        </w:rPr>
        <w:t>.</w:t>
      </w:r>
    </w:p>
    <w:p w:rsidR="0000401B" w:rsidRPr="00650DEE" w:rsidRDefault="0000401B" w:rsidP="007D6535">
      <w:pPr>
        <w:spacing w:line="480" w:lineRule="auto"/>
        <w:jc w:val="both"/>
        <w:rPr>
          <w:rFonts w:cstheme="minorBidi"/>
          <w:b/>
          <w:i/>
        </w:rPr>
      </w:pPr>
      <w:r w:rsidRPr="00650DEE">
        <w:rPr>
          <w:rFonts w:cstheme="minorBidi"/>
          <w:b/>
          <w:i/>
        </w:rPr>
        <w:t>ABE editing in T cells</w:t>
      </w:r>
    </w:p>
    <w:p w:rsidR="0000401B" w:rsidRDefault="0000401B" w:rsidP="007D6535">
      <w:pPr>
        <w:spacing w:line="480" w:lineRule="auto"/>
        <w:jc w:val="both"/>
        <w:rPr>
          <w:rFonts w:cstheme="minorBidi"/>
        </w:rPr>
      </w:pPr>
      <w:r>
        <w:rPr>
          <w:rFonts w:cstheme="minorBidi"/>
        </w:rPr>
        <w:t xml:space="preserve">Firstly, </w:t>
      </w:r>
      <w:r w:rsidRPr="00341207">
        <w:rPr>
          <w:rFonts w:cstheme="minorBidi"/>
        </w:rPr>
        <w:t xml:space="preserve">adenine base editor proteins were produced in insect cells </w:t>
      </w:r>
      <w:r>
        <w:rPr>
          <w:rFonts w:cstheme="minorBidi"/>
        </w:rPr>
        <w:t xml:space="preserve">according to </w:t>
      </w:r>
      <w:r w:rsidRPr="00341207">
        <w:rPr>
          <w:rFonts w:cstheme="minorBidi"/>
        </w:rPr>
        <w:t>ABEmax template and purified (Sino Biological, China).</w:t>
      </w:r>
      <w:r>
        <w:rPr>
          <w:rFonts w:cstheme="minorBidi"/>
        </w:rPr>
        <w:t xml:space="preserve"> Thr</w:t>
      </w:r>
      <w:r>
        <w:rPr>
          <w:rFonts w:cstheme="minorBidi" w:hint="eastAsia"/>
        </w:rPr>
        <w:t>e</w:t>
      </w:r>
      <w:r>
        <w:rPr>
          <w:rFonts w:cstheme="minorBidi"/>
        </w:rPr>
        <w:t xml:space="preserve">e days after T cell infection with lentivirus, electroporation with ABE proteins was performed according to the protocol </w:t>
      </w:r>
      <w:r>
        <w:rPr>
          <w:rFonts w:cstheme="minorBidi"/>
        </w:rPr>
        <w:lastRenderedPageBreak/>
        <w:t xml:space="preserve">adapted from Seki </w:t>
      </w:r>
      <w:r w:rsidRPr="00095699">
        <w:rPr>
          <w:rFonts w:cstheme="minorBidi"/>
          <w:i/>
        </w:rPr>
        <w:t xml:space="preserve">et al </w:t>
      </w:r>
      <w:r>
        <w:rPr>
          <w:rFonts w:cstheme="minorBidi"/>
          <w:noProof/>
        </w:rPr>
        <w:t>(3)</w:t>
      </w:r>
      <w:r>
        <w:rPr>
          <w:rFonts w:cstheme="minorBidi"/>
        </w:rPr>
        <w:t>. Briefly, T</w:t>
      </w:r>
      <w:r w:rsidRPr="00B86936">
        <w:rPr>
          <w:rFonts w:cstheme="minorBidi"/>
        </w:rPr>
        <w:t xml:space="preserve"> cells</w:t>
      </w:r>
      <w:r>
        <w:rPr>
          <w:rFonts w:cstheme="minorBidi"/>
        </w:rPr>
        <w:t xml:space="preserve"> </w:t>
      </w:r>
      <w:r w:rsidRPr="00B86936">
        <w:rPr>
          <w:rFonts w:cstheme="minorBidi"/>
        </w:rPr>
        <w:t>were</w:t>
      </w:r>
      <w:r>
        <w:rPr>
          <w:rFonts w:cstheme="minorBidi"/>
        </w:rPr>
        <w:t xml:space="preserve"> </w:t>
      </w:r>
      <w:r w:rsidRPr="00B86936">
        <w:rPr>
          <w:rFonts w:cstheme="minorBidi"/>
        </w:rPr>
        <w:t>centrifuged and resuspended in the Lonza electroporation</w:t>
      </w:r>
      <w:r>
        <w:rPr>
          <w:rFonts w:cstheme="minorBidi"/>
        </w:rPr>
        <w:t xml:space="preserve"> </w:t>
      </w:r>
      <w:r w:rsidRPr="00B86936">
        <w:rPr>
          <w:rFonts w:cstheme="minorBidi"/>
        </w:rPr>
        <w:t>buffer P</w:t>
      </w:r>
      <w:r>
        <w:rPr>
          <w:rFonts w:cstheme="minorBidi"/>
        </w:rPr>
        <w:t>2</w:t>
      </w:r>
      <w:r w:rsidRPr="00B86936">
        <w:rPr>
          <w:rFonts w:cstheme="minorBidi"/>
        </w:rPr>
        <w:t xml:space="preserve"> using </w:t>
      </w:r>
      <w:r>
        <w:rPr>
          <w:rFonts w:cstheme="minorBidi" w:hint="eastAsia"/>
        </w:rPr>
        <w:t>10</w:t>
      </w:r>
      <w:r w:rsidRPr="00B86936">
        <w:rPr>
          <w:rFonts w:cstheme="minorBidi"/>
        </w:rPr>
        <w:t>0 μ</w:t>
      </w:r>
      <w:r>
        <w:rPr>
          <w:rFonts w:cstheme="minorBidi" w:hint="eastAsia"/>
        </w:rPr>
        <w:t>L</w:t>
      </w:r>
      <w:r>
        <w:rPr>
          <w:rFonts w:cstheme="minorBidi"/>
        </w:rPr>
        <w:t xml:space="preserve"> </w:t>
      </w:r>
      <w:r w:rsidRPr="00B86936">
        <w:rPr>
          <w:rFonts w:cstheme="minorBidi"/>
        </w:rPr>
        <w:t xml:space="preserve">buffer per </w:t>
      </w:r>
      <w:r>
        <w:rPr>
          <w:rFonts w:cstheme="minorBidi" w:hint="eastAsia"/>
        </w:rPr>
        <w:t>5</w:t>
      </w:r>
      <w:r w:rsidRPr="00B86936">
        <w:rPr>
          <w:rFonts w:cstheme="minorBidi"/>
        </w:rPr>
        <w:t xml:space="preserve"> million cells</w:t>
      </w:r>
      <w:r>
        <w:rPr>
          <w:rFonts w:cstheme="minorBidi"/>
        </w:rPr>
        <w:t xml:space="preserve">, supplemented with </w:t>
      </w:r>
      <w:r>
        <w:rPr>
          <w:rFonts w:cstheme="minorBidi" w:hint="eastAsia"/>
        </w:rPr>
        <w:t>20</w:t>
      </w:r>
      <w:r>
        <w:rPr>
          <w:rFonts w:cstheme="minorBidi"/>
        </w:rPr>
        <w:t>0 pmol</w:t>
      </w:r>
      <w:r>
        <w:rPr>
          <w:rFonts w:cstheme="minorBidi" w:hint="eastAsia"/>
        </w:rPr>
        <w:t xml:space="preserve"> </w:t>
      </w:r>
      <w:r>
        <w:rPr>
          <w:rFonts w:cstheme="minorBidi"/>
        </w:rPr>
        <w:t>ABE proteins</w:t>
      </w:r>
      <w:r w:rsidRPr="00B86936">
        <w:rPr>
          <w:rFonts w:cstheme="minorBidi"/>
        </w:rPr>
        <w:t>.</w:t>
      </w:r>
      <w:r>
        <w:rPr>
          <w:rFonts w:cstheme="minorBidi"/>
        </w:rPr>
        <w:t xml:space="preserve"> Then protocol </w:t>
      </w:r>
      <w:r w:rsidRPr="008424F9">
        <w:rPr>
          <w:rFonts w:cstheme="minorBidi"/>
        </w:rPr>
        <w:t>EH100</w:t>
      </w:r>
      <w:r>
        <w:rPr>
          <w:rFonts w:cstheme="minorBidi"/>
        </w:rPr>
        <w:t xml:space="preserve"> was chosen. </w:t>
      </w:r>
      <w:r w:rsidRPr="00A47335">
        <w:rPr>
          <w:rFonts w:cstheme="minorBidi"/>
          <w:highlight w:val="yellow"/>
        </w:rPr>
        <w:t>After electroporation T cells were cultured in complete media with IL-2 (200 IU/mL).</w:t>
      </w:r>
    </w:p>
    <w:p w:rsidR="0000401B" w:rsidRPr="004853D0" w:rsidRDefault="0000401B" w:rsidP="007D6535">
      <w:pPr>
        <w:spacing w:line="480" w:lineRule="auto"/>
        <w:jc w:val="both"/>
        <w:rPr>
          <w:rFonts w:cstheme="minorBidi"/>
          <w:b/>
          <w:i/>
        </w:rPr>
      </w:pPr>
      <w:r>
        <w:rPr>
          <w:rFonts w:cstheme="minorBidi"/>
          <w:b/>
          <w:i/>
        </w:rPr>
        <w:t>FACS</w:t>
      </w:r>
      <w:r w:rsidRPr="004853D0">
        <w:rPr>
          <w:rFonts w:cstheme="minorBidi"/>
          <w:b/>
          <w:i/>
        </w:rPr>
        <w:t xml:space="preserve"> assessment of T</w:t>
      </w:r>
      <w:r w:rsidRPr="004853D0">
        <w:rPr>
          <w:rFonts w:cstheme="minorBidi" w:hint="eastAsia"/>
          <w:b/>
          <w:i/>
        </w:rPr>
        <w:t xml:space="preserve"> cells</w:t>
      </w:r>
    </w:p>
    <w:p w:rsidR="0000401B" w:rsidRDefault="0000401B" w:rsidP="007D6535">
      <w:pPr>
        <w:autoSpaceDE w:val="0"/>
        <w:autoSpaceDN w:val="0"/>
        <w:adjustRightInd w:val="0"/>
        <w:spacing w:after="240" w:line="480" w:lineRule="auto"/>
        <w:jc w:val="both"/>
        <w:outlineLvl w:val="0"/>
        <w:rPr>
          <w:rFonts w:cstheme="minorBidi"/>
        </w:rPr>
      </w:pPr>
      <w:r w:rsidRPr="00A47335">
        <w:rPr>
          <w:rFonts w:cstheme="minorBidi"/>
          <w:highlight w:val="yellow"/>
        </w:rPr>
        <w:t>T cells were mixed with fluorochrome-conjugated antibodies and incubated at 4°C for 30 minutes.</w:t>
      </w:r>
      <w:r>
        <w:rPr>
          <w:rFonts w:cstheme="minorBidi"/>
        </w:rPr>
        <w:t xml:space="preserve"> </w:t>
      </w:r>
      <w:r w:rsidRPr="00A47335">
        <w:rPr>
          <w:rFonts w:cstheme="minorBidi"/>
          <w:highlight w:val="yellow"/>
        </w:rPr>
        <w:t>After washing with ice-cold PBS with 2% FBS, samples were analyzed with FACSCanto II fluidics system (BD Bioscience).</w:t>
      </w:r>
      <w:r w:rsidRPr="004853D0">
        <w:t xml:space="preserve"> </w:t>
      </w:r>
      <w:r w:rsidR="003054B8" w:rsidRPr="00D8189F">
        <w:rPr>
          <w:rFonts w:hint="eastAsia"/>
          <w:highlight w:val="yellow"/>
        </w:rPr>
        <w:t>Fixable</w:t>
      </w:r>
      <w:r w:rsidR="003054B8" w:rsidRPr="00D8189F">
        <w:rPr>
          <w:highlight w:val="yellow"/>
        </w:rPr>
        <w:t xml:space="preserve"> viability dyes (Thermo Fisher) were added to exclude dead cells.</w:t>
      </w:r>
      <w:r w:rsidR="003054B8">
        <w:t xml:space="preserve"> </w:t>
      </w:r>
      <w:r>
        <w:rPr>
          <w:rFonts w:cstheme="minorBidi"/>
        </w:rPr>
        <w:t>Phenotypes</w:t>
      </w:r>
      <w:r w:rsidRPr="004853D0">
        <w:rPr>
          <w:rFonts w:cstheme="minorBidi"/>
        </w:rPr>
        <w:t xml:space="preserve"> of </w:t>
      </w:r>
      <w:r>
        <w:rPr>
          <w:rFonts w:cstheme="minorBidi"/>
        </w:rPr>
        <w:t>acquire samples were</w:t>
      </w:r>
      <w:r w:rsidRPr="004853D0">
        <w:rPr>
          <w:rFonts w:cstheme="minorBidi"/>
        </w:rPr>
        <w:t xml:space="preserve"> determined </w:t>
      </w:r>
      <w:r>
        <w:rPr>
          <w:rFonts w:cstheme="minorBidi"/>
        </w:rPr>
        <w:t>using Flowjo</w:t>
      </w:r>
      <w:r w:rsidRPr="004853D0">
        <w:rPr>
          <w:rFonts w:cstheme="minorBidi"/>
        </w:rPr>
        <w:t xml:space="preserve"> software.</w:t>
      </w:r>
      <w:bookmarkStart w:id="0" w:name="_GoBack"/>
      <w:bookmarkEnd w:id="0"/>
    </w:p>
    <w:p w:rsidR="0000401B" w:rsidRPr="00A47335" w:rsidRDefault="0000401B" w:rsidP="007D6535">
      <w:pPr>
        <w:autoSpaceDE w:val="0"/>
        <w:autoSpaceDN w:val="0"/>
        <w:adjustRightInd w:val="0"/>
        <w:spacing w:after="240" w:line="480" w:lineRule="auto"/>
        <w:jc w:val="both"/>
        <w:outlineLvl w:val="0"/>
        <w:rPr>
          <w:rFonts w:cstheme="minorBidi"/>
          <w:b/>
          <w:i/>
          <w:highlight w:val="yellow"/>
        </w:rPr>
      </w:pPr>
      <w:r w:rsidRPr="00A47335">
        <w:rPr>
          <w:rFonts w:cstheme="minorBidi"/>
          <w:b/>
          <w:i/>
          <w:highlight w:val="yellow"/>
        </w:rPr>
        <w:t>Preparation of target cells with high PD-L1 expression</w:t>
      </w:r>
    </w:p>
    <w:p w:rsidR="0000401B" w:rsidRDefault="0000401B" w:rsidP="007D6535">
      <w:pPr>
        <w:autoSpaceDE w:val="0"/>
        <w:autoSpaceDN w:val="0"/>
        <w:adjustRightInd w:val="0"/>
        <w:spacing w:after="240" w:line="480" w:lineRule="auto"/>
        <w:jc w:val="both"/>
        <w:outlineLvl w:val="0"/>
        <w:rPr>
          <w:rFonts w:cstheme="minorBidi"/>
        </w:rPr>
      </w:pPr>
      <w:r w:rsidRPr="00A47335">
        <w:rPr>
          <w:rFonts w:cstheme="minorBidi" w:hint="eastAsia"/>
          <w:highlight w:val="yellow"/>
        </w:rPr>
        <w:t>Mesothelin-positive H322 or A549 cells were seeded in advance</w:t>
      </w:r>
      <w:r w:rsidRPr="00A47335">
        <w:rPr>
          <w:rFonts w:cstheme="minorBidi"/>
          <w:highlight w:val="yellow"/>
        </w:rPr>
        <w:t>, followed by IFN-</w:t>
      </w:r>
      <w:r w:rsidRPr="00A47335">
        <w:rPr>
          <w:rFonts w:ascii="Symbol" w:hAnsi="Symbol" w:cstheme="minorBidi"/>
          <w:highlight w:val="yellow"/>
        </w:rPr>
        <w:t></w:t>
      </w:r>
      <w:r w:rsidRPr="00A47335">
        <w:rPr>
          <w:rFonts w:cstheme="minorBidi"/>
          <w:highlight w:val="yellow"/>
        </w:rPr>
        <w:t xml:space="preserve"> (100 IU/mL; Peprotech) stimulation for 24 hours. Then stimulated tumor cells were collected and washed several time with fresh media without exogenous cytokines to discard IFN-</w:t>
      </w:r>
      <w:r w:rsidRPr="00A47335">
        <w:rPr>
          <w:rFonts w:ascii="Symbol" w:hAnsi="Symbol" w:cstheme="minorBidi"/>
          <w:highlight w:val="yellow"/>
        </w:rPr>
        <w:t></w:t>
      </w:r>
      <w:r w:rsidRPr="00A47335">
        <w:rPr>
          <w:rFonts w:cstheme="minorBidi"/>
          <w:highlight w:val="yellow"/>
        </w:rPr>
        <w:t>. Then those PD-L1-expressed tumor cells were used in following experiments.</w:t>
      </w:r>
    </w:p>
    <w:p w:rsidR="0000401B" w:rsidRPr="00A47335" w:rsidRDefault="0000401B" w:rsidP="007D6535">
      <w:pPr>
        <w:autoSpaceDE w:val="0"/>
        <w:autoSpaceDN w:val="0"/>
        <w:adjustRightInd w:val="0"/>
        <w:spacing w:after="240" w:line="480" w:lineRule="auto"/>
        <w:jc w:val="both"/>
        <w:outlineLvl w:val="0"/>
        <w:rPr>
          <w:rFonts w:cstheme="minorBidi"/>
          <w:b/>
          <w:i/>
          <w:highlight w:val="yellow"/>
        </w:rPr>
      </w:pPr>
      <w:r w:rsidRPr="00A47335">
        <w:rPr>
          <w:rFonts w:cstheme="minorBidi"/>
          <w:b/>
          <w:i/>
          <w:highlight w:val="yellow"/>
        </w:rPr>
        <w:t>Bioluminescence (BLI)-based cytolytic function test of CAR-T cells</w:t>
      </w:r>
    </w:p>
    <w:p w:rsidR="0000401B" w:rsidRDefault="0000401B" w:rsidP="007D6535">
      <w:pPr>
        <w:autoSpaceDE w:val="0"/>
        <w:autoSpaceDN w:val="0"/>
        <w:adjustRightInd w:val="0"/>
        <w:spacing w:after="240" w:line="480" w:lineRule="auto"/>
        <w:jc w:val="both"/>
        <w:outlineLvl w:val="0"/>
        <w:rPr>
          <w:rFonts w:cstheme="minorBidi"/>
        </w:rPr>
      </w:pPr>
      <w:r w:rsidRPr="00A47335">
        <w:rPr>
          <w:rFonts w:cstheme="minorBidi" w:hint="eastAsia"/>
          <w:highlight w:val="yellow"/>
        </w:rPr>
        <w:t xml:space="preserve">CAR-T cells were </w:t>
      </w:r>
      <w:r w:rsidRPr="00A47335">
        <w:rPr>
          <w:rFonts w:cstheme="minorBidi"/>
          <w:highlight w:val="yellow"/>
        </w:rPr>
        <w:t>adjusted to have comparable GFP</w:t>
      </w:r>
      <w:r w:rsidRPr="00A47335">
        <w:rPr>
          <w:rFonts w:cstheme="minorBidi"/>
          <w:highlight w:val="yellow"/>
          <w:vertAlign w:val="superscript"/>
        </w:rPr>
        <w:t>+</w:t>
      </w:r>
      <w:r w:rsidRPr="00A47335">
        <w:rPr>
          <w:rFonts w:cstheme="minorBidi"/>
          <w:highlight w:val="yellow"/>
        </w:rPr>
        <w:t xml:space="preserve"> subgroups, </w:t>
      </w:r>
      <w:r w:rsidRPr="00A47335">
        <w:rPr>
          <w:rFonts w:cstheme="minorBidi" w:hint="eastAsia"/>
          <w:highlight w:val="yellow"/>
        </w:rPr>
        <w:t xml:space="preserve">washed to discard exogenous cytokines and then incubated with target cells with high PD-L1 at various E:T ratios for 24 hours. </w:t>
      </w:r>
      <w:r w:rsidRPr="00A47335">
        <w:rPr>
          <w:rFonts w:cstheme="minorBidi"/>
          <w:highlight w:val="yellow"/>
        </w:rPr>
        <w:t>Following that, the cytolytic activities of CAR-T cells were determined with IVIS imager (Perkin Elmer).</w:t>
      </w:r>
    </w:p>
    <w:p w:rsidR="0000401B" w:rsidRPr="00A47335" w:rsidRDefault="0000401B" w:rsidP="007D6535">
      <w:pPr>
        <w:autoSpaceDE w:val="0"/>
        <w:autoSpaceDN w:val="0"/>
        <w:adjustRightInd w:val="0"/>
        <w:spacing w:after="240" w:line="480" w:lineRule="auto"/>
        <w:jc w:val="both"/>
        <w:outlineLvl w:val="0"/>
        <w:rPr>
          <w:rFonts w:cstheme="minorBidi"/>
          <w:b/>
          <w:i/>
          <w:highlight w:val="yellow"/>
        </w:rPr>
      </w:pPr>
      <w:r w:rsidRPr="00A47335">
        <w:rPr>
          <w:rFonts w:cstheme="minorBidi"/>
          <w:b/>
          <w:i/>
          <w:highlight w:val="yellow"/>
        </w:rPr>
        <w:lastRenderedPageBreak/>
        <w:t>ELISA detection of effector cytokines</w:t>
      </w:r>
    </w:p>
    <w:p w:rsidR="0000401B" w:rsidRDefault="0000401B" w:rsidP="00044FAA">
      <w:pPr>
        <w:autoSpaceDE w:val="0"/>
        <w:autoSpaceDN w:val="0"/>
        <w:adjustRightInd w:val="0"/>
        <w:spacing w:after="240" w:line="480" w:lineRule="auto"/>
        <w:jc w:val="both"/>
        <w:outlineLvl w:val="0"/>
        <w:rPr>
          <w:rFonts w:cstheme="minorBidi"/>
        </w:rPr>
      </w:pPr>
      <w:r w:rsidRPr="00A47335">
        <w:rPr>
          <w:rFonts w:cstheme="minorBidi" w:hint="eastAsia"/>
          <w:highlight w:val="yellow"/>
        </w:rPr>
        <w:t xml:space="preserve">CAR-T cells </w:t>
      </w:r>
      <w:r w:rsidRPr="00A47335">
        <w:rPr>
          <w:rFonts w:cstheme="minorBidi"/>
          <w:highlight w:val="yellow"/>
        </w:rPr>
        <w:t>having similar CAR</w:t>
      </w:r>
      <w:r w:rsidRPr="00A47335">
        <w:rPr>
          <w:rFonts w:cstheme="minorBidi"/>
          <w:highlight w:val="yellow"/>
          <w:vertAlign w:val="superscript"/>
        </w:rPr>
        <w:t>+</w:t>
      </w:r>
      <w:r w:rsidRPr="00A47335">
        <w:rPr>
          <w:rFonts w:cstheme="minorBidi"/>
          <w:highlight w:val="yellow"/>
        </w:rPr>
        <w:t xml:space="preserve"> subsets </w:t>
      </w:r>
      <w:r w:rsidRPr="00A47335">
        <w:rPr>
          <w:rFonts w:cstheme="minorBidi" w:hint="eastAsia"/>
          <w:highlight w:val="yellow"/>
        </w:rPr>
        <w:t xml:space="preserve">were washed to discard exogenous cytokines and </w:t>
      </w:r>
      <w:r w:rsidRPr="00A47335">
        <w:rPr>
          <w:rFonts w:cstheme="minorBidi"/>
          <w:highlight w:val="yellow"/>
        </w:rPr>
        <w:t xml:space="preserve">co-cultured </w:t>
      </w:r>
      <w:r w:rsidRPr="00A47335">
        <w:rPr>
          <w:rFonts w:cstheme="minorBidi" w:hint="eastAsia"/>
          <w:highlight w:val="yellow"/>
        </w:rPr>
        <w:t xml:space="preserve">with target cells </w:t>
      </w:r>
      <w:r w:rsidRPr="00A47335">
        <w:rPr>
          <w:rFonts w:cstheme="minorBidi"/>
          <w:highlight w:val="yellow"/>
        </w:rPr>
        <w:t>expressing</w:t>
      </w:r>
      <w:r w:rsidRPr="00A47335">
        <w:rPr>
          <w:rFonts w:cstheme="minorBidi" w:hint="eastAsia"/>
          <w:highlight w:val="yellow"/>
        </w:rPr>
        <w:t xml:space="preserve"> </w:t>
      </w:r>
      <w:r w:rsidRPr="00A47335">
        <w:rPr>
          <w:rFonts w:cstheme="minorBidi"/>
          <w:highlight w:val="yellow"/>
        </w:rPr>
        <w:t xml:space="preserve">high levels of </w:t>
      </w:r>
      <w:r w:rsidRPr="00A47335">
        <w:rPr>
          <w:rFonts w:cstheme="minorBidi" w:hint="eastAsia"/>
          <w:highlight w:val="yellow"/>
        </w:rPr>
        <w:t>PD-L1 at E:T</w:t>
      </w:r>
      <w:r w:rsidRPr="00A47335">
        <w:rPr>
          <w:rFonts w:cstheme="minorBidi"/>
          <w:highlight w:val="yellow"/>
        </w:rPr>
        <w:t xml:space="preserve"> = 1:1</w:t>
      </w:r>
      <w:r w:rsidRPr="00A47335">
        <w:rPr>
          <w:rFonts w:cstheme="minorBidi" w:hint="eastAsia"/>
          <w:highlight w:val="yellow"/>
        </w:rPr>
        <w:t xml:space="preserve"> for 24 hours. </w:t>
      </w:r>
      <w:r w:rsidRPr="00A47335">
        <w:rPr>
          <w:rFonts w:cstheme="minorBidi"/>
          <w:highlight w:val="yellow"/>
        </w:rPr>
        <w:t>Following that, IL-2 and IFN-</w:t>
      </w:r>
      <w:r w:rsidRPr="00A47335">
        <w:rPr>
          <w:rFonts w:ascii="Symbol" w:hAnsi="Symbol" w:cstheme="minorBidi"/>
          <w:highlight w:val="yellow"/>
        </w:rPr>
        <w:t></w:t>
      </w:r>
      <w:r w:rsidRPr="00A47335">
        <w:rPr>
          <w:rFonts w:cstheme="minorBidi"/>
          <w:highlight w:val="yellow"/>
        </w:rPr>
        <w:t xml:space="preserve"> in supernatants were tested using specific ELISA kits (RD system).</w:t>
      </w:r>
    </w:p>
    <w:p w:rsidR="0000401B" w:rsidRPr="00A47335" w:rsidRDefault="0000401B" w:rsidP="00044FAA">
      <w:pPr>
        <w:autoSpaceDE w:val="0"/>
        <w:autoSpaceDN w:val="0"/>
        <w:adjustRightInd w:val="0"/>
        <w:spacing w:after="240" w:line="480" w:lineRule="auto"/>
        <w:jc w:val="both"/>
        <w:outlineLvl w:val="0"/>
        <w:rPr>
          <w:rFonts w:cstheme="minorBidi"/>
          <w:b/>
          <w:i/>
          <w:highlight w:val="yellow"/>
        </w:rPr>
      </w:pPr>
      <w:r w:rsidRPr="00A47335">
        <w:rPr>
          <w:rFonts w:cstheme="minorBidi"/>
          <w:b/>
          <w:i/>
          <w:highlight w:val="yellow"/>
        </w:rPr>
        <w:t>Proliferation assay of CAR-T cells</w:t>
      </w:r>
    </w:p>
    <w:p w:rsidR="0000401B" w:rsidRDefault="0000401B">
      <w:pPr>
        <w:autoSpaceDE w:val="0"/>
        <w:autoSpaceDN w:val="0"/>
        <w:adjustRightInd w:val="0"/>
        <w:spacing w:after="240" w:line="480" w:lineRule="auto"/>
        <w:jc w:val="both"/>
        <w:outlineLvl w:val="0"/>
        <w:rPr>
          <w:rFonts w:cstheme="minorBidi"/>
        </w:rPr>
      </w:pPr>
      <w:r w:rsidRPr="00A47335">
        <w:rPr>
          <w:rFonts w:cstheme="minorBidi"/>
          <w:highlight w:val="yellow"/>
        </w:rPr>
        <w:t>The ratios of CAR</w:t>
      </w:r>
      <w:r w:rsidRPr="00A47335">
        <w:rPr>
          <w:rFonts w:cstheme="minorBidi"/>
          <w:highlight w:val="yellow"/>
          <w:vertAlign w:val="superscript"/>
        </w:rPr>
        <w:t>+</w:t>
      </w:r>
      <w:r w:rsidRPr="00A47335">
        <w:rPr>
          <w:rFonts w:cstheme="minorBidi"/>
          <w:highlight w:val="yellow"/>
        </w:rPr>
        <w:t xml:space="preserve"> cells were adjusted to the similar levels and stained with the proliferation-indicative dye </w:t>
      </w:r>
      <w:r w:rsidRPr="00A47335">
        <w:rPr>
          <w:rFonts w:eastAsia="等线"/>
          <w:color w:val="000000"/>
          <w:highlight w:val="yellow"/>
        </w:rPr>
        <w:t xml:space="preserve">eFlour 670 (Thermo Fisher). After washing with fresh media several times, CAR-T cells were co-incubated with target cells </w:t>
      </w:r>
      <w:r w:rsidRPr="00A47335">
        <w:rPr>
          <w:rFonts w:cstheme="minorBidi" w:hint="eastAsia"/>
          <w:highlight w:val="yellow"/>
        </w:rPr>
        <w:t>at E:T</w:t>
      </w:r>
      <w:r w:rsidRPr="00A47335">
        <w:rPr>
          <w:rFonts w:cstheme="minorBidi"/>
          <w:highlight w:val="yellow"/>
        </w:rPr>
        <w:t xml:space="preserve"> = 1:1</w:t>
      </w:r>
      <w:r w:rsidRPr="00A47335">
        <w:rPr>
          <w:rFonts w:cstheme="minorBidi" w:hint="eastAsia"/>
          <w:highlight w:val="yellow"/>
        </w:rPr>
        <w:t xml:space="preserve"> for 48 hours</w:t>
      </w:r>
      <w:r w:rsidRPr="00A47335">
        <w:rPr>
          <w:rFonts w:cstheme="minorBidi"/>
          <w:highlight w:val="yellow"/>
        </w:rPr>
        <w:t xml:space="preserve"> without exogenous cytokines</w:t>
      </w:r>
      <w:r w:rsidRPr="00A47335">
        <w:rPr>
          <w:rFonts w:cstheme="minorBidi" w:hint="eastAsia"/>
          <w:highlight w:val="yellow"/>
        </w:rPr>
        <w:t xml:space="preserve">. </w:t>
      </w:r>
      <w:r w:rsidRPr="00A47335">
        <w:rPr>
          <w:rFonts w:cstheme="minorBidi"/>
          <w:highlight w:val="yellow"/>
        </w:rPr>
        <w:t xml:space="preserve">Then the proliferations of CAR-T cells were determined according to the dilution of </w:t>
      </w:r>
      <w:r w:rsidRPr="00A47335">
        <w:rPr>
          <w:rFonts w:eastAsia="等线"/>
          <w:color w:val="000000"/>
          <w:highlight w:val="yellow"/>
        </w:rPr>
        <w:t>eFlour 670.</w:t>
      </w:r>
    </w:p>
    <w:p w:rsidR="0000401B" w:rsidRDefault="0000401B" w:rsidP="007D6535">
      <w:pPr>
        <w:autoSpaceDE w:val="0"/>
        <w:autoSpaceDN w:val="0"/>
        <w:adjustRightInd w:val="0"/>
        <w:spacing w:after="240" w:line="480" w:lineRule="auto"/>
        <w:jc w:val="both"/>
        <w:outlineLvl w:val="0"/>
        <w:rPr>
          <w:rFonts w:cstheme="minorBidi"/>
          <w:b/>
          <w:i/>
        </w:rPr>
      </w:pPr>
      <w:r>
        <w:rPr>
          <w:rFonts w:cstheme="minorBidi"/>
          <w:b/>
          <w:i/>
        </w:rPr>
        <w:t>Western blot assay</w:t>
      </w:r>
    </w:p>
    <w:p w:rsidR="0000401B" w:rsidRPr="00EC65F5" w:rsidRDefault="0000401B" w:rsidP="007D6535">
      <w:pPr>
        <w:autoSpaceDE w:val="0"/>
        <w:autoSpaceDN w:val="0"/>
        <w:adjustRightInd w:val="0"/>
        <w:spacing w:after="240" w:line="480" w:lineRule="auto"/>
        <w:jc w:val="both"/>
        <w:outlineLvl w:val="0"/>
        <w:rPr>
          <w:bCs/>
          <w:color w:val="000000"/>
        </w:rPr>
      </w:pPr>
      <w:r w:rsidRPr="00EC65F5">
        <w:rPr>
          <w:bCs/>
          <w:color w:val="000000"/>
        </w:rPr>
        <w:t>For protein analysis, cells were lysed in ice-cold lysis buffer (150 mM NaCl, 5 mM EDTA, 50 mM Tris, 1% NP-40, 0.5% sodium deoxycholate, 0.1% SDS) plus protease inhibitor cock- tail (Sigma-Aldrich) and protein concentration was determined using Pierce BCA Protein Assay (Thermo Fisher Scientific).</w:t>
      </w:r>
      <w:r>
        <w:rPr>
          <w:bCs/>
          <w:color w:val="000000"/>
        </w:rPr>
        <w:t xml:space="preserve"> </w:t>
      </w:r>
      <w:r w:rsidRPr="00EC65F5">
        <w:rPr>
          <w:bCs/>
          <w:color w:val="000000"/>
        </w:rPr>
        <w:t xml:space="preserve">Western blots were performed using 10% SDS-PAGE gel and then transferred onto nitrocellulose transfer membrane using BioRad Blotting System. </w:t>
      </w:r>
      <w:r>
        <w:rPr>
          <w:bCs/>
          <w:color w:val="000000"/>
        </w:rPr>
        <w:t>PD-1</w:t>
      </w:r>
      <w:r w:rsidRPr="00EC65F5">
        <w:rPr>
          <w:bCs/>
          <w:color w:val="000000"/>
        </w:rPr>
        <w:t xml:space="preserve"> was visualized and quantified using Chemiluminescence Imaging System (Bio-Rad Laboratories).</w:t>
      </w:r>
    </w:p>
    <w:p w:rsidR="0000401B" w:rsidRDefault="0000401B" w:rsidP="007D6535">
      <w:pPr>
        <w:autoSpaceDE w:val="0"/>
        <w:autoSpaceDN w:val="0"/>
        <w:adjustRightInd w:val="0"/>
        <w:spacing w:after="240" w:line="480" w:lineRule="auto"/>
        <w:jc w:val="both"/>
        <w:outlineLvl w:val="0"/>
        <w:rPr>
          <w:rFonts w:cstheme="minorBidi"/>
          <w:b/>
          <w:i/>
        </w:rPr>
      </w:pPr>
      <w:r w:rsidRPr="004E3259">
        <w:rPr>
          <w:rFonts w:cstheme="minorBidi"/>
          <w:b/>
          <w:i/>
        </w:rPr>
        <w:t xml:space="preserve">RNA </w:t>
      </w:r>
      <w:r>
        <w:rPr>
          <w:rFonts w:cstheme="minorBidi"/>
          <w:b/>
          <w:i/>
        </w:rPr>
        <w:t>i</w:t>
      </w:r>
      <w:r w:rsidRPr="004E3259">
        <w:rPr>
          <w:rFonts w:cstheme="minorBidi"/>
          <w:b/>
          <w:i/>
        </w:rPr>
        <w:t xml:space="preserve">solation and </w:t>
      </w:r>
      <w:r>
        <w:rPr>
          <w:rFonts w:cstheme="minorBidi"/>
          <w:b/>
          <w:i/>
        </w:rPr>
        <w:t>q</w:t>
      </w:r>
      <w:r w:rsidRPr="004E3259">
        <w:rPr>
          <w:rFonts w:cstheme="minorBidi"/>
          <w:b/>
          <w:i/>
        </w:rPr>
        <w:t>uantitative Real-Time PCR</w:t>
      </w:r>
    </w:p>
    <w:p w:rsidR="0000401B" w:rsidRDefault="0000401B" w:rsidP="007D6535">
      <w:pPr>
        <w:autoSpaceDE w:val="0"/>
        <w:autoSpaceDN w:val="0"/>
        <w:adjustRightInd w:val="0"/>
        <w:spacing w:after="240" w:line="480" w:lineRule="auto"/>
        <w:jc w:val="both"/>
        <w:outlineLvl w:val="0"/>
        <w:rPr>
          <w:bCs/>
          <w:color w:val="000000"/>
        </w:rPr>
      </w:pPr>
      <w:r w:rsidRPr="00EC65F5">
        <w:rPr>
          <w:bCs/>
          <w:color w:val="000000"/>
        </w:rPr>
        <w:lastRenderedPageBreak/>
        <w:t>RNA was isolated from whole cells using TRIzol reagent (Takara Bio, Japan) according to the manufacturer’s instructions. For cDNA synthesis, 1000 ng total RNA was r</w:t>
      </w:r>
      <w:r>
        <w:rPr>
          <w:bCs/>
          <w:color w:val="000000"/>
        </w:rPr>
        <w:t>everse transcribed using Prime-</w:t>
      </w:r>
      <w:r w:rsidRPr="00EC65F5">
        <w:rPr>
          <w:bCs/>
          <w:color w:val="000000"/>
        </w:rPr>
        <w:t>Script RT reagent Kit with gDNA Eraser (Takara Bio). For quantitative PCR, we used SYBR Green</w:t>
      </w:r>
      <w:r>
        <w:rPr>
          <w:bCs/>
          <w:color w:val="000000"/>
        </w:rPr>
        <w:t xml:space="preserve"> </w:t>
      </w:r>
      <w:r w:rsidRPr="00EC65F5">
        <w:rPr>
          <w:bCs/>
          <w:color w:val="000000"/>
        </w:rPr>
        <w:t>(Roche</w:t>
      </w:r>
      <w:r>
        <w:rPr>
          <w:bCs/>
          <w:color w:val="000000"/>
        </w:rPr>
        <w:t>, German</w:t>
      </w:r>
      <w:r w:rsidRPr="00EC65F5">
        <w:rPr>
          <w:bCs/>
          <w:color w:val="000000"/>
        </w:rPr>
        <w:t xml:space="preserve">) and on Stratagene Mx3005P qPCR System (Agilent Technologies). </w:t>
      </w:r>
      <w:r>
        <w:rPr>
          <w:bCs/>
          <w:color w:val="000000"/>
        </w:rPr>
        <w:t>P</w:t>
      </w:r>
      <w:r w:rsidRPr="00EC65F5">
        <w:rPr>
          <w:bCs/>
          <w:color w:val="000000"/>
        </w:rPr>
        <w:t xml:space="preserve">rimers </w:t>
      </w:r>
      <w:r>
        <w:rPr>
          <w:bCs/>
          <w:color w:val="000000"/>
        </w:rPr>
        <w:t>for</w:t>
      </w:r>
      <w:r w:rsidRPr="00EC65F5">
        <w:rPr>
          <w:bCs/>
          <w:color w:val="000000"/>
        </w:rPr>
        <w:t xml:space="preserve"> PD-1</w:t>
      </w:r>
      <w:r>
        <w:rPr>
          <w:bCs/>
          <w:color w:val="000000"/>
        </w:rPr>
        <w:t xml:space="preserve"> are</w:t>
      </w:r>
      <w:r w:rsidRPr="00EC65F5">
        <w:rPr>
          <w:bCs/>
          <w:color w:val="000000"/>
        </w:rPr>
        <w:t xml:space="preserve"> 5</w:t>
      </w:r>
      <w:r>
        <w:rPr>
          <w:bCs/>
          <w:color w:val="000000"/>
        </w:rPr>
        <w:t>’-CAGTTCCAAACCCTGGTGGT-</w:t>
      </w:r>
      <w:r w:rsidRPr="00EC65F5">
        <w:rPr>
          <w:bCs/>
          <w:color w:val="000000"/>
        </w:rPr>
        <w:t>3</w:t>
      </w:r>
      <w:r>
        <w:rPr>
          <w:bCs/>
          <w:color w:val="000000"/>
        </w:rPr>
        <w:t>’ and</w:t>
      </w:r>
      <w:r w:rsidRPr="00EC65F5">
        <w:rPr>
          <w:bCs/>
          <w:color w:val="000000"/>
        </w:rPr>
        <w:t xml:space="preserve"> 5</w:t>
      </w:r>
      <w:r>
        <w:rPr>
          <w:bCs/>
          <w:color w:val="000000"/>
        </w:rPr>
        <w:t>’-GGCTCCTATTGTCCCTCGTG-</w:t>
      </w:r>
      <w:r w:rsidRPr="00EC65F5">
        <w:rPr>
          <w:bCs/>
          <w:color w:val="000000"/>
        </w:rPr>
        <w:t>3</w:t>
      </w:r>
      <w:r>
        <w:rPr>
          <w:bCs/>
          <w:color w:val="000000"/>
        </w:rPr>
        <w:t>’, for GAPDH are</w:t>
      </w:r>
      <w:r w:rsidRPr="00EC65F5">
        <w:rPr>
          <w:bCs/>
          <w:color w:val="000000"/>
        </w:rPr>
        <w:t xml:space="preserve"> 5</w:t>
      </w:r>
      <w:r>
        <w:rPr>
          <w:bCs/>
          <w:color w:val="000000"/>
        </w:rPr>
        <w:t>’-</w:t>
      </w:r>
      <w:r w:rsidRPr="0057408F">
        <w:rPr>
          <w:bCs/>
          <w:color w:val="000000"/>
        </w:rPr>
        <w:t>GCACCGTCAAGGCTGAGAAC</w:t>
      </w:r>
      <w:r>
        <w:rPr>
          <w:bCs/>
          <w:color w:val="000000"/>
        </w:rPr>
        <w:t>-</w:t>
      </w:r>
      <w:r w:rsidRPr="00EC65F5">
        <w:rPr>
          <w:bCs/>
          <w:color w:val="000000"/>
        </w:rPr>
        <w:t>3</w:t>
      </w:r>
      <w:r>
        <w:rPr>
          <w:bCs/>
          <w:color w:val="000000"/>
        </w:rPr>
        <w:t>’</w:t>
      </w:r>
      <w:r w:rsidRPr="00EC65F5">
        <w:rPr>
          <w:bCs/>
          <w:color w:val="000000"/>
        </w:rPr>
        <w:t xml:space="preserve"> </w:t>
      </w:r>
      <w:r>
        <w:rPr>
          <w:bCs/>
          <w:color w:val="000000"/>
        </w:rPr>
        <w:t>and</w:t>
      </w:r>
      <w:r w:rsidRPr="00EC65F5">
        <w:rPr>
          <w:bCs/>
          <w:color w:val="000000"/>
        </w:rPr>
        <w:t xml:space="preserve"> 5</w:t>
      </w:r>
      <w:r>
        <w:rPr>
          <w:bCs/>
          <w:color w:val="000000"/>
        </w:rPr>
        <w:t>’</w:t>
      </w:r>
      <w:r w:rsidRPr="0057408F">
        <w:rPr>
          <w:bCs/>
          <w:color w:val="000000"/>
        </w:rPr>
        <w:t>TGGTGAAGACGCCAGTGGA</w:t>
      </w:r>
      <w:r>
        <w:rPr>
          <w:bCs/>
          <w:color w:val="000000"/>
        </w:rPr>
        <w:t>-</w:t>
      </w:r>
      <w:r w:rsidRPr="00EC65F5">
        <w:rPr>
          <w:bCs/>
          <w:color w:val="000000"/>
        </w:rPr>
        <w:t>3</w:t>
      </w:r>
      <w:r>
        <w:rPr>
          <w:bCs/>
          <w:color w:val="000000"/>
        </w:rPr>
        <w:t>’</w:t>
      </w:r>
      <w:r w:rsidRPr="00EC65F5">
        <w:rPr>
          <w:bCs/>
          <w:color w:val="000000"/>
        </w:rPr>
        <w:t>.</w:t>
      </w:r>
    </w:p>
    <w:p w:rsidR="0000401B" w:rsidRPr="00A47335" w:rsidRDefault="0000401B" w:rsidP="007D6535">
      <w:pPr>
        <w:autoSpaceDE w:val="0"/>
        <w:autoSpaceDN w:val="0"/>
        <w:adjustRightInd w:val="0"/>
        <w:spacing w:after="240" w:line="480" w:lineRule="auto"/>
        <w:jc w:val="both"/>
        <w:outlineLvl w:val="0"/>
        <w:rPr>
          <w:b/>
          <w:bCs/>
          <w:i/>
          <w:color w:val="000000"/>
          <w:highlight w:val="yellow"/>
        </w:rPr>
      </w:pPr>
      <w:r w:rsidRPr="00A47335">
        <w:rPr>
          <w:b/>
          <w:bCs/>
          <w:i/>
          <w:color w:val="000000"/>
          <w:highlight w:val="yellow"/>
        </w:rPr>
        <w:t>Animal experiments</w:t>
      </w:r>
    </w:p>
    <w:p w:rsidR="0000401B" w:rsidRDefault="0000401B" w:rsidP="007D6535">
      <w:pPr>
        <w:autoSpaceDE w:val="0"/>
        <w:autoSpaceDN w:val="0"/>
        <w:adjustRightInd w:val="0"/>
        <w:spacing w:after="240" w:line="480" w:lineRule="auto"/>
        <w:jc w:val="both"/>
        <w:outlineLvl w:val="0"/>
        <w:rPr>
          <w:bCs/>
          <w:color w:val="000000"/>
        </w:rPr>
      </w:pPr>
      <w:r w:rsidRPr="00A47335">
        <w:rPr>
          <w:bCs/>
          <w:color w:val="000000"/>
          <w:highlight w:val="yellow"/>
        </w:rPr>
        <w:t xml:space="preserve">Luciferase-expressing </w:t>
      </w:r>
      <w:r w:rsidRPr="00A47335">
        <w:rPr>
          <w:rFonts w:hint="eastAsia"/>
          <w:bCs/>
          <w:color w:val="000000"/>
          <w:highlight w:val="yellow"/>
        </w:rPr>
        <w:t xml:space="preserve">H322 cells </w:t>
      </w:r>
      <w:r w:rsidRPr="00A47335">
        <w:rPr>
          <w:bCs/>
          <w:color w:val="000000"/>
          <w:highlight w:val="yellow"/>
        </w:rPr>
        <w:t>were inoculated into SCID-beige mice subcutaneously on day -7. On day 0, 1</w:t>
      </w:r>
      <w:r w:rsidRPr="00A47335">
        <w:rPr>
          <w:rFonts w:hint="eastAsia"/>
          <w:bCs/>
          <w:color w:val="000000"/>
          <w:highlight w:val="yellow"/>
        </w:rPr>
        <w:t>×</w:t>
      </w:r>
      <w:r w:rsidRPr="00A47335">
        <w:rPr>
          <w:bCs/>
          <w:color w:val="000000"/>
          <w:highlight w:val="yellow"/>
        </w:rPr>
        <w:t>10</w:t>
      </w:r>
      <w:r w:rsidRPr="00A47335">
        <w:rPr>
          <w:bCs/>
          <w:color w:val="000000"/>
          <w:highlight w:val="yellow"/>
          <w:vertAlign w:val="superscript"/>
        </w:rPr>
        <w:t>7</w:t>
      </w:r>
      <w:r w:rsidRPr="00A47335">
        <w:rPr>
          <w:bCs/>
          <w:color w:val="000000"/>
          <w:highlight w:val="yellow"/>
        </w:rPr>
        <w:t xml:space="preserve"> T cells were infused via tail vein when the tumors were visible. In the infused scramble and gRNA cells, the rates (around 85%) of CAR-positive cells were comparable. 5 days after, the tumor-infiltrating CAR-T cells were isolated to check their accumulations, activations and PD-1 expressions. Additionally, tumor growths were monitored weekly after T cell infusion with BLI imager. Once the values of total flux were over 2</w:t>
      </w:r>
      <w:r w:rsidRPr="00A47335">
        <w:rPr>
          <w:rFonts w:ascii="宋体" w:hAnsi="宋体" w:hint="eastAsia"/>
          <w:bCs/>
          <w:color w:val="000000"/>
          <w:highlight w:val="yellow"/>
        </w:rPr>
        <w:t>×</w:t>
      </w:r>
      <w:r w:rsidRPr="00A47335">
        <w:rPr>
          <w:bCs/>
          <w:color w:val="000000"/>
          <w:highlight w:val="yellow"/>
        </w:rPr>
        <w:t>10</w:t>
      </w:r>
      <w:r w:rsidRPr="00A47335">
        <w:rPr>
          <w:bCs/>
          <w:color w:val="000000"/>
          <w:highlight w:val="yellow"/>
          <w:vertAlign w:val="superscript"/>
        </w:rPr>
        <w:t>11</w:t>
      </w:r>
      <w:r w:rsidRPr="00A47335">
        <w:rPr>
          <w:bCs/>
          <w:color w:val="000000"/>
          <w:highlight w:val="yellow"/>
        </w:rPr>
        <w:t>, mice were sacrificed.</w:t>
      </w:r>
    </w:p>
    <w:p w:rsidR="0000401B" w:rsidRPr="00650DEE" w:rsidRDefault="0000401B" w:rsidP="007D6535">
      <w:pPr>
        <w:autoSpaceDE w:val="0"/>
        <w:autoSpaceDN w:val="0"/>
        <w:adjustRightInd w:val="0"/>
        <w:spacing w:after="240" w:line="480" w:lineRule="auto"/>
        <w:outlineLvl w:val="0"/>
        <w:rPr>
          <w:b/>
          <w:bCs/>
          <w:i/>
          <w:color w:val="000000"/>
        </w:rPr>
      </w:pPr>
      <w:r w:rsidRPr="00650DEE">
        <w:rPr>
          <w:b/>
          <w:bCs/>
          <w:i/>
          <w:color w:val="000000"/>
        </w:rPr>
        <w:t>Statistical</w:t>
      </w:r>
      <w:r>
        <w:rPr>
          <w:b/>
          <w:bCs/>
          <w:i/>
          <w:color w:val="000000"/>
        </w:rPr>
        <w:t xml:space="preserve"> analysis</w:t>
      </w:r>
    </w:p>
    <w:p w:rsidR="0000401B" w:rsidRPr="0030274D" w:rsidRDefault="0000401B" w:rsidP="007D6535">
      <w:pPr>
        <w:autoSpaceDE w:val="0"/>
        <w:autoSpaceDN w:val="0"/>
        <w:adjustRightInd w:val="0"/>
        <w:spacing w:after="240" w:line="480" w:lineRule="auto"/>
        <w:outlineLvl w:val="0"/>
        <w:rPr>
          <w:bCs/>
          <w:color w:val="000000"/>
        </w:rPr>
      </w:pPr>
      <w:r w:rsidRPr="000E73A2">
        <w:rPr>
          <w:bCs/>
          <w:color w:val="000000"/>
        </w:rPr>
        <w:t>Data are presented as mean</w:t>
      </w:r>
      <w:r>
        <w:rPr>
          <w:bCs/>
          <w:color w:val="000000"/>
        </w:rPr>
        <w:t xml:space="preserve"> </w:t>
      </w:r>
      <w:r w:rsidRPr="000E73A2">
        <w:rPr>
          <w:bCs/>
          <w:color w:val="000000"/>
        </w:rPr>
        <w:t>±</w:t>
      </w:r>
      <w:r>
        <w:rPr>
          <w:bCs/>
          <w:color w:val="000000"/>
        </w:rPr>
        <w:t xml:space="preserve"> </w:t>
      </w:r>
      <w:r w:rsidRPr="000E73A2">
        <w:rPr>
          <w:bCs/>
          <w:color w:val="000000"/>
        </w:rPr>
        <w:t>SD</w:t>
      </w:r>
      <w:r w:rsidRPr="00E51D58">
        <w:t xml:space="preserve"> </w:t>
      </w:r>
      <w:r w:rsidRPr="00E51D58">
        <w:rPr>
          <w:bCs/>
          <w:color w:val="000000"/>
        </w:rPr>
        <w:t xml:space="preserve">and significance was defined as </w:t>
      </w:r>
      <w:r w:rsidRPr="00EF3BDD">
        <w:rPr>
          <w:bCs/>
          <w:i/>
          <w:color w:val="000000"/>
        </w:rPr>
        <w:t>P</w:t>
      </w:r>
      <w:r>
        <w:rPr>
          <w:bCs/>
          <w:i/>
          <w:color w:val="000000"/>
        </w:rPr>
        <w:t xml:space="preserve"> </w:t>
      </w:r>
      <w:r w:rsidRPr="00E51D58">
        <w:rPr>
          <w:bCs/>
          <w:color w:val="000000"/>
        </w:rPr>
        <w:t>&lt;</w:t>
      </w:r>
      <w:r>
        <w:rPr>
          <w:bCs/>
          <w:color w:val="000000"/>
        </w:rPr>
        <w:t xml:space="preserve"> </w:t>
      </w:r>
      <w:r w:rsidRPr="00E51D58">
        <w:rPr>
          <w:bCs/>
          <w:color w:val="000000"/>
        </w:rPr>
        <w:t>0.05</w:t>
      </w:r>
      <w:r w:rsidRPr="000E73A2">
        <w:rPr>
          <w:bCs/>
          <w:color w:val="000000"/>
        </w:rPr>
        <w:t xml:space="preserve">. </w:t>
      </w:r>
      <w:r w:rsidRPr="005F648B">
        <w:rPr>
          <w:bCs/>
          <w:i/>
          <w:color w:val="000000"/>
        </w:rPr>
        <w:t>T</w:t>
      </w:r>
      <w:r>
        <w:rPr>
          <w:bCs/>
          <w:color w:val="000000"/>
        </w:rPr>
        <w:t xml:space="preserve"> tests were performed to compare 2 groups. ANOVA tests were carried on to compare the difference among 3 or more groups. </w:t>
      </w:r>
      <w:r w:rsidRPr="0030274D">
        <w:rPr>
          <w:bCs/>
          <w:color w:val="000000"/>
        </w:rPr>
        <w:t xml:space="preserve">All statistical analyses were performed in Graphpad Prism, version </w:t>
      </w:r>
      <w:r>
        <w:rPr>
          <w:bCs/>
          <w:color w:val="000000"/>
        </w:rPr>
        <w:t>7</w:t>
      </w:r>
      <w:r w:rsidRPr="0030274D">
        <w:rPr>
          <w:bCs/>
          <w:color w:val="000000"/>
        </w:rPr>
        <w:t>.0.</w:t>
      </w:r>
      <w:r w:rsidRPr="00E51D58">
        <w:t xml:space="preserve"> </w:t>
      </w:r>
    </w:p>
    <w:p w:rsidR="0000401B" w:rsidRPr="005E6C73" w:rsidRDefault="0000401B">
      <w:pPr>
        <w:rPr>
          <w:b/>
        </w:rPr>
      </w:pPr>
      <w:r w:rsidRPr="005E6C73">
        <w:rPr>
          <w:b/>
        </w:rPr>
        <w:lastRenderedPageBreak/>
        <w:t>References</w:t>
      </w:r>
    </w:p>
    <w:p w:rsidR="007E2E90" w:rsidRPr="00B83947" w:rsidRDefault="007E2E90" w:rsidP="007E2E90">
      <w:pPr>
        <w:pStyle w:val="EndNoteBibliography"/>
        <w:spacing w:line="480" w:lineRule="auto"/>
      </w:pPr>
      <w:r w:rsidRPr="00B83947">
        <w:t>1.</w:t>
      </w:r>
      <w:r w:rsidRPr="00B83947">
        <w:tab/>
        <w:t xml:space="preserve">Ran FA, Hsu PD, Wright J, Agarwala V, Scott DA, Zhang F. Genome engineering using the CRISPR-Cas9 system. Nat </w:t>
      </w:r>
      <w:r>
        <w:rPr>
          <w:rFonts w:hint="eastAsia"/>
        </w:rPr>
        <w:t>P</w:t>
      </w:r>
      <w:r w:rsidRPr="00B83947">
        <w:t>rotoc. 2013;8(11):2281-308.</w:t>
      </w:r>
    </w:p>
    <w:p w:rsidR="007E2E90" w:rsidRPr="00B83947" w:rsidRDefault="007E2E90" w:rsidP="007E2E90">
      <w:pPr>
        <w:pStyle w:val="EndNoteBibliography"/>
        <w:spacing w:line="480" w:lineRule="auto"/>
      </w:pPr>
      <w:r w:rsidRPr="00B83947">
        <w:t>2.</w:t>
      </w:r>
      <w:r w:rsidRPr="00B83947">
        <w:tab/>
        <w:t xml:space="preserve">Carpenito C, Milone MC, Hassan R, Simonet JC, Lakhal M, Suhoski MM, et al. Control of large, established tumor xenografts with genetically retargeted human T cells containing CD28 and CD137 domains. </w:t>
      </w:r>
      <w:r w:rsidRPr="00F05090">
        <w:t>Proc Natl Acad Sci U S A</w:t>
      </w:r>
      <w:r>
        <w:t>.</w:t>
      </w:r>
      <w:r w:rsidRPr="00752935">
        <w:t xml:space="preserve"> </w:t>
      </w:r>
      <w:r w:rsidRPr="00B83947">
        <w:t>2009;106(9):3360-5.</w:t>
      </w:r>
    </w:p>
    <w:p w:rsidR="007E2E90" w:rsidRPr="00B83947" w:rsidRDefault="007E2E90" w:rsidP="007E2E90">
      <w:pPr>
        <w:pStyle w:val="EndNoteBibliography"/>
        <w:spacing w:line="480" w:lineRule="auto"/>
      </w:pPr>
      <w:r w:rsidRPr="00B83947">
        <w:t>3.</w:t>
      </w:r>
      <w:r w:rsidRPr="00B83947">
        <w:tab/>
        <w:t xml:space="preserve">Seki A, Rutz S. Optimized RNP transfection for highly efficient CRISPR/Cas9-mediated gene knockout in primary T cells. J Exp Med. </w:t>
      </w:r>
      <w:r w:rsidRPr="00E12691">
        <w:t>2018</w:t>
      </w:r>
      <w:r>
        <w:t>;</w:t>
      </w:r>
      <w:r w:rsidRPr="00E12691">
        <w:t>215(3):985-997.</w:t>
      </w:r>
    </w:p>
    <w:p w:rsidR="0000401B" w:rsidRDefault="0000401B" w:rsidP="004E5CF6">
      <w:pPr>
        <w:spacing w:line="360" w:lineRule="auto"/>
      </w:pPr>
    </w:p>
    <w:p w:rsidR="00FF2741" w:rsidRDefault="00FF2741"/>
    <w:sectPr w:rsidR="00FF2741" w:rsidSect="005E6C73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34262" w:rsidRDefault="00534262" w:rsidP="007E2E90">
      <w:r>
        <w:separator/>
      </w:r>
    </w:p>
  </w:endnote>
  <w:endnote w:type="continuationSeparator" w:id="0">
    <w:p w:rsidR="00534262" w:rsidRDefault="00534262" w:rsidP="007E2E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34262" w:rsidRDefault="00534262" w:rsidP="007E2E90">
      <w:r>
        <w:separator/>
      </w:r>
    </w:p>
  </w:footnote>
  <w:footnote w:type="continuationSeparator" w:id="0">
    <w:p w:rsidR="00534262" w:rsidRDefault="00534262" w:rsidP="007E2E9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EN.InstantFormat" w:val="&lt;ENInstantFormat&gt;&lt;Enabled&gt;0&lt;/Enabled&gt;&lt;ScanUnformatted&gt;1&lt;/ScanUnformatted&gt;&lt;ScanChanges&gt;1&lt;/ScanChanges&gt;&lt;Suspended&gt;1&lt;/Suspended&gt;&lt;/ENInstantFormat&gt;"/>
  </w:docVars>
  <w:rsids>
    <w:rsidRoot w:val="0000401B"/>
    <w:rsid w:val="0000401B"/>
    <w:rsid w:val="003054B8"/>
    <w:rsid w:val="004327C7"/>
    <w:rsid w:val="00534262"/>
    <w:rsid w:val="005E6C73"/>
    <w:rsid w:val="00614EB6"/>
    <w:rsid w:val="007E2E90"/>
    <w:rsid w:val="0082166E"/>
    <w:rsid w:val="008817BA"/>
    <w:rsid w:val="009C1530"/>
    <w:rsid w:val="00A47335"/>
    <w:rsid w:val="00A66116"/>
    <w:rsid w:val="00D8189F"/>
    <w:rsid w:val="00FF27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A015D947-D703-4630-84B5-B40D175616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宋体" w:hAnsi="Times New Roman" w:cstheme="minorBidi"/>
        <w:kern w:val="2"/>
        <w:sz w:val="24"/>
        <w:szCs w:val="24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0401B"/>
    <w:rPr>
      <w:rFonts w:cs="Times New Roman"/>
      <w:kern w:val="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00401B"/>
    <w:rPr>
      <w:color w:val="0563C1"/>
      <w:u w:val="single"/>
    </w:rPr>
  </w:style>
  <w:style w:type="paragraph" w:customStyle="1" w:styleId="EndNoteBibliographyTitle">
    <w:name w:val="EndNote Bibliography Title"/>
    <w:basedOn w:val="a"/>
    <w:link w:val="EndNoteBibliographyTitle0"/>
    <w:rsid w:val="0000401B"/>
    <w:pPr>
      <w:jc w:val="center"/>
    </w:pPr>
    <w:rPr>
      <w:noProof/>
    </w:rPr>
  </w:style>
  <w:style w:type="character" w:customStyle="1" w:styleId="EndNoteBibliographyTitle0">
    <w:name w:val="EndNote Bibliography Title 字符"/>
    <w:basedOn w:val="a0"/>
    <w:link w:val="EndNoteBibliographyTitle"/>
    <w:rsid w:val="0000401B"/>
    <w:rPr>
      <w:rFonts w:cs="Times New Roman"/>
      <w:noProof/>
      <w:kern w:val="0"/>
    </w:rPr>
  </w:style>
  <w:style w:type="paragraph" w:customStyle="1" w:styleId="EndNoteBibliography">
    <w:name w:val="EndNote Bibliography"/>
    <w:basedOn w:val="a"/>
    <w:link w:val="EndNoteBibliography0"/>
    <w:rsid w:val="0000401B"/>
    <w:rPr>
      <w:noProof/>
    </w:rPr>
  </w:style>
  <w:style w:type="character" w:customStyle="1" w:styleId="EndNoteBibliography0">
    <w:name w:val="EndNote Bibliography 字符"/>
    <w:basedOn w:val="a0"/>
    <w:link w:val="EndNoteBibliography"/>
    <w:rsid w:val="0000401B"/>
    <w:rPr>
      <w:rFonts w:cs="Times New Roman"/>
      <w:noProof/>
      <w:kern w:val="0"/>
    </w:rPr>
  </w:style>
  <w:style w:type="paragraph" w:styleId="a4">
    <w:name w:val="header"/>
    <w:basedOn w:val="a"/>
    <w:link w:val="a5"/>
    <w:uiPriority w:val="99"/>
    <w:unhideWhenUsed/>
    <w:rsid w:val="0000401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5">
    <w:name w:val="页眉 字符"/>
    <w:basedOn w:val="a0"/>
    <w:link w:val="a4"/>
    <w:uiPriority w:val="99"/>
    <w:rsid w:val="0000401B"/>
    <w:rPr>
      <w:rFonts w:cs="Times New Roman"/>
      <w:kern w:val="0"/>
      <w:sz w:val="18"/>
      <w:szCs w:val="18"/>
    </w:rPr>
  </w:style>
  <w:style w:type="paragraph" w:styleId="a6">
    <w:name w:val="footer"/>
    <w:basedOn w:val="a"/>
    <w:link w:val="a7"/>
    <w:uiPriority w:val="99"/>
    <w:unhideWhenUsed/>
    <w:rsid w:val="0000401B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character" w:customStyle="1" w:styleId="a7">
    <w:name w:val="页脚 字符"/>
    <w:basedOn w:val="a0"/>
    <w:link w:val="a6"/>
    <w:uiPriority w:val="99"/>
    <w:rsid w:val="0000401B"/>
    <w:rPr>
      <w:rFonts w:cs="Times New Roman"/>
      <w:kern w:val="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sg.idtdna.com/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5</Pages>
  <Words>922</Words>
  <Characters>5261</Characters>
  <Application>Microsoft Office Word</Application>
  <DocSecurity>0</DocSecurity>
  <Lines>43</Lines>
  <Paragraphs>12</Paragraphs>
  <ScaleCrop>false</ScaleCrop>
  <Company>Microsoft</Company>
  <LinksUpToDate>false</LinksUpToDate>
  <CharactersWithSpaces>6171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Feng Li</dc:creator>
  <cp:keywords/>
  <dc:description/>
  <cp:lastModifiedBy>Feng Li</cp:lastModifiedBy>
  <cp:revision>9</cp:revision>
  <dcterms:created xsi:type="dcterms:W3CDTF">2019-11-06T09:41:00Z</dcterms:created>
  <dcterms:modified xsi:type="dcterms:W3CDTF">2019-11-06T12:47:00Z</dcterms:modified>
</cp:coreProperties>
</file>