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DF2" w:rsidRPr="00B9764B" w:rsidRDefault="008A4DF2" w:rsidP="008A4DF2">
      <w:pPr>
        <w:rPr>
          <w:rFonts w:asciiTheme="minorHAnsi" w:hAnsiTheme="minorHAnsi" w:cstheme="minorHAnsi"/>
          <w:b/>
          <w:sz w:val="22"/>
          <w:lang w:val="en-US"/>
        </w:rPr>
      </w:pPr>
      <w:r w:rsidRPr="00B9764B">
        <w:rPr>
          <w:rFonts w:asciiTheme="minorHAnsi" w:hAnsiTheme="minorHAnsi" w:cstheme="minorHAnsi"/>
          <w:b/>
          <w:sz w:val="22"/>
          <w:lang w:val="en-US"/>
        </w:rPr>
        <w:t xml:space="preserve">Supplementary appendix </w:t>
      </w:r>
    </w:p>
    <w:p w:rsidR="008A4DF2" w:rsidRPr="00B9764B" w:rsidRDefault="008A4DF2" w:rsidP="008A4DF2">
      <w:pPr>
        <w:rPr>
          <w:rFonts w:asciiTheme="minorHAnsi" w:hAnsiTheme="minorHAnsi" w:cstheme="minorHAnsi"/>
          <w:b/>
          <w:sz w:val="22"/>
          <w:lang w:val="en-US"/>
        </w:rPr>
      </w:pPr>
      <w:r w:rsidRPr="00B9764B">
        <w:rPr>
          <w:rFonts w:asciiTheme="minorHAnsi" w:hAnsiTheme="minorHAnsi" w:cstheme="minorHAnsi"/>
          <w:b/>
          <w:sz w:val="22"/>
          <w:lang w:val="en-US"/>
        </w:rPr>
        <w:t xml:space="preserve">Supplementary Table 1: </w:t>
      </w:r>
      <w:r w:rsidRPr="00B9764B">
        <w:rPr>
          <w:rFonts w:asciiTheme="minorHAnsi" w:hAnsiTheme="minorHAnsi" w:cstheme="minorHAnsi"/>
          <w:sz w:val="22"/>
          <w:lang w:val="en-US"/>
        </w:rPr>
        <w:t>Grade 5 (fatal) adverse events (safety evaluable population).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7"/>
        <w:gridCol w:w="1576"/>
        <w:gridCol w:w="1513"/>
      </w:tblGrid>
      <w:tr w:rsidR="008A4DF2" w:rsidRPr="00B9764B" w:rsidTr="00085BBB">
        <w:tc>
          <w:tcPr>
            <w:tcW w:w="5937" w:type="dxa"/>
            <w:tcBorders>
              <w:top w:val="single" w:sz="4" w:space="0" w:color="auto"/>
              <w:bottom w:val="single" w:sz="4" w:space="0" w:color="auto"/>
            </w:tcBorders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Adverse event 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R-CHOP (N=701), </w:t>
            </w:r>
          </w:p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proofErr w:type="gramStart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n</w:t>
            </w:r>
            <w:proofErr w:type="gramEnd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 (%)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G-CHOP (N=702), </w:t>
            </w:r>
          </w:p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proofErr w:type="gramStart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n</w:t>
            </w:r>
            <w:proofErr w:type="gramEnd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 (%)</w:t>
            </w:r>
          </w:p>
        </w:tc>
      </w:tr>
      <w:tr w:rsidR="008A4DF2" w:rsidRPr="00B9764B" w:rsidTr="00085BBB">
        <w:tc>
          <w:tcPr>
            <w:tcW w:w="5937" w:type="dxa"/>
            <w:tcBorders>
              <w:top w:val="single" w:sz="4" w:space="0" w:color="auto"/>
            </w:tcBorders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szCs w:val="20"/>
                <w:lang w:val="en-US"/>
              </w:rPr>
              <w:t xml:space="preserve">Number of patients with ≥1 event </w:t>
            </w:r>
          </w:p>
        </w:tc>
        <w:tc>
          <w:tcPr>
            <w:tcW w:w="1576" w:type="dxa"/>
            <w:tcBorders>
              <w:top w:val="single" w:sz="4" w:space="0" w:color="auto"/>
            </w:tcBorders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szCs w:val="20"/>
                <w:lang w:val="en-US"/>
              </w:rPr>
              <w:t>31 (4.4)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szCs w:val="20"/>
                <w:lang w:val="en-US"/>
              </w:rPr>
              <w:t>43 (6.1)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Blood and lymphatic system disorder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0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2 (0.3)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Febrile neutropenia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proofErr w:type="spellStart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Histiocytosis</w:t>
            </w:r>
            <w:proofErr w:type="spellEnd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 </w:t>
            </w:r>
            <w:proofErr w:type="spellStart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hematophagic</w:t>
            </w:r>
            <w:proofErr w:type="spellEnd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Cardiac disorders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3 (0.4)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4 (0.6)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Cardiac arrest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Cardiac failure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Cardiac failure congestive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Cardiopulmonary failure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Coronary artery thrombosis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Myocardial infarction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Gastrointestinal disorders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4 (0.6)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Gastric hemorrhage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Gastrointestinal hemorrhage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Impaired gastric emptying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Intestinal ischemia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Intestinal obstruction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Intestinal perforation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General disorders and administration site conditions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3 (0.4)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5 (0.7)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Death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2 (0.3)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3 (0.4)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Sudden death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General physical health deterioration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Infections and infestations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11 (1.6)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16 (2.3)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lastRenderedPageBreak/>
              <w:t>Pneumonia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5 (0.7)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5 (0.7)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Septic shock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6 (0.9)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Sepsis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3 (0.4)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Bronchopulmonary </w:t>
            </w:r>
            <w:proofErr w:type="spellStart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aspergillosis</w:t>
            </w:r>
            <w:proofErr w:type="spellEnd"/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Candida sepsis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Escherichia sepsis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Infection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Meningitis viral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Osteomyelitis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Peritonitis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Injury, poisoning and procedural complications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 (0.1)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2 (0.3)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Abdominal wound dehiscence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Subarachnoid hemorrhage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0 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Subdural hematoma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Metabolism and nutrition disorders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 (0.1)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Failure to thrive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Neoplasm benign, malignant and unspecified (including cysts and polyps)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5 (0.7)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5 (0.7)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Hepatocellular carcinoma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2 (0.3)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Acute myeloid leukemia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Breast cancer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Colon cancer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Lung adenocarcinoma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Lung neoplasm malignant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Myelodysplastic syndrome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Squamous cell carcinoma of pharynx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Nervous system disorders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3 (0.4)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2 (0.3)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Cerebrovascular accident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2 (0.3)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2 (0.3)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lastRenderedPageBreak/>
              <w:t xml:space="preserve">Toxic encephalopathy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Psychiatric disorders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0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Completed suicide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Respiratory, thoracic and mediastinal disorders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3 (0.4)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6 (0.9)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Acute respiratory failure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Pulmonary embolism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2 (0.3)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Acute respiratory distress syndrome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Dyspnea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Interstitial lung disease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Pulmonary edema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Respiratory failure </w:t>
            </w:r>
          </w:p>
        </w:tc>
        <w:tc>
          <w:tcPr>
            <w:tcW w:w="1576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  <w:tc>
          <w:tcPr>
            <w:tcW w:w="1513" w:type="dxa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</w:tr>
      <w:tr w:rsidR="008A4DF2" w:rsidRPr="00B9764B" w:rsidTr="00085BBB">
        <w:tc>
          <w:tcPr>
            <w:tcW w:w="5937" w:type="dxa"/>
          </w:tcPr>
          <w:p w:rsidR="008A4DF2" w:rsidRPr="00B9764B" w:rsidRDefault="008A4DF2" w:rsidP="00085BBB">
            <w:pPr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 xml:space="preserve">Vascular disorders </w:t>
            </w:r>
          </w:p>
        </w:tc>
        <w:tc>
          <w:tcPr>
            <w:tcW w:w="1576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0</w:t>
            </w:r>
          </w:p>
        </w:tc>
        <w:tc>
          <w:tcPr>
            <w:tcW w:w="1513" w:type="dxa"/>
            <w:shd w:val="clear" w:color="auto" w:fill="auto"/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b/>
                <w:i/>
                <w:szCs w:val="20"/>
                <w:lang w:val="en-US"/>
              </w:rPr>
              <w:t>1 (0.1)</w:t>
            </w:r>
          </w:p>
        </w:tc>
      </w:tr>
      <w:tr w:rsidR="008A4DF2" w:rsidRPr="00B9764B" w:rsidTr="00085BBB">
        <w:tc>
          <w:tcPr>
            <w:tcW w:w="5937" w:type="dxa"/>
            <w:tcBorders>
              <w:bottom w:val="single" w:sz="4" w:space="0" w:color="auto"/>
            </w:tcBorders>
          </w:tcPr>
          <w:p w:rsidR="008A4DF2" w:rsidRPr="00B9764B" w:rsidRDefault="008A4DF2" w:rsidP="00085BBB">
            <w:pPr>
              <w:ind w:left="321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 xml:space="preserve">Hemorrhage 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0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8A4DF2" w:rsidRPr="00B9764B" w:rsidRDefault="008A4DF2" w:rsidP="00085BBB">
            <w:pPr>
              <w:jc w:val="center"/>
              <w:rPr>
                <w:rFonts w:asciiTheme="minorHAnsi" w:hAnsiTheme="minorHAnsi" w:cstheme="minorHAnsi"/>
                <w:szCs w:val="20"/>
                <w:lang w:val="en-US"/>
              </w:rPr>
            </w:pPr>
            <w:r w:rsidRPr="00B9764B">
              <w:rPr>
                <w:rFonts w:asciiTheme="minorHAnsi" w:hAnsiTheme="minorHAnsi" w:cstheme="minorHAnsi"/>
                <w:szCs w:val="20"/>
                <w:lang w:val="en-US"/>
              </w:rPr>
              <w:t>1 (0.1)</w:t>
            </w:r>
          </w:p>
        </w:tc>
      </w:tr>
    </w:tbl>
    <w:p w:rsidR="008A4DF2" w:rsidRDefault="008A4DF2" w:rsidP="008A4DF2">
      <w:pPr>
        <w:spacing w:before="240"/>
        <w:rPr>
          <w:rFonts w:asciiTheme="minorHAnsi" w:hAnsiTheme="minorHAnsi" w:cstheme="minorHAnsi"/>
          <w:i/>
          <w:lang w:val="en-US"/>
        </w:rPr>
      </w:pPr>
      <w:proofErr w:type="gramStart"/>
      <w:r w:rsidRPr="00B9764B">
        <w:rPr>
          <w:rFonts w:asciiTheme="minorHAnsi" w:hAnsiTheme="minorHAnsi" w:cstheme="minorHAnsi"/>
          <w:i/>
          <w:lang w:val="en-US"/>
        </w:rPr>
        <w:t xml:space="preserve">G-CHOP, </w:t>
      </w:r>
      <w:proofErr w:type="spellStart"/>
      <w:r w:rsidRPr="00B9764B">
        <w:rPr>
          <w:rFonts w:asciiTheme="minorHAnsi" w:hAnsiTheme="minorHAnsi" w:cstheme="minorHAnsi"/>
          <w:i/>
          <w:lang w:val="en-US"/>
        </w:rPr>
        <w:t>obinutuzumab</w:t>
      </w:r>
      <w:proofErr w:type="spellEnd"/>
      <w:r w:rsidRPr="00B9764B">
        <w:rPr>
          <w:rFonts w:asciiTheme="minorHAnsi" w:hAnsiTheme="minorHAnsi" w:cstheme="minorHAnsi"/>
          <w:i/>
          <w:lang w:val="en-US"/>
        </w:rPr>
        <w:t xml:space="preserve"> plus cyclophosphamide, doxorubicin, vincristine, and prednisone; R-CHOP, rituximab plus cyclophosphamide, doxorubicin, vincristine, and prednisone.</w:t>
      </w:r>
      <w:proofErr w:type="gramEnd"/>
    </w:p>
    <w:p w:rsidR="008A4DF2" w:rsidRPr="00252056" w:rsidRDefault="008A4DF2" w:rsidP="008A4DF2">
      <w:pPr>
        <w:spacing w:after="160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i/>
          <w:lang w:val="en-US"/>
        </w:rPr>
        <w:br w:type="page"/>
      </w:r>
      <w:r w:rsidRPr="00252056">
        <w:rPr>
          <w:rFonts w:asciiTheme="minorHAnsi" w:hAnsiTheme="minorHAnsi" w:cstheme="minorHAnsi"/>
          <w:b/>
          <w:sz w:val="22"/>
          <w:lang w:val="en-US"/>
        </w:rPr>
        <w:lastRenderedPageBreak/>
        <w:t xml:space="preserve">Supplementary Fig. 1 </w:t>
      </w:r>
      <w:r w:rsidRPr="00252056">
        <w:rPr>
          <w:rFonts w:asciiTheme="minorHAnsi" w:hAnsiTheme="minorHAnsi" w:cstheme="minorHAnsi"/>
          <w:sz w:val="22"/>
          <w:lang w:val="en-US"/>
        </w:rPr>
        <w:t xml:space="preserve">Kaplan–Meier estimates of PFS by treatment group for COO subtypes. </w:t>
      </w:r>
    </w:p>
    <w:p w:rsidR="008A4DF2" w:rsidRPr="00252056" w:rsidRDefault="008A4DF2" w:rsidP="008A4DF2">
      <w:pPr>
        <w:rPr>
          <w:rFonts w:asciiTheme="minorHAnsi" w:hAnsiTheme="minorHAnsi" w:cstheme="minorHAnsi"/>
          <w:sz w:val="22"/>
          <w:lang w:val="en-US"/>
        </w:rPr>
      </w:pPr>
      <w:proofErr w:type="spellStart"/>
      <w:proofErr w:type="gramStart"/>
      <w:r w:rsidRPr="00252056">
        <w:rPr>
          <w:rFonts w:asciiTheme="minorHAnsi" w:hAnsiTheme="minorHAnsi" w:cstheme="minorHAnsi"/>
          <w:b/>
          <w:sz w:val="22"/>
          <w:lang w:val="en-US"/>
        </w:rPr>
        <w:t>A</w:t>
      </w:r>
      <w:proofErr w:type="spellEnd"/>
      <w:proofErr w:type="gramEnd"/>
      <w:r w:rsidRPr="00252056">
        <w:rPr>
          <w:rFonts w:asciiTheme="minorHAnsi" w:hAnsiTheme="minorHAnsi" w:cstheme="minorHAnsi"/>
          <w:b/>
          <w:sz w:val="22"/>
          <w:lang w:val="en-US"/>
        </w:rPr>
        <w:t xml:space="preserve"> </w:t>
      </w:r>
      <w:r w:rsidRPr="00252056">
        <w:rPr>
          <w:rFonts w:asciiTheme="minorHAnsi" w:hAnsiTheme="minorHAnsi" w:cstheme="minorHAnsi"/>
          <w:sz w:val="22"/>
          <w:lang w:val="en-US"/>
        </w:rPr>
        <w:t xml:space="preserve">Investigator-assessed PFS by treatment arm in the GCB subgroup, in which a trend towards a better PFS with G-CHOP was observed; </w:t>
      </w:r>
    </w:p>
    <w:p w:rsidR="008A4DF2" w:rsidRPr="00252056" w:rsidRDefault="008A4DF2" w:rsidP="008A4DF2">
      <w:pPr>
        <w:rPr>
          <w:rFonts w:asciiTheme="minorHAnsi" w:hAnsiTheme="minorHAnsi" w:cstheme="minorHAnsi"/>
          <w:sz w:val="22"/>
          <w:lang w:val="en-US"/>
        </w:rPr>
      </w:pPr>
      <w:r w:rsidRPr="00252056">
        <w:rPr>
          <w:rFonts w:asciiTheme="minorHAnsi" w:hAnsiTheme="minorHAnsi" w:cstheme="minorHAnsi"/>
          <w:b/>
          <w:sz w:val="22"/>
          <w:lang w:val="en-US"/>
        </w:rPr>
        <w:t xml:space="preserve">B </w:t>
      </w:r>
      <w:r w:rsidRPr="00252056">
        <w:rPr>
          <w:rFonts w:asciiTheme="minorHAnsi" w:hAnsiTheme="minorHAnsi" w:cstheme="minorHAnsi"/>
          <w:sz w:val="22"/>
          <w:lang w:val="en-US"/>
        </w:rPr>
        <w:t xml:space="preserve">Investigator-assessed PFS by treatment arm in the ABC subgroup, where no difference in PFS between treatment arms was observed; </w:t>
      </w:r>
    </w:p>
    <w:p w:rsidR="008A4DF2" w:rsidRPr="00FB455E" w:rsidRDefault="008A4DF2" w:rsidP="008A4DF2">
      <w:pPr>
        <w:rPr>
          <w:rFonts w:asciiTheme="minorHAnsi" w:hAnsiTheme="minorHAnsi" w:cstheme="minorHAnsi"/>
          <w:sz w:val="22"/>
          <w:lang w:val="en-US"/>
        </w:rPr>
      </w:pPr>
      <w:r w:rsidRPr="00252056">
        <w:rPr>
          <w:rFonts w:asciiTheme="minorHAnsi" w:hAnsiTheme="minorHAnsi" w:cstheme="minorHAnsi"/>
          <w:b/>
          <w:sz w:val="22"/>
          <w:lang w:val="en-US"/>
        </w:rPr>
        <w:t xml:space="preserve">C </w:t>
      </w:r>
      <w:r w:rsidRPr="00252056">
        <w:rPr>
          <w:rFonts w:asciiTheme="minorHAnsi" w:hAnsiTheme="minorHAnsi" w:cstheme="minorHAnsi"/>
          <w:sz w:val="22"/>
          <w:lang w:val="en-US"/>
        </w:rPr>
        <w:t>Investigator-assessed PFS by treatment arm in the unclassified subgroup, in which there was also no difference in PFS between treatment arms.</w:t>
      </w:r>
      <w:r w:rsidRPr="00FB455E">
        <w:rPr>
          <w:rFonts w:asciiTheme="minorHAnsi" w:hAnsiTheme="minorHAnsi" w:cstheme="minorHAnsi"/>
          <w:sz w:val="22"/>
          <w:lang w:val="en-US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A4DF2" w:rsidTr="00085BBB">
        <w:tc>
          <w:tcPr>
            <w:tcW w:w="9016" w:type="dxa"/>
          </w:tcPr>
          <w:p w:rsidR="008A4DF2" w:rsidRDefault="008A4DF2" w:rsidP="00085BB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EFAC34" wp14:editId="2EAE0BC0">
                  <wp:extent cx="5731510" cy="4495800"/>
                  <wp:effectExtent l="0" t="0" r="2540" b="0"/>
                  <wp:docPr id="1778" name="Picture 1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49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4DF2" w:rsidRDefault="008A4DF2" w:rsidP="00085BBB">
            <w:pPr>
              <w:tabs>
                <w:tab w:val="right" w:pos="8800"/>
              </w:tabs>
              <w:spacing w:line="240" w:lineRule="auto"/>
              <w:rPr>
                <w:rFonts w:asciiTheme="minorHAnsi" w:hAnsiTheme="minorHAnsi" w:cstheme="minorHAnsi"/>
                <w:b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en-US"/>
              </w:rPr>
              <w:tab/>
            </w:r>
          </w:p>
        </w:tc>
      </w:tr>
    </w:tbl>
    <w:p w:rsidR="008A4DF2" w:rsidRPr="00B9764B" w:rsidRDefault="008A4DF2" w:rsidP="008A4DF2">
      <w:pPr>
        <w:spacing w:before="240"/>
        <w:rPr>
          <w:rFonts w:asciiTheme="minorHAnsi" w:hAnsiTheme="minorHAnsi" w:cstheme="minorHAnsi"/>
          <w:b/>
          <w:sz w:val="22"/>
          <w:lang w:val="en-US"/>
        </w:rPr>
      </w:pPr>
      <w:r w:rsidRPr="003B06C5">
        <w:rPr>
          <w:rFonts w:asciiTheme="minorHAnsi" w:hAnsiTheme="minorHAnsi" w:cstheme="minorHAnsi"/>
          <w:i/>
          <w:lang w:val="en-US"/>
        </w:rPr>
        <w:t xml:space="preserve">ABC, activated B cell; COO, cell of origin; GCB, germinal center B cell; G-CHOP, </w:t>
      </w:r>
      <w:proofErr w:type="spellStart"/>
      <w:r w:rsidRPr="003B06C5">
        <w:rPr>
          <w:rFonts w:asciiTheme="minorHAnsi" w:hAnsiTheme="minorHAnsi" w:cstheme="minorHAnsi"/>
          <w:i/>
          <w:lang w:val="en-US"/>
        </w:rPr>
        <w:t>obinutuzumab</w:t>
      </w:r>
      <w:proofErr w:type="spellEnd"/>
      <w:r w:rsidRPr="003B06C5">
        <w:rPr>
          <w:rFonts w:asciiTheme="minorHAnsi" w:hAnsiTheme="minorHAnsi" w:cstheme="minorHAnsi"/>
          <w:i/>
          <w:lang w:val="en-US"/>
        </w:rPr>
        <w:t xml:space="preserve"> plus cyclophosphamide, doxorubicin, vincristine, and prednisone; PFS, progression-free survival; R-CHOP, rituximab plus cyclophosphamide, doxorubicin, vincristine, and prednisone.</w:t>
      </w:r>
      <w:bookmarkStart w:id="0" w:name="_GoBack"/>
      <w:bookmarkEnd w:id="0"/>
    </w:p>
    <w:p w:rsidR="000677DD" w:rsidRDefault="000677DD"/>
    <w:sectPr w:rsidR="000677DD" w:rsidSect="00D91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DF2"/>
    <w:rsid w:val="000677DD"/>
    <w:rsid w:val="00252056"/>
    <w:rsid w:val="003B06C5"/>
    <w:rsid w:val="008A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DF2"/>
    <w:pPr>
      <w:spacing w:after="0" w:line="480" w:lineRule="auto"/>
    </w:pPr>
    <w:rPr>
      <w:rFonts w:ascii="Century Gothic" w:eastAsia="SimSun" w:hAnsi="Century Gothic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20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056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DF2"/>
    <w:pPr>
      <w:spacing w:after="0" w:line="480" w:lineRule="auto"/>
    </w:pPr>
    <w:rPr>
      <w:rFonts w:ascii="Century Gothic" w:eastAsia="SimSun" w:hAnsi="Century Gothic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20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056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UDG Healthcare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Toland</dc:creator>
  <cp:keywords/>
  <dc:description/>
  <cp:lastModifiedBy>Sevilla, Hernando Jr.</cp:lastModifiedBy>
  <cp:revision>3</cp:revision>
  <dcterms:created xsi:type="dcterms:W3CDTF">2020-04-30T13:07:00Z</dcterms:created>
  <dcterms:modified xsi:type="dcterms:W3CDTF">2020-06-18T10:45:00Z</dcterms:modified>
</cp:coreProperties>
</file>