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DCA" w:rsidRPr="001B48A5" w:rsidRDefault="00A50DCA" w:rsidP="00A50DCA">
      <w:pPr>
        <w:spacing w:line="36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 w:rsidRPr="001B48A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ab/>
      </w:r>
      <w:r w:rsidRPr="001B48A5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>Supplementary Information</w:t>
      </w:r>
    </w:p>
    <w:p w:rsidR="00A50DCA" w:rsidRPr="001B48A5" w:rsidRDefault="00A50DCA" w:rsidP="00A50DCA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50DCA" w:rsidRPr="001B48A5" w:rsidRDefault="00A50DCA" w:rsidP="00A50DC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Y </w:t>
      </w:r>
      <w:r w:rsidRPr="001B48A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et al</w:t>
      </w:r>
      <w:r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97E9B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DT2216 – a </w:t>
      </w:r>
      <w:proofErr w:type="spellStart"/>
      <w:r w:rsidR="00897E9B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Bcl-xL</w:t>
      </w:r>
      <w:proofErr w:type="spellEnd"/>
      <w:r w:rsidR="00897E9B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specific degrader is highly active against </w:t>
      </w:r>
      <w:proofErr w:type="spellStart"/>
      <w:r w:rsidR="00897E9B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Bcl</w:t>
      </w:r>
      <w:proofErr w:type="spellEnd"/>
      <w:r w:rsidR="00897E9B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="00897E9B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xL</w:t>
      </w:r>
      <w:proofErr w:type="spellEnd"/>
      <w:r w:rsidR="00897E9B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-dependent T-cell lymphomas</w:t>
      </w:r>
      <w:bookmarkStart w:id="0" w:name="_GoBack"/>
      <w:bookmarkEnd w:id="0"/>
    </w:p>
    <w:p w:rsidR="00A50DCA" w:rsidRPr="001B48A5" w:rsidRDefault="00A50DCA" w:rsidP="00A50DC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36" w:type="dxa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6"/>
        <w:gridCol w:w="6660"/>
      </w:tblGrid>
      <w:tr w:rsidR="001B48A5" w:rsidRPr="001B48A5" w:rsidTr="00BF1985">
        <w:trPr>
          <w:trHeight w:val="552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DCA" w:rsidRPr="001B48A5" w:rsidRDefault="00A50DCA" w:rsidP="00DA34F0">
            <w:pPr>
              <w:kinsoku w:val="0"/>
              <w:overflowPunct w:val="0"/>
              <w:autoSpaceDE w:val="0"/>
              <w:autoSpaceDN w:val="0"/>
              <w:adjustRightInd w:val="0"/>
              <w:spacing w:before="9" w:line="360" w:lineRule="auto"/>
              <w:ind w:left="10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8A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Supplementary Item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DCA" w:rsidRPr="001B48A5" w:rsidRDefault="00A50DCA" w:rsidP="00DA34F0">
            <w:pPr>
              <w:kinsoku w:val="0"/>
              <w:overflowPunct w:val="0"/>
              <w:autoSpaceDE w:val="0"/>
              <w:autoSpaceDN w:val="0"/>
              <w:adjustRightInd w:val="0"/>
              <w:spacing w:before="9" w:line="360" w:lineRule="auto"/>
              <w:ind w:left="9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8A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Title</w:t>
            </w:r>
          </w:p>
        </w:tc>
      </w:tr>
      <w:tr w:rsidR="001B48A5" w:rsidRPr="001B48A5" w:rsidTr="00BF1985">
        <w:trPr>
          <w:trHeight w:val="552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DCA" w:rsidRPr="001B48A5" w:rsidRDefault="00A50DCA" w:rsidP="00DA34F0">
            <w:pPr>
              <w:kinsoku w:val="0"/>
              <w:overflowPunct w:val="0"/>
              <w:autoSpaceDE w:val="0"/>
              <w:autoSpaceDN w:val="0"/>
              <w:adjustRightInd w:val="0"/>
              <w:spacing w:before="9" w:line="360" w:lineRule="auto"/>
              <w:ind w:left="10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Supplementary</w:t>
            </w:r>
            <w:r w:rsidRPr="001B48A5">
              <w:rPr>
                <w:rFonts w:ascii="Times New Roman" w:hAnsi="Times New Roman" w:cs="Times New Roman"/>
                <w:color w:val="000000" w:themeColor="text1"/>
                <w:spacing w:val="31"/>
                <w:sz w:val="24"/>
                <w:szCs w:val="24"/>
              </w:rPr>
              <w:t xml:space="preserve"> </w:t>
            </w:r>
            <w:r w:rsidRPr="001B4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Figure</w:t>
            </w:r>
            <w:r w:rsidRPr="001B48A5">
              <w:rPr>
                <w:rFonts w:ascii="Times New Roman" w:hAnsi="Times New Roman" w:cs="Times New Roman"/>
                <w:color w:val="000000" w:themeColor="text1"/>
                <w:spacing w:val="28"/>
                <w:sz w:val="24"/>
                <w:szCs w:val="24"/>
              </w:rPr>
              <w:t xml:space="preserve"> </w:t>
            </w:r>
            <w:r w:rsidR="00EF3FB3" w:rsidRPr="001B48A5">
              <w:rPr>
                <w:rFonts w:ascii="Times New Roman" w:hAnsi="Times New Roman" w:cs="Times New Roman"/>
                <w:color w:val="000000" w:themeColor="text1"/>
                <w:spacing w:val="28"/>
                <w:sz w:val="24"/>
                <w:szCs w:val="24"/>
              </w:rPr>
              <w:t>1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DCA" w:rsidRPr="001B48A5" w:rsidRDefault="00AD7DF3" w:rsidP="00DA34F0">
            <w:pPr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33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Effect of DT2216 on </w:t>
            </w:r>
            <w:r w:rsidRPr="001B48A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BCL2L1</w:t>
            </w:r>
            <w:r w:rsidRPr="001B4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1B48A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BCL2</w:t>
            </w:r>
            <w:r w:rsidRPr="001B4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and </w:t>
            </w:r>
            <w:r w:rsidRPr="001B48A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MCL1</w:t>
            </w:r>
            <w:r w:rsidRPr="001B4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mRNA expression</w:t>
            </w:r>
            <w:r w:rsidR="00674AAD" w:rsidRPr="001B4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1B4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in TCL cells</w:t>
            </w:r>
          </w:p>
        </w:tc>
      </w:tr>
      <w:tr w:rsidR="001B48A5" w:rsidRPr="001B48A5" w:rsidTr="00BF1985">
        <w:trPr>
          <w:trHeight w:val="552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DCA" w:rsidRPr="001B48A5" w:rsidRDefault="00A50DCA" w:rsidP="00DA34F0">
            <w:pPr>
              <w:kinsoku w:val="0"/>
              <w:overflowPunct w:val="0"/>
              <w:autoSpaceDE w:val="0"/>
              <w:autoSpaceDN w:val="0"/>
              <w:adjustRightInd w:val="0"/>
              <w:spacing w:before="9" w:line="360" w:lineRule="auto"/>
              <w:ind w:left="10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Supplementary</w:t>
            </w:r>
            <w:r w:rsidRPr="001B48A5">
              <w:rPr>
                <w:rFonts w:ascii="Times New Roman" w:hAnsi="Times New Roman" w:cs="Times New Roman"/>
                <w:color w:val="000000" w:themeColor="text1"/>
                <w:spacing w:val="31"/>
                <w:sz w:val="24"/>
                <w:szCs w:val="24"/>
              </w:rPr>
              <w:t xml:space="preserve"> </w:t>
            </w:r>
            <w:r w:rsidRPr="001B4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Figure</w:t>
            </w:r>
            <w:r w:rsidRPr="001B48A5">
              <w:rPr>
                <w:rFonts w:ascii="Times New Roman" w:hAnsi="Times New Roman" w:cs="Times New Roman"/>
                <w:color w:val="000000" w:themeColor="text1"/>
                <w:spacing w:val="28"/>
                <w:sz w:val="24"/>
                <w:szCs w:val="24"/>
              </w:rPr>
              <w:t xml:space="preserve"> </w:t>
            </w:r>
            <w:r w:rsidR="00EF3FB3" w:rsidRPr="001B4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DCA" w:rsidRPr="001B48A5" w:rsidRDefault="0052627B" w:rsidP="00DA34F0">
            <w:pPr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Effect of DT2216 on MJ, MAC2A</w:t>
            </w:r>
            <w:r w:rsidR="00674AAD" w:rsidRPr="001B4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B4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 L82 TCL cells</w:t>
            </w:r>
          </w:p>
        </w:tc>
      </w:tr>
      <w:tr w:rsidR="001B48A5" w:rsidRPr="001B48A5" w:rsidTr="00BF1985">
        <w:trPr>
          <w:trHeight w:val="552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DCA" w:rsidRPr="001B48A5" w:rsidRDefault="00A50DCA" w:rsidP="00DA34F0">
            <w:pPr>
              <w:kinsoku w:val="0"/>
              <w:overflowPunct w:val="0"/>
              <w:autoSpaceDE w:val="0"/>
              <w:autoSpaceDN w:val="0"/>
              <w:adjustRightInd w:val="0"/>
              <w:spacing w:before="9" w:line="360" w:lineRule="auto"/>
              <w:ind w:left="10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Supplementary Figure </w:t>
            </w:r>
            <w:r w:rsidR="00EF3FB3" w:rsidRPr="001B4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DCA" w:rsidRPr="001B48A5" w:rsidRDefault="007A2C79" w:rsidP="00DA34F0">
            <w:pPr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Effect of DT2216 and/or ABT199 on TCL PDX cell blood engraftment and body weight in TCL PDX mice</w:t>
            </w:r>
          </w:p>
        </w:tc>
      </w:tr>
      <w:tr w:rsidR="001B48A5" w:rsidRPr="001B48A5" w:rsidTr="00BF1985">
        <w:trPr>
          <w:trHeight w:val="552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DCA" w:rsidRPr="001B48A5" w:rsidRDefault="00A50DCA" w:rsidP="00DA34F0">
            <w:pPr>
              <w:kinsoku w:val="0"/>
              <w:overflowPunct w:val="0"/>
              <w:autoSpaceDE w:val="0"/>
              <w:autoSpaceDN w:val="0"/>
              <w:adjustRightInd w:val="0"/>
              <w:spacing w:before="9" w:line="360" w:lineRule="auto"/>
              <w:ind w:left="10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Supplementary Figure </w:t>
            </w:r>
            <w:r w:rsidR="00EF3FB3" w:rsidRPr="001B4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DCA" w:rsidRPr="001B48A5" w:rsidRDefault="007A2C79" w:rsidP="00DA34F0">
            <w:pPr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 combination therapy of DT2216 and ABT199 is more effective than either agent alone or ABT263 against TCL PDX in mice</w:t>
            </w:r>
          </w:p>
        </w:tc>
      </w:tr>
      <w:tr w:rsidR="00191B98" w:rsidRPr="001B48A5" w:rsidTr="00BF1985">
        <w:trPr>
          <w:trHeight w:val="552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B98" w:rsidRPr="001B48A5" w:rsidRDefault="00191B98" w:rsidP="00DA34F0">
            <w:pPr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Supplementary Table </w:t>
            </w:r>
            <w:r w:rsidRPr="001B48A5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B98" w:rsidRPr="001B48A5" w:rsidRDefault="00191B98" w:rsidP="00DA34F0">
            <w:pPr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Effects of chemotherapy drugs, Bcl-2 family protein inhibitors and DT2216 on DFTL-28776 TCL PDX cells in vitro </w:t>
            </w:r>
          </w:p>
        </w:tc>
      </w:tr>
    </w:tbl>
    <w:p w:rsidR="00A50DCA" w:rsidRPr="001B48A5" w:rsidRDefault="00A50DCA" w:rsidP="00A50DCA">
      <w:pPr>
        <w:spacing w:line="48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50DCA" w:rsidRPr="001B48A5" w:rsidRDefault="00A50DCA">
      <w:pPr>
        <w:widowControl/>
        <w:spacing w:after="160" w:line="259" w:lineRule="auto"/>
        <w:jc w:val="left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1B48A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br w:type="page"/>
      </w:r>
    </w:p>
    <w:p w:rsidR="00F6490D" w:rsidRPr="001B48A5" w:rsidRDefault="00AB4BD9" w:rsidP="007D4575">
      <w:pPr>
        <w:widowControl/>
        <w:spacing w:after="160" w:line="259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B48A5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8B36416" wp14:editId="55136A8B">
            <wp:extent cx="5943600" cy="3810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24C" w:rsidRPr="001B48A5" w:rsidRDefault="00FF2025" w:rsidP="00DA34F0">
      <w:pPr>
        <w:kinsoku w:val="0"/>
        <w:overflowPunct w:val="0"/>
        <w:autoSpaceDE w:val="0"/>
        <w:autoSpaceDN w:val="0"/>
        <w:adjustRightInd w:val="0"/>
        <w:spacing w:line="480" w:lineRule="auto"/>
        <w:ind w:right="33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8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</w:t>
      </w:r>
      <w:r w:rsidRPr="001B48A5">
        <w:rPr>
          <w:rFonts w:ascii="Times New Roman" w:hAnsi="Times New Roman" w:cs="Times New Roman"/>
          <w:b/>
          <w:color w:val="000000" w:themeColor="text1"/>
          <w:spacing w:val="31"/>
          <w:sz w:val="24"/>
          <w:szCs w:val="24"/>
        </w:rPr>
        <w:t xml:space="preserve"> </w:t>
      </w:r>
      <w:r w:rsidRPr="001B48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</w:t>
      </w:r>
      <w:r w:rsidRPr="001B48A5">
        <w:rPr>
          <w:rFonts w:ascii="Times New Roman" w:hAnsi="Times New Roman" w:cs="Times New Roman"/>
          <w:b/>
          <w:color w:val="000000" w:themeColor="text1"/>
          <w:spacing w:val="28"/>
          <w:sz w:val="24"/>
          <w:szCs w:val="24"/>
        </w:rPr>
        <w:t xml:space="preserve"> </w:t>
      </w:r>
      <w:r w:rsidR="0049653D" w:rsidRPr="001B48A5">
        <w:rPr>
          <w:rFonts w:ascii="Times New Roman" w:hAnsi="Times New Roman" w:cs="Times New Roman"/>
          <w:b/>
          <w:color w:val="000000" w:themeColor="text1"/>
          <w:spacing w:val="28"/>
          <w:sz w:val="24"/>
          <w:szCs w:val="24"/>
        </w:rPr>
        <w:t>S</w:t>
      </w:r>
      <w:r w:rsidR="002D5912" w:rsidRPr="001B48A5">
        <w:rPr>
          <w:rFonts w:ascii="Times New Roman" w:hAnsi="Times New Roman" w:cs="Times New Roman"/>
          <w:b/>
          <w:color w:val="000000" w:themeColor="text1"/>
          <w:spacing w:val="28"/>
          <w:sz w:val="24"/>
          <w:szCs w:val="24"/>
        </w:rPr>
        <w:t>1</w:t>
      </w:r>
      <w:r w:rsidRPr="001B48A5">
        <w:rPr>
          <w:rFonts w:ascii="Times New Roman" w:hAnsi="Times New Roman" w:cs="Times New Roman"/>
          <w:b/>
          <w:color w:val="000000" w:themeColor="text1"/>
          <w:spacing w:val="28"/>
          <w:sz w:val="24"/>
          <w:szCs w:val="24"/>
        </w:rPr>
        <w:t>.</w:t>
      </w:r>
      <w:r w:rsidRPr="001B48A5">
        <w:rPr>
          <w:rFonts w:ascii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="00AB4BD9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(A) A represent immunoblot analysis of </w:t>
      </w:r>
      <w:proofErr w:type="spellStart"/>
      <w:r w:rsidR="00AB4BD9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Bcl-xL</w:t>
      </w:r>
      <w:proofErr w:type="spellEnd"/>
      <w:r w:rsidR="00AB4BD9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Bcl-2, Mcl-1 and VHL expression in </w:t>
      </w:r>
      <w:proofErr w:type="spellStart"/>
      <w:r w:rsidR="00AB4BD9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MyLa</w:t>
      </w:r>
      <w:proofErr w:type="spellEnd"/>
      <w:r w:rsidR="00AB4BD9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MJ cells, and PLTs. (B) A represent immunoblot analysis of </w:t>
      </w:r>
      <w:proofErr w:type="spellStart"/>
      <w:r w:rsidR="00AB4BD9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Bcl-xL</w:t>
      </w:r>
      <w:proofErr w:type="spellEnd"/>
      <w:r w:rsidR="00AB4BD9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expression in </w:t>
      </w:r>
      <w:proofErr w:type="spellStart"/>
      <w:r w:rsidR="00AB4BD9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MyLa</w:t>
      </w:r>
      <w:proofErr w:type="spellEnd"/>
      <w:r w:rsidR="00AB4BD9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MJ cells, and PLTs after they were incubated with increasing concentrations of DT2216 for 16 h. (C-E) Effect of DT2216 on </w:t>
      </w:r>
      <w:r w:rsidR="00AB4BD9" w:rsidRPr="001B48A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BCL2L1</w:t>
      </w:r>
      <w:r w:rsidR="00AB4BD9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B4BD9" w:rsidRPr="001B48A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BCL2</w:t>
      </w:r>
      <w:r w:rsidR="00AB4BD9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</w:t>
      </w:r>
      <w:r w:rsidR="00AB4BD9" w:rsidRPr="001B48A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MCL1</w:t>
      </w:r>
      <w:r w:rsidR="00AB4BD9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mRNA expressions in TCL cells. </w:t>
      </w:r>
      <w:r w:rsidR="00E15380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levels of </w:t>
      </w:r>
      <w:r w:rsidRPr="001B48A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BCL2L1</w:t>
      </w:r>
      <w:r w:rsidR="005316F7" w:rsidRPr="001B48A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5316F7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AB4BD9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5316F7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B48A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BCL2</w:t>
      </w:r>
      <w:r w:rsidR="005316F7" w:rsidRPr="001B48A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5316F7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AB4BD9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E15380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Pr="001B48A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MCL1</w:t>
      </w:r>
      <w:r w:rsidR="005316F7" w:rsidRPr="001B48A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5316F7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AB4BD9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="005316F7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68B2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mRNA </w:t>
      </w:r>
      <w:r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proofErr w:type="spellStart"/>
      <w:r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MyLa</w:t>
      </w:r>
      <w:proofErr w:type="spellEnd"/>
      <w:r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cells </w:t>
      </w:r>
      <w:proofErr w:type="gramStart"/>
      <w:r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were measured</w:t>
      </w:r>
      <w:proofErr w:type="gramEnd"/>
      <w:r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qPCR after treatment with indicated concentrations of DT2216 for 16 h. The data are presented as mean ± S</w:t>
      </w:r>
      <w:r w:rsidR="00665327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1B79D3" w:rsidRPr="001B48A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n=</w:t>
      </w:r>
      <w:proofErr w:type="gramStart"/>
      <w:r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proofErr w:type="gramEnd"/>
      <w:r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replicates).  </w:t>
      </w:r>
      <w:r w:rsidR="00AB4BD9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(F) DT2216 induced apoptosis in </w:t>
      </w:r>
      <w:proofErr w:type="spellStart"/>
      <w:r w:rsidR="00AB4BD9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MyLa</w:t>
      </w:r>
      <w:proofErr w:type="spellEnd"/>
      <w:r w:rsidR="00AB4BD9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cells in a dose-dependent manner, which </w:t>
      </w:r>
      <w:proofErr w:type="gramStart"/>
      <w:r w:rsidR="00AB4BD9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was blocked</w:t>
      </w:r>
      <w:proofErr w:type="gramEnd"/>
      <w:r w:rsidR="00AB4BD9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pretreatment with 10 </w:t>
      </w:r>
      <w:proofErr w:type="spellStart"/>
      <w:r w:rsidR="00AB4BD9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μM</w:t>
      </w:r>
      <w:proofErr w:type="spellEnd"/>
      <w:r w:rsidR="00AB4BD9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QVD. </w:t>
      </w:r>
      <w:proofErr w:type="spellStart"/>
      <w:r w:rsidR="00AB4BD9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MyLa</w:t>
      </w:r>
      <w:proofErr w:type="spellEnd"/>
      <w:r w:rsidR="00AB4BD9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cells were pretreated with or without 10 </w:t>
      </w:r>
      <w:proofErr w:type="spellStart"/>
      <w:r w:rsidR="00AB4BD9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μM</w:t>
      </w:r>
      <w:proofErr w:type="spellEnd"/>
      <w:r w:rsidR="00AB4BD9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QVD for 4 h, and then treated with indicated concentrations of DT2216 for 24 h. Representative flow </w:t>
      </w:r>
      <w:proofErr w:type="spellStart"/>
      <w:r w:rsidR="00AB4BD9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cytometric</w:t>
      </w:r>
      <w:proofErr w:type="spellEnd"/>
      <w:r w:rsidR="00AB4BD9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analyses of apoptosis </w:t>
      </w:r>
      <w:proofErr w:type="gramStart"/>
      <w:r w:rsidR="00AB4BD9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are shown</w:t>
      </w:r>
      <w:proofErr w:type="gramEnd"/>
      <w:r w:rsidR="00AB4BD9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left panel. PI, </w:t>
      </w:r>
      <w:proofErr w:type="spellStart"/>
      <w:r w:rsidR="00AB4BD9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propidium</w:t>
      </w:r>
      <w:proofErr w:type="spellEnd"/>
      <w:r w:rsidR="00AB4BD9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iodide. The data presented in the right panel are mean ± SD (</w:t>
      </w:r>
      <w:r w:rsidR="00AB4BD9" w:rsidRPr="001B48A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n=</w:t>
      </w:r>
      <w:proofErr w:type="gramStart"/>
      <w:r w:rsidR="00AB4BD9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proofErr w:type="gramEnd"/>
      <w:r w:rsidR="00AB4BD9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" w:name="OLE_LINK7"/>
      <w:r w:rsidR="00AB4BD9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replicates</w:t>
      </w:r>
      <w:bookmarkEnd w:id="1"/>
      <w:r w:rsidR="00AB4BD9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="003C424C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F6490D" w:rsidRPr="001B48A5" w:rsidRDefault="00F6490D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F6490D" w:rsidRPr="001B48A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C424C" w:rsidRPr="001B48A5" w:rsidRDefault="0083554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8A5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8229600" cy="317563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 Fig. S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17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4C5" w:rsidRPr="001B48A5" w:rsidRDefault="000B7D77" w:rsidP="00DA34F0">
      <w:pPr>
        <w:kinsoku w:val="0"/>
        <w:overflowPunct w:val="0"/>
        <w:autoSpaceDE w:val="0"/>
        <w:autoSpaceDN w:val="0"/>
        <w:adjustRightInd w:val="0"/>
        <w:spacing w:line="480" w:lineRule="auto"/>
        <w:ind w:right="31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8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Figure S</w:t>
      </w:r>
      <w:r w:rsidR="002D5912" w:rsidRPr="001B48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1B48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Effect of DT2216 on MJ, MAC2A, and L82 TCL cells. </w:t>
      </w:r>
      <w:r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(A) DT2216 induced degradation of </w:t>
      </w:r>
      <w:proofErr w:type="spellStart"/>
      <w:r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Bcl-xL</w:t>
      </w:r>
      <w:proofErr w:type="spellEnd"/>
      <w:r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cleavage of caspase-3 and PARP in MJ cells in a dose-</w:t>
      </w:r>
      <w:r w:rsidR="00BB029F" w:rsidRPr="001B48A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time-dependent manner. Pretreatment of MJ cells with the proteasome inhibitor MG-132 or VHL ligand (VHL-L) blocked the degradation of </w:t>
      </w:r>
      <w:proofErr w:type="spellStart"/>
      <w:r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Bcl-xL</w:t>
      </w:r>
      <w:proofErr w:type="spellEnd"/>
      <w:r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DT2216 (right panel). (B) DT2216 induced degradation of </w:t>
      </w:r>
      <w:proofErr w:type="spellStart"/>
      <w:r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Bcl-xL</w:t>
      </w:r>
      <w:proofErr w:type="spellEnd"/>
      <w:r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cleavage of caspase-3 and PARP in MAC2A cells in a dose- and time-dependent manner. Pretreatment of MAC2A cells with MG-132 or VHL-L blocked the degradation of </w:t>
      </w:r>
      <w:proofErr w:type="spellStart"/>
      <w:r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Bcl-xL</w:t>
      </w:r>
      <w:proofErr w:type="spellEnd"/>
      <w:r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DT2216 (right panel). (C) DT2216 induced degradation of </w:t>
      </w:r>
      <w:proofErr w:type="spellStart"/>
      <w:r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Bcl-xL</w:t>
      </w:r>
      <w:proofErr w:type="spellEnd"/>
      <w:r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cleavage of caspase-3 a</w:t>
      </w:r>
      <w:r w:rsidR="00BB029F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nd PARP in L82 cells in a dose-</w:t>
      </w:r>
      <w:r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time-dependent manner. Pretreatment of L82 cells with MG-132 or VHL-L blocked the degradation of </w:t>
      </w:r>
      <w:proofErr w:type="spellStart"/>
      <w:r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Bcl-xL</w:t>
      </w:r>
      <w:proofErr w:type="spellEnd"/>
      <w:r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DT2216 (right panel). </w:t>
      </w:r>
      <w:r w:rsidR="00FC5172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</w:t>
      </w:r>
      <w:r w:rsidR="00BB029F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right panels of (A) to (C), cells </w:t>
      </w:r>
      <w:proofErr w:type="gramStart"/>
      <w:r w:rsidR="00BB029F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were pretreated with 1 </w:t>
      </w:r>
      <w:proofErr w:type="spellStart"/>
      <w:r w:rsidR="00BB029F" w:rsidRPr="001B48A5">
        <w:rPr>
          <w:rFonts w:ascii="Calibri" w:hAnsi="Calibri" w:cs="Calibri"/>
          <w:color w:val="000000" w:themeColor="text1"/>
          <w:sz w:val="24"/>
          <w:szCs w:val="24"/>
        </w:rPr>
        <w:t>μ</w:t>
      </w:r>
      <w:r w:rsidR="00BB029F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="00BB029F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MG-132 or 10 </w:t>
      </w:r>
      <w:proofErr w:type="spellStart"/>
      <w:r w:rsidR="00BB029F" w:rsidRPr="001B48A5">
        <w:rPr>
          <w:rFonts w:ascii="Calibri" w:hAnsi="Calibri" w:cs="Calibri"/>
          <w:color w:val="000000" w:themeColor="text1"/>
          <w:sz w:val="24"/>
          <w:szCs w:val="24"/>
        </w:rPr>
        <w:t>μ</w:t>
      </w:r>
      <w:r w:rsidR="00BB029F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="00BB029F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VHL-L for 2 h, and treated with DT2216 for 16 h</w:t>
      </w:r>
      <w:proofErr w:type="gramEnd"/>
      <w:r w:rsidR="00BB029F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A074C5" w:rsidRPr="001B48A5" w:rsidRDefault="00A074C5" w:rsidP="000B7D77">
      <w:pPr>
        <w:widowControl/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A074C5" w:rsidRPr="001B48A5" w:rsidSect="00A074C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3C424C" w:rsidRPr="001B48A5" w:rsidRDefault="009D0296">
      <w:pPr>
        <w:widowControl/>
        <w:spacing w:after="160" w:line="259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8A5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4337304" cy="2130552"/>
            <wp:effectExtent l="0" t="0" r="635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. S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7304" cy="2130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025" w:rsidRPr="001B48A5" w:rsidRDefault="00FF2025" w:rsidP="00DA34F0">
      <w:pPr>
        <w:spacing w:after="16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8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</w:t>
      </w:r>
      <w:r w:rsidRPr="001B48A5">
        <w:rPr>
          <w:rFonts w:ascii="Times New Roman" w:hAnsi="Times New Roman" w:cs="Times New Roman"/>
          <w:b/>
          <w:color w:val="000000" w:themeColor="text1"/>
          <w:spacing w:val="31"/>
          <w:sz w:val="24"/>
          <w:szCs w:val="24"/>
        </w:rPr>
        <w:t xml:space="preserve"> </w:t>
      </w:r>
      <w:r w:rsidRPr="001B48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</w:t>
      </w:r>
      <w:r w:rsidRPr="001B48A5">
        <w:rPr>
          <w:rFonts w:ascii="Times New Roman" w:hAnsi="Times New Roman" w:cs="Times New Roman"/>
          <w:b/>
          <w:color w:val="000000" w:themeColor="text1"/>
          <w:spacing w:val="28"/>
          <w:sz w:val="24"/>
          <w:szCs w:val="24"/>
        </w:rPr>
        <w:t xml:space="preserve"> </w:t>
      </w:r>
      <w:r w:rsidR="0049653D" w:rsidRPr="001B48A5">
        <w:rPr>
          <w:rFonts w:ascii="Times New Roman" w:hAnsi="Times New Roman" w:cs="Times New Roman"/>
          <w:b/>
          <w:color w:val="000000" w:themeColor="text1"/>
          <w:spacing w:val="28"/>
          <w:sz w:val="24"/>
          <w:szCs w:val="24"/>
        </w:rPr>
        <w:t>S</w:t>
      </w:r>
      <w:r w:rsidR="002D5912" w:rsidRPr="001B48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1B48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0569" w:rsidRPr="001B48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Effect of DT2216 and</w:t>
      </w:r>
      <w:r w:rsidR="00907645" w:rsidRPr="001B48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/or</w:t>
      </w:r>
      <w:r w:rsidR="00980569" w:rsidRPr="001B48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ABT199 on </w:t>
      </w:r>
      <w:r w:rsidR="00182FEB" w:rsidRPr="001B48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TCL PDX cell </w:t>
      </w:r>
      <w:r w:rsidR="00980569" w:rsidRPr="001B48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blood engraftment in TCL PDX mice</w:t>
      </w:r>
      <w:r w:rsidRPr="001B48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Representative flow </w:t>
      </w:r>
      <w:proofErr w:type="spellStart"/>
      <w:r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cytometric</w:t>
      </w:r>
      <w:proofErr w:type="spellEnd"/>
      <w:r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analyses of DFTL-28776 </w:t>
      </w:r>
      <w:r w:rsidR="00E379FE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PDX </w:t>
      </w:r>
      <w:r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cell engraftment in blood</w:t>
      </w:r>
      <w:r w:rsidR="00256050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</w:t>
      </w:r>
      <w:r w:rsidR="00907645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PDX</w:t>
      </w:r>
      <w:r w:rsidR="00907645" w:rsidRPr="001B48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56050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mice </w:t>
      </w:r>
      <w:r w:rsidR="00907645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before (day 0) and after (day 20) </w:t>
      </w:r>
      <w:r w:rsidR="0030781A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being </w:t>
      </w:r>
      <w:r w:rsidR="00256050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treated with DT2216 and/or ABT199</w:t>
      </w:r>
      <w:r w:rsidR="00907645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shown in Figure 5A</w:t>
      </w:r>
      <w:r w:rsidR="00256050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A074C5" w:rsidRPr="001B48A5" w:rsidRDefault="00A074C5">
      <w:pPr>
        <w:widowControl/>
        <w:spacing w:after="160" w:line="259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A074C5" w:rsidRPr="001B48A5" w:rsidSect="00DA34F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C424C" w:rsidRPr="001B48A5" w:rsidRDefault="0083554E" w:rsidP="000008D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8A5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943600" cy="285115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ry Fig. S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54E" w:rsidRPr="001B48A5" w:rsidRDefault="0083554E" w:rsidP="000008D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08D8" w:rsidRPr="001B48A5" w:rsidRDefault="000008D8" w:rsidP="000008D8">
      <w:pPr>
        <w:spacing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8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Figure </w:t>
      </w:r>
      <w:r w:rsidR="0049653D" w:rsidRPr="001B48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2D5912" w:rsidRPr="001B48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1B48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1B48A5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="005D2BB6" w:rsidRPr="001B48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Effect of ABT263, DT2216 and/or ABT199 on TCL PDX cell blood </w:t>
      </w:r>
      <w:proofErr w:type="gramStart"/>
      <w:r w:rsidR="005D2BB6" w:rsidRPr="001B48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engraftment,</w:t>
      </w:r>
      <w:proofErr w:type="gramEnd"/>
      <w:r w:rsidR="005D2BB6" w:rsidRPr="001B48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and on platelet and white blood cell (WBC) counts in TCL PDX mice. </w:t>
      </w:r>
      <w:r w:rsidR="005D2BB6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(A) </w:t>
      </w:r>
      <w:r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Representative flow </w:t>
      </w:r>
      <w:proofErr w:type="spellStart"/>
      <w:r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cytometric</w:t>
      </w:r>
      <w:proofErr w:type="spellEnd"/>
      <w:r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analyses of DFTL-28776 PDX cell engraftment in the spleen, bone marrow and blood</w:t>
      </w:r>
      <w:r w:rsidR="00423D44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A34F0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Blood p</w:t>
      </w:r>
      <w:r w:rsidR="005D2BB6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latelet</w:t>
      </w:r>
      <w:r w:rsidR="009D2874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(B) and WBC (C) counts </w:t>
      </w:r>
      <w:r w:rsidR="005D2BB6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in DFTL-28776 PDX xenograft mice on day 26 after treatment</w:t>
      </w:r>
      <w:r w:rsidR="005F14A8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in control mice (CTL) without DFTL-28776 PDX xenograft</w:t>
      </w:r>
      <w:r w:rsidR="005D2BB6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. The data presented are mean ± SEM (</w:t>
      </w:r>
      <w:r w:rsidR="005D2BB6" w:rsidRPr="001B48A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n=</w:t>
      </w:r>
      <w:proofErr w:type="gramStart"/>
      <w:r w:rsidR="005D2BB6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proofErr w:type="gramEnd"/>
      <w:r w:rsidR="005D2BB6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the control group and </w:t>
      </w:r>
      <w:r w:rsidR="005D2BB6" w:rsidRPr="001B48A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n=</w:t>
      </w:r>
      <w:r w:rsidR="005D2BB6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 mice for other groups). </w:t>
      </w:r>
      <w:proofErr w:type="gramStart"/>
      <w:r w:rsidR="005D2BB6" w:rsidRPr="001B48A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</w:t>
      </w:r>
      <w:proofErr w:type="gramEnd"/>
      <w:r w:rsidR="005D2BB6" w:rsidRPr="001B48A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b</w:t>
      </w:r>
      <w:r w:rsidR="005D2BB6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D2BB6" w:rsidRPr="001B48A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c, d </w:t>
      </w:r>
      <w:r w:rsidR="005D2BB6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 w:rsidR="005D2BB6" w:rsidRPr="001B48A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e</w:t>
      </w:r>
      <w:r w:rsidR="005D2BB6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D2BB6" w:rsidRPr="001B48A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="005D2BB6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 0.05 </w:t>
      </w:r>
      <w:r w:rsidR="005D2BB6" w:rsidRPr="001B48A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vs</w:t>
      </w:r>
      <w:r w:rsidR="005D2BB6" w:rsidRPr="001B4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CTL, VEH, ABT263, DT2216 and ABT199, respectively. </w:t>
      </w:r>
    </w:p>
    <w:p w:rsidR="000008D8" w:rsidRPr="001B48A5" w:rsidRDefault="000008D8" w:rsidP="000008D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08D8" w:rsidRPr="001B48A5" w:rsidRDefault="000008D8" w:rsidP="000008D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08D8" w:rsidRPr="001B48A5" w:rsidRDefault="000008D8" w:rsidP="000008D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08D8" w:rsidRPr="001B48A5" w:rsidRDefault="000008D8" w:rsidP="000008D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34F0" w:rsidRPr="001B48A5" w:rsidRDefault="00DA34F0" w:rsidP="00DA34F0">
      <w:pPr>
        <w:pStyle w:val="PlainText"/>
        <w:jc w:val="both"/>
        <w:rPr>
          <w:rFonts w:ascii="Arial" w:hAnsi="Arial" w:cs="Arial"/>
          <w:color w:val="000000" w:themeColor="text1"/>
          <w:szCs w:val="22"/>
          <w:lang w:eastAsia="zh-CN"/>
        </w:rPr>
      </w:pPr>
    </w:p>
    <w:p w:rsidR="000008D8" w:rsidRPr="001B48A5" w:rsidRDefault="000008D8" w:rsidP="000008D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08D8" w:rsidRPr="001B48A5" w:rsidRDefault="000008D8" w:rsidP="000008D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08D8" w:rsidRPr="001B48A5" w:rsidRDefault="000008D8" w:rsidP="000008D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08D8" w:rsidRPr="001B48A5" w:rsidRDefault="000008D8" w:rsidP="000008D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08D8" w:rsidRPr="001B48A5" w:rsidRDefault="000008D8" w:rsidP="000008D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08D8" w:rsidRPr="001B48A5" w:rsidRDefault="000008D8" w:rsidP="000008D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08D8" w:rsidRPr="001B48A5" w:rsidRDefault="000008D8" w:rsidP="000008D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08D8" w:rsidRPr="001B48A5" w:rsidRDefault="000008D8" w:rsidP="000008D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08D8" w:rsidRPr="001B48A5" w:rsidRDefault="000008D8" w:rsidP="000008D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08D8" w:rsidRPr="001B48A5" w:rsidRDefault="000008D8" w:rsidP="000008D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08D8" w:rsidRPr="001B48A5" w:rsidRDefault="000008D8" w:rsidP="000008D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08D8" w:rsidRPr="001B48A5" w:rsidRDefault="000008D8" w:rsidP="000008D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08D8" w:rsidRPr="001B48A5" w:rsidRDefault="000008D8" w:rsidP="000008D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09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58"/>
        <w:gridCol w:w="2408"/>
        <w:gridCol w:w="2735"/>
        <w:gridCol w:w="2289"/>
      </w:tblGrid>
      <w:tr w:rsidR="001B48A5" w:rsidRPr="001B48A5" w:rsidTr="00182FEB">
        <w:trPr>
          <w:trHeight w:val="300"/>
        </w:trPr>
        <w:tc>
          <w:tcPr>
            <w:tcW w:w="909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B210E6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lastRenderedPageBreak/>
              <w:t xml:space="preserve">Supplementary Table </w:t>
            </w:r>
            <w:r w:rsidR="00B210E6" w:rsidRPr="001B48A5">
              <w:rPr>
                <w:rFonts w:ascii="Times New Roman" w:hAnsi="Times New Roman" w:cs="Times New Roman" w:hint="eastAsia"/>
                <w:b/>
                <w:bCs/>
                <w:color w:val="000000" w:themeColor="text1"/>
                <w:kern w:val="24"/>
                <w:sz w:val="24"/>
                <w:szCs w:val="24"/>
              </w:rPr>
              <w:t>1</w:t>
            </w:r>
            <w:r w:rsidRPr="001B48A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. </w:t>
            </w:r>
            <w:r w:rsidR="007F138B" w:rsidRPr="001B48A5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2"/>
              </w:rPr>
              <w:t xml:space="preserve">Effects of chemotherapy drugs, Bcl-2 family protein inhibitors and DT2216 on DFTL-28776 PDX cells </w:t>
            </w:r>
            <w:r w:rsidR="007F138B" w:rsidRPr="001B48A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kern w:val="24"/>
                <w:sz w:val="22"/>
              </w:rPr>
              <w:t>in vitro</w:t>
            </w:r>
          </w:p>
        </w:tc>
      </w:tr>
      <w:tr w:rsidR="001B48A5" w:rsidRPr="001B48A5" w:rsidTr="00182FEB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57374" w:rsidRPr="001B48A5" w:rsidRDefault="007F138B" w:rsidP="00182FE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  <w:t>Compounds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EC</w:t>
            </w: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position w:val="-6"/>
                <w:sz w:val="22"/>
                <w:vertAlign w:val="subscript"/>
              </w:rPr>
              <w:t>25</w:t>
            </w: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 xml:space="preserve"> (µM)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EC</w:t>
            </w: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position w:val="-6"/>
                <w:sz w:val="22"/>
                <w:vertAlign w:val="subscript"/>
              </w:rPr>
              <w:t>50</w:t>
            </w: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 xml:space="preserve"> (µM)</w:t>
            </w:r>
          </w:p>
        </w:tc>
        <w:tc>
          <w:tcPr>
            <w:tcW w:w="22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EC</w:t>
            </w: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position w:val="-6"/>
                <w:sz w:val="22"/>
                <w:vertAlign w:val="subscript"/>
              </w:rPr>
              <w:t>75</w:t>
            </w: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 xml:space="preserve"> (µM)</w:t>
            </w:r>
          </w:p>
        </w:tc>
      </w:tr>
      <w:tr w:rsidR="001B48A5" w:rsidRPr="001B48A5" w:rsidTr="00182FEB">
        <w:trPr>
          <w:trHeight w:val="300"/>
        </w:trPr>
        <w:tc>
          <w:tcPr>
            <w:tcW w:w="16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Doxorubicin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0.054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0.330</w:t>
            </w:r>
          </w:p>
        </w:tc>
        <w:tc>
          <w:tcPr>
            <w:tcW w:w="22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3.861</w:t>
            </w:r>
          </w:p>
        </w:tc>
      </w:tr>
      <w:tr w:rsidR="001B48A5" w:rsidRPr="001B48A5" w:rsidTr="00182FEB">
        <w:trPr>
          <w:trHeight w:val="300"/>
        </w:trPr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Etoposide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0.546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&gt;10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22.702</w:t>
            </w:r>
          </w:p>
        </w:tc>
      </w:tr>
      <w:tr w:rsidR="001B48A5" w:rsidRPr="001B48A5" w:rsidTr="00182FEB">
        <w:trPr>
          <w:trHeight w:val="300"/>
        </w:trPr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Vincristine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0.031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0.230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3.727</w:t>
            </w:r>
          </w:p>
        </w:tc>
      </w:tr>
      <w:tr w:rsidR="001B48A5" w:rsidRPr="001B48A5" w:rsidTr="00182FEB">
        <w:trPr>
          <w:trHeight w:val="300"/>
        </w:trPr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A-1155463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0.003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0.600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23.236</w:t>
            </w:r>
          </w:p>
        </w:tc>
      </w:tr>
      <w:tr w:rsidR="001B48A5" w:rsidRPr="001B48A5" w:rsidTr="00182FEB">
        <w:trPr>
          <w:trHeight w:val="300"/>
        </w:trPr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ABT199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0.010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0.190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4.447</w:t>
            </w:r>
          </w:p>
        </w:tc>
      </w:tr>
      <w:tr w:rsidR="001B48A5" w:rsidRPr="001B48A5" w:rsidTr="00182FEB">
        <w:trPr>
          <w:trHeight w:val="300"/>
        </w:trPr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S63845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0.002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0.060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1.746</w:t>
            </w:r>
          </w:p>
        </w:tc>
      </w:tr>
      <w:tr w:rsidR="001B48A5" w:rsidRPr="001B48A5" w:rsidTr="00182FEB">
        <w:trPr>
          <w:trHeight w:val="300"/>
        </w:trPr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ABT263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0.023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0.060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0.342</w:t>
            </w:r>
          </w:p>
        </w:tc>
      </w:tr>
      <w:tr w:rsidR="001B48A5" w:rsidRPr="001B48A5" w:rsidTr="00182FEB">
        <w:trPr>
          <w:trHeight w:val="300"/>
        </w:trPr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DT2216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0.047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0.480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5.088</w:t>
            </w:r>
          </w:p>
        </w:tc>
      </w:tr>
      <w:tr w:rsidR="001B48A5" w:rsidRPr="001B48A5" w:rsidTr="00182FEB">
        <w:trPr>
          <w:trHeight w:val="300"/>
        </w:trPr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DT2216+ABT199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0.006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0.040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374" w:rsidRPr="001B48A5" w:rsidRDefault="00757374" w:rsidP="00182FE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1B48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</w:rPr>
              <w:t>1.199</w:t>
            </w:r>
          </w:p>
        </w:tc>
      </w:tr>
    </w:tbl>
    <w:p w:rsidR="007F138B" w:rsidRPr="001B48A5" w:rsidRDefault="007F138B" w:rsidP="007F138B">
      <w:pPr>
        <w:rPr>
          <w:rFonts w:ascii="Times New Roman" w:hAnsi="Times New Roman" w:cs="Times New Roman"/>
          <w:color w:val="000000" w:themeColor="text1"/>
          <w:lang w:val="it-IT"/>
        </w:rPr>
      </w:pPr>
      <w:r w:rsidRPr="001B48A5">
        <w:rPr>
          <w:rFonts w:ascii="Times New Roman" w:eastAsia="Times New Roman" w:hAnsi="Times New Roman" w:cs="Times New Roman"/>
          <w:color w:val="000000" w:themeColor="text1"/>
          <w:kern w:val="24"/>
          <w:sz w:val="22"/>
          <w:lang w:eastAsia="en-US"/>
        </w:rPr>
        <w:t>EC</w:t>
      </w:r>
      <w:r w:rsidRPr="001B48A5">
        <w:rPr>
          <w:rFonts w:ascii="Times New Roman" w:eastAsia="Times New Roman" w:hAnsi="Times New Roman" w:cs="Times New Roman"/>
          <w:color w:val="000000" w:themeColor="text1"/>
          <w:kern w:val="24"/>
          <w:sz w:val="22"/>
          <w:vertAlign w:val="subscript"/>
          <w:lang w:eastAsia="en-US"/>
        </w:rPr>
        <w:t>25</w:t>
      </w:r>
      <w:r w:rsidRPr="001B48A5">
        <w:rPr>
          <w:rFonts w:ascii="Times New Roman" w:eastAsia="Times New Roman" w:hAnsi="Times New Roman" w:cs="Times New Roman"/>
          <w:color w:val="000000" w:themeColor="text1"/>
          <w:kern w:val="24"/>
          <w:sz w:val="22"/>
          <w:lang w:eastAsia="en-US"/>
        </w:rPr>
        <w:t>, EC</w:t>
      </w:r>
      <w:r w:rsidRPr="001B48A5">
        <w:rPr>
          <w:rFonts w:ascii="Times New Roman" w:eastAsia="Times New Roman" w:hAnsi="Times New Roman" w:cs="Times New Roman"/>
          <w:color w:val="000000" w:themeColor="text1"/>
          <w:kern w:val="24"/>
          <w:sz w:val="22"/>
          <w:vertAlign w:val="subscript"/>
          <w:lang w:eastAsia="en-US"/>
        </w:rPr>
        <w:t>50</w:t>
      </w:r>
      <w:r w:rsidRPr="001B48A5">
        <w:rPr>
          <w:rFonts w:ascii="Times New Roman" w:eastAsia="Times New Roman" w:hAnsi="Times New Roman" w:cs="Times New Roman"/>
          <w:color w:val="000000" w:themeColor="text1"/>
          <w:kern w:val="24"/>
          <w:sz w:val="22"/>
          <w:lang w:eastAsia="en-US"/>
        </w:rPr>
        <w:t>, and EC</w:t>
      </w:r>
      <w:r w:rsidRPr="001B48A5">
        <w:rPr>
          <w:rFonts w:ascii="Times New Roman" w:eastAsia="Times New Roman" w:hAnsi="Times New Roman" w:cs="Times New Roman"/>
          <w:color w:val="000000" w:themeColor="text1"/>
          <w:kern w:val="24"/>
          <w:sz w:val="22"/>
          <w:vertAlign w:val="subscript"/>
          <w:lang w:eastAsia="en-US"/>
        </w:rPr>
        <w:t>75</w:t>
      </w:r>
      <w:r w:rsidR="00E114C9" w:rsidRPr="001B48A5">
        <w:rPr>
          <w:rFonts w:ascii="Times New Roman" w:eastAsia="Times New Roman" w:hAnsi="Times New Roman" w:cs="Times New Roman"/>
          <w:color w:val="000000" w:themeColor="text1"/>
          <w:kern w:val="24"/>
          <w:sz w:val="22"/>
          <w:lang w:eastAsia="en-US"/>
        </w:rPr>
        <w:t>:</w:t>
      </w:r>
      <w:r w:rsidRPr="001B48A5">
        <w:rPr>
          <w:rFonts w:ascii="Times New Roman" w:eastAsia="Times New Roman" w:hAnsi="Times New Roman" w:cs="Times New Roman"/>
          <w:color w:val="000000" w:themeColor="text1"/>
          <w:kern w:val="24"/>
          <w:sz w:val="22"/>
          <w:lang w:eastAsia="en-US"/>
        </w:rPr>
        <w:t xml:space="preserve"> the concentration that led to 25%, 50% and 75% maximal effectiveness, respectively.</w:t>
      </w:r>
    </w:p>
    <w:p w:rsidR="002B46FF" w:rsidRPr="001B48A5" w:rsidRDefault="002B46FF">
      <w:pPr>
        <w:rPr>
          <w:rFonts w:ascii="Times New Roman" w:hAnsi="Times New Roman" w:cs="Times New Roman"/>
          <w:color w:val="000000" w:themeColor="text1"/>
          <w:lang w:val="it-IT"/>
        </w:rPr>
      </w:pPr>
    </w:p>
    <w:sectPr w:rsidR="002B46FF" w:rsidRPr="001B48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DCA"/>
    <w:rsid w:val="000008D8"/>
    <w:rsid w:val="00001A24"/>
    <w:rsid w:val="00001FDD"/>
    <w:rsid w:val="00002E62"/>
    <w:rsid w:val="00010313"/>
    <w:rsid w:val="00011A2B"/>
    <w:rsid w:val="0001358C"/>
    <w:rsid w:val="00016656"/>
    <w:rsid w:val="000323FD"/>
    <w:rsid w:val="00044DA7"/>
    <w:rsid w:val="00060038"/>
    <w:rsid w:val="00061BB4"/>
    <w:rsid w:val="0006412A"/>
    <w:rsid w:val="00083ADC"/>
    <w:rsid w:val="000B624D"/>
    <w:rsid w:val="000B7D77"/>
    <w:rsid w:val="000C0DCE"/>
    <w:rsid w:val="000C6F1E"/>
    <w:rsid w:val="000E6312"/>
    <w:rsid w:val="00103523"/>
    <w:rsid w:val="0010597F"/>
    <w:rsid w:val="00110823"/>
    <w:rsid w:val="00115ED9"/>
    <w:rsid w:val="00132753"/>
    <w:rsid w:val="00135FEB"/>
    <w:rsid w:val="00141312"/>
    <w:rsid w:val="00145DCB"/>
    <w:rsid w:val="00156FAD"/>
    <w:rsid w:val="001618B4"/>
    <w:rsid w:val="0016583D"/>
    <w:rsid w:val="00170613"/>
    <w:rsid w:val="001802B7"/>
    <w:rsid w:val="00182FEB"/>
    <w:rsid w:val="00186F5D"/>
    <w:rsid w:val="00191B98"/>
    <w:rsid w:val="001A1E25"/>
    <w:rsid w:val="001A6E12"/>
    <w:rsid w:val="001B48A5"/>
    <w:rsid w:val="001B79D3"/>
    <w:rsid w:val="001C7688"/>
    <w:rsid w:val="001F6F91"/>
    <w:rsid w:val="002153C9"/>
    <w:rsid w:val="00225B06"/>
    <w:rsid w:val="00227FF9"/>
    <w:rsid w:val="00236053"/>
    <w:rsid w:val="002409E9"/>
    <w:rsid w:val="00253FAA"/>
    <w:rsid w:val="00255398"/>
    <w:rsid w:val="00256050"/>
    <w:rsid w:val="002566CD"/>
    <w:rsid w:val="0026029F"/>
    <w:rsid w:val="002602FE"/>
    <w:rsid w:val="002713C7"/>
    <w:rsid w:val="0027168C"/>
    <w:rsid w:val="002750DE"/>
    <w:rsid w:val="00277E46"/>
    <w:rsid w:val="0028155E"/>
    <w:rsid w:val="00282953"/>
    <w:rsid w:val="002A1596"/>
    <w:rsid w:val="002A2B1A"/>
    <w:rsid w:val="002A4147"/>
    <w:rsid w:val="002A7FF5"/>
    <w:rsid w:val="002B30E9"/>
    <w:rsid w:val="002B361B"/>
    <w:rsid w:val="002B46FF"/>
    <w:rsid w:val="002B5C7A"/>
    <w:rsid w:val="002D5912"/>
    <w:rsid w:val="002E303E"/>
    <w:rsid w:val="002E6145"/>
    <w:rsid w:val="002F3A4E"/>
    <w:rsid w:val="002F50D5"/>
    <w:rsid w:val="00302EF0"/>
    <w:rsid w:val="0030781A"/>
    <w:rsid w:val="003615FC"/>
    <w:rsid w:val="003901FD"/>
    <w:rsid w:val="00391243"/>
    <w:rsid w:val="003965A6"/>
    <w:rsid w:val="003B7A5F"/>
    <w:rsid w:val="003C424C"/>
    <w:rsid w:val="003F2F8C"/>
    <w:rsid w:val="003F7DC7"/>
    <w:rsid w:val="00401266"/>
    <w:rsid w:val="00403EFF"/>
    <w:rsid w:val="00406BA7"/>
    <w:rsid w:val="00421051"/>
    <w:rsid w:val="00421747"/>
    <w:rsid w:val="00423D44"/>
    <w:rsid w:val="0044075F"/>
    <w:rsid w:val="004438CC"/>
    <w:rsid w:val="0045029D"/>
    <w:rsid w:val="004743B2"/>
    <w:rsid w:val="00477F2A"/>
    <w:rsid w:val="00480CFE"/>
    <w:rsid w:val="00481BF4"/>
    <w:rsid w:val="00493981"/>
    <w:rsid w:val="00494263"/>
    <w:rsid w:val="004945F6"/>
    <w:rsid w:val="0049653D"/>
    <w:rsid w:val="004C1685"/>
    <w:rsid w:val="004D09E5"/>
    <w:rsid w:val="004D458E"/>
    <w:rsid w:val="004E185A"/>
    <w:rsid w:val="004F1B39"/>
    <w:rsid w:val="00504C67"/>
    <w:rsid w:val="00507E0A"/>
    <w:rsid w:val="00512087"/>
    <w:rsid w:val="0052627B"/>
    <w:rsid w:val="005316F7"/>
    <w:rsid w:val="005372C3"/>
    <w:rsid w:val="00537808"/>
    <w:rsid w:val="00554F06"/>
    <w:rsid w:val="0056293C"/>
    <w:rsid w:val="00567BB4"/>
    <w:rsid w:val="005A533A"/>
    <w:rsid w:val="005B67DA"/>
    <w:rsid w:val="005C0D3E"/>
    <w:rsid w:val="005D2BB6"/>
    <w:rsid w:val="005E240C"/>
    <w:rsid w:val="005F14A8"/>
    <w:rsid w:val="005F6078"/>
    <w:rsid w:val="005F6F18"/>
    <w:rsid w:val="006046A5"/>
    <w:rsid w:val="006068B2"/>
    <w:rsid w:val="0061537C"/>
    <w:rsid w:val="00615FA4"/>
    <w:rsid w:val="00631930"/>
    <w:rsid w:val="00636979"/>
    <w:rsid w:val="00641A5B"/>
    <w:rsid w:val="00652B6D"/>
    <w:rsid w:val="00665327"/>
    <w:rsid w:val="00674AAD"/>
    <w:rsid w:val="00683752"/>
    <w:rsid w:val="006A62E3"/>
    <w:rsid w:val="006B5151"/>
    <w:rsid w:val="006C662D"/>
    <w:rsid w:val="006D646C"/>
    <w:rsid w:val="006E10E4"/>
    <w:rsid w:val="006F3142"/>
    <w:rsid w:val="006F382B"/>
    <w:rsid w:val="0070624B"/>
    <w:rsid w:val="00707828"/>
    <w:rsid w:val="00710461"/>
    <w:rsid w:val="00727DC9"/>
    <w:rsid w:val="00752CDE"/>
    <w:rsid w:val="00757374"/>
    <w:rsid w:val="007647C3"/>
    <w:rsid w:val="007A2C79"/>
    <w:rsid w:val="007A516F"/>
    <w:rsid w:val="007B38F3"/>
    <w:rsid w:val="007C5F3E"/>
    <w:rsid w:val="007D4575"/>
    <w:rsid w:val="007D4DFD"/>
    <w:rsid w:val="007D6BF3"/>
    <w:rsid w:val="007E176C"/>
    <w:rsid w:val="007F138B"/>
    <w:rsid w:val="007F2943"/>
    <w:rsid w:val="008058D6"/>
    <w:rsid w:val="008075AD"/>
    <w:rsid w:val="0081458F"/>
    <w:rsid w:val="0083554E"/>
    <w:rsid w:val="00842402"/>
    <w:rsid w:val="00883F12"/>
    <w:rsid w:val="00884AE4"/>
    <w:rsid w:val="008906BD"/>
    <w:rsid w:val="00897157"/>
    <w:rsid w:val="00897E9B"/>
    <w:rsid w:val="008A2251"/>
    <w:rsid w:val="008B28B7"/>
    <w:rsid w:val="008B61FB"/>
    <w:rsid w:val="008C334E"/>
    <w:rsid w:val="008E3196"/>
    <w:rsid w:val="00907645"/>
    <w:rsid w:val="00916E82"/>
    <w:rsid w:val="0093482E"/>
    <w:rsid w:val="00935931"/>
    <w:rsid w:val="00936F14"/>
    <w:rsid w:val="00940B50"/>
    <w:rsid w:val="00941006"/>
    <w:rsid w:val="009547B3"/>
    <w:rsid w:val="009601D9"/>
    <w:rsid w:val="0096480A"/>
    <w:rsid w:val="00980569"/>
    <w:rsid w:val="00981A57"/>
    <w:rsid w:val="009B1875"/>
    <w:rsid w:val="009C111E"/>
    <w:rsid w:val="009D0296"/>
    <w:rsid w:val="009D2874"/>
    <w:rsid w:val="009D5198"/>
    <w:rsid w:val="009D5C58"/>
    <w:rsid w:val="009F0DA4"/>
    <w:rsid w:val="009F14A2"/>
    <w:rsid w:val="00A074C5"/>
    <w:rsid w:val="00A12714"/>
    <w:rsid w:val="00A22782"/>
    <w:rsid w:val="00A35A73"/>
    <w:rsid w:val="00A41F57"/>
    <w:rsid w:val="00A47057"/>
    <w:rsid w:val="00A50DCA"/>
    <w:rsid w:val="00A567A8"/>
    <w:rsid w:val="00A74708"/>
    <w:rsid w:val="00A812D6"/>
    <w:rsid w:val="00A82A8A"/>
    <w:rsid w:val="00A95160"/>
    <w:rsid w:val="00AA22A2"/>
    <w:rsid w:val="00AA5EE2"/>
    <w:rsid w:val="00AB4BD9"/>
    <w:rsid w:val="00AB777B"/>
    <w:rsid w:val="00AD7DF3"/>
    <w:rsid w:val="00AE3FF1"/>
    <w:rsid w:val="00B17B12"/>
    <w:rsid w:val="00B210E6"/>
    <w:rsid w:val="00B219DB"/>
    <w:rsid w:val="00B414CA"/>
    <w:rsid w:val="00B42119"/>
    <w:rsid w:val="00B47D77"/>
    <w:rsid w:val="00B75AA3"/>
    <w:rsid w:val="00BB029F"/>
    <w:rsid w:val="00BB30AB"/>
    <w:rsid w:val="00BB3654"/>
    <w:rsid w:val="00BB725F"/>
    <w:rsid w:val="00BC629F"/>
    <w:rsid w:val="00BE0511"/>
    <w:rsid w:val="00BF1557"/>
    <w:rsid w:val="00BF1985"/>
    <w:rsid w:val="00C037BC"/>
    <w:rsid w:val="00C10990"/>
    <w:rsid w:val="00C27D15"/>
    <w:rsid w:val="00C67184"/>
    <w:rsid w:val="00CB03B3"/>
    <w:rsid w:val="00CB3ECD"/>
    <w:rsid w:val="00CB5130"/>
    <w:rsid w:val="00CC16B8"/>
    <w:rsid w:val="00CC1EC2"/>
    <w:rsid w:val="00CC4A50"/>
    <w:rsid w:val="00CD5D1D"/>
    <w:rsid w:val="00CE28E4"/>
    <w:rsid w:val="00CF58AC"/>
    <w:rsid w:val="00D02387"/>
    <w:rsid w:val="00D26F01"/>
    <w:rsid w:val="00D3428D"/>
    <w:rsid w:val="00D5426A"/>
    <w:rsid w:val="00D7015D"/>
    <w:rsid w:val="00D71492"/>
    <w:rsid w:val="00DA34F0"/>
    <w:rsid w:val="00DB62A0"/>
    <w:rsid w:val="00DB64BA"/>
    <w:rsid w:val="00DB6E3B"/>
    <w:rsid w:val="00DD13DE"/>
    <w:rsid w:val="00E114C9"/>
    <w:rsid w:val="00E15380"/>
    <w:rsid w:val="00E15FAE"/>
    <w:rsid w:val="00E16B29"/>
    <w:rsid w:val="00E24E0B"/>
    <w:rsid w:val="00E379FE"/>
    <w:rsid w:val="00E37AF5"/>
    <w:rsid w:val="00E778E8"/>
    <w:rsid w:val="00E85DCC"/>
    <w:rsid w:val="00E937ED"/>
    <w:rsid w:val="00EA4D18"/>
    <w:rsid w:val="00EA5BEB"/>
    <w:rsid w:val="00EB122A"/>
    <w:rsid w:val="00EB20C3"/>
    <w:rsid w:val="00EB6A06"/>
    <w:rsid w:val="00ED3DC6"/>
    <w:rsid w:val="00EF3FB3"/>
    <w:rsid w:val="00F0064E"/>
    <w:rsid w:val="00F1662A"/>
    <w:rsid w:val="00F24849"/>
    <w:rsid w:val="00F37F44"/>
    <w:rsid w:val="00F4395D"/>
    <w:rsid w:val="00F57CD6"/>
    <w:rsid w:val="00F60365"/>
    <w:rsid w:val="00F6490D"/>
    <w:rsid w:val="00F81FAF"/>
    <w:rsid w:val="00FC5172"/>
    <w:rsid w:val="00FD07D5"/>
    <w:rsid w:val="00FF2025"/>
    <w:rsid w:val="00FF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30"/>
  <w15:docId w15:val="{CF8D443D-0FB3-4251-AD4A-F9E599333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0DCA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421051"/>
    <w:pPr>
      <w:widowControl/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42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6FA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10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style-span">
    <w:name w:val="apple-style-span"/>
    <w:rsid w:val="006F382B"/>
    <w:rPr>
      <w:rFonts w:cs="Times New Roman"/>
    </w:rPr>
  </w:style>
  <w:style w:type="character" w:customStyle="1" w:styleId="number">
    <w:name w:val="number"/>
    <w:basedOn w:val="DefaultParagraphFont"/>
    <w:rsid w:val="006F382B"/>
  </w:style>
  <w:style w:type="character" w:styleId="Strong">
    <w:name w:val="Strong"/>
    <w:basedOn w:val="DefaultParagraphFont"/>
    <w:uiPriority w:val="22"/>
    <w:qFormat/>
    <w:rsid w:val="00E85DC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E10E4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2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29D"/>
    <w:rPr>
      <w:rFonts w:ascii="Segoe UI" w:eastAsiaTheme="minorEastAsia" w:hAnsi="Segoe UI" w:cs="Segoe UI"/>
      <w:kern w:val="2"/>
      <w:sz w:val="18"/>
      <w:szCs w:val="18"/>
      <w:lang w:eastAsia="zh-CN"/>
    </w:rPr>
  </w:style>
  <w:style w:type="paragraph" w:styleId="Bibliography">
    <w:name w:val="Bibliography"/>
    <w:basedOn w:val="Normal"/>
    <w:next w:val="Normal"/>
    <w:uiPriority w:val="37"/>
    <w:unhideWhenUsed/>
    <w:rsid w:val="00236053"/>
    <w:pPr>
      <w:spacing w:after="240"/>
    </w:pPr>
  </w:style>
  <w:style w:type="character" w:styleId="Hyperlink">
    <w:name w:val="Hyperlink"/>
    <w:basedOn w:val="DefaultParagraphFont"/>
    <w:uiPriority w:val="99"/>
    <w:unhideWhenUsed/>
    <w:rsid w:val="00554F06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426A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6FAD"/>
    <w:rPr>
      <w:rFonts w:asciiTheme="majorHAnsi" w:eastAsiaTheme="majorEastAsia" w:hAnsiTheme="majorHAnsi" w:cstheme="majorBidi"/>
      <w:color w:val="1F4D78" w:themeColor="accent1" w:themeShade="7F"/>
      <w:kern w:val="2"/>
      <w:sz w:val="24"/>
      <w:szCs w:val="24"/>
      <w:lang w:eastAsia="zh-CN"/>
    </w:rPr>
  </w:style>
  <w:style w:type="paragraph" w:styleId="PlainText">
    <w:name w:val="Plain Text"/>
    <w:basedOn w:val="Normal"/>
    <w:link w:val="PlainTextChar"/>
    <w:uiPriority w:val="99"/>
    <w:unhideWhenUsed/>
    <w:rsid w:val="00DA34F0"/>
    <w:pPr>
      <w:widowControl/>
      <w:jc w:val="left"/>
    </w:pPr>
    <w:rPr>
      <w:rFonts w:ascii="Calibri" w:hAnsi="Calibri"/>
      <w:kern w:val="0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A34F0"/>
    <w:rPr>
      <w:rFonts w:ascii="Calibri" w:eastAsiaTheme="minorEastAsia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F606F-F44A-438D-A244-B6A77D54F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Florida Academic Health Center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Zhou,Daohong</dc:creator>
  <cp:keywords/>
  <dc:description/>
  <cp:lastModifiedBy>He,Yonghan</cp:lastModifiedBy>
  <cp:revision>3</cp:revision>
  <dcterms:created xsi:type="dcterms:W3CDTF">2020-06-17T18:22:00Z</dcterms:created>
  <dcterms:modified xsi:type="dcterms:W3CDTF">2020-07-12T01:42:00Z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zotero-version="5.0.85"&gt;&lt;session id="5DbUCAmz"/&gt;&lt;style id="http://www.zotero.org/styles/journal-of-hematology-and-oncology" hasBibliography="1" bibliographyStyleHasBeenSet="1"/&gt;&lt;prefs&gt;&lt;pref name="fieldType" value="Field"/&gt;&lt;/prefs&gt;&lt;/</vt:lpwstr>
  </property>
  <property fmtid="{D5CDD505-2E9C-101B-9397-08002B2CF9AE}" pid="3" name="ZOTERO_PREF_2">
    <vt:lpwstr>data&gt;</vt:lpwstr>
  </property>
</Properties>
</file>