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025B5F" w14:textId="1E72CB20" w:rsidR="0072761D" w:rsidRPr="00F577AB" w:rsidRDefault="0072761D" w:rsidP="0072761D">
      <w:pPr>
        <w:jc w:val="both"/>
        <w:rPr>
          <w:rFonts w:eastAsia="Times New Roman" w:cs="Times New Roman"/>
          <w:b/>
          <w:lang w:val="en-US" w:eastAsia="fr-FR"/>
        </w:rPr>
      </w:pPr>
      <w:r>
        <w:rPr>
          <w:rFonts w:eastAsia="Times New Roman" w:cs="Times New Roman"/>
          <w:b/>
          <w:lang w:val="en-US" w:eastAsia="fr-FR"/>
        </w:rPr>
        <w:t xml:space="preserve">SUPPLEMENTAL </w:t>
      </w:r>
      <w:r w:rsidRPr="00F577AB">
        <w:rPr>
          <w:rFonts w:eastAsia="Times New Roman" w:cs="Times New Roman"/>
          <w:b/>
          <w:lang w:val="en-US" w:eastAsia="fr-FR"/>
        </w:rPr>
        <w:t>MATERIALS AND METHODS</w:t>
      </w:r>
      <w:r>
        <w:rPr>
          <w:rFonts w:eastAsia="Times New Roman" w:cs="Times New Roman"/>
          <w:b/>
          <w:lang w:val="en-US" w:eastAsia="fr-FR"/>
        </w:rPr>
        <w:t xml:space="preserve"> </w:t>
      </w:r>
    </w:p>
    <w:p w14:paraId="0EFACCE0" w14:textId="77777777" w:rsidR="0072761D" w:rsidRPr="00F577AB" w:rsidRDefault="0072761D" w:rsidP="0072761D">
      <w:pPr>
        <w:pStyle w:val="Titre1"/>
        <w:spacing w:before="2" w:after="2"/>
        <w:jc w:val="both"/>
        <w:rPr>
          <w:rFonts w:asciiTheme="minorHAnsi" w:hAnsiTheme="minorHAnsi"/>
          <w:b w:val="0"/>
          <w:sz w:val="24"/>
          <w:szCs w:val="24"/>
          <w:lang w:val="en-US"/>
        </w:rPr>
      </w:pPr>
    </w:p>
    <w:p w14:paraId="469277A1" w14:textId="77777777" w:rsidR="0072761D" w:rsidRPr="00F577AB" w:rsidRDefault="0072761D" w:rsidP="0072761D">
      <w:pPr>
        <w:widowControl w:val="0"/>
        <w:autoSpaceDE w:val="0"/>
        <w:autoSpaceDN w:val="0"/>
        <w:adjustRightInd w:val="0"/>
        <w:spacing w:after="240"/>
        <w:jc w:val="both"/>
        <w:rPr>
          <w:rFonts w:cs="Times"/>
          <w:lang w:val="en-US"/>
        </w:rPr>
      </w:pPr>
      <w:r w:rsidRPr="00F577AB">
        <w:rPr>
          <w:rFonts w:cs="Arial"/>
          <w:b/>
          <w:bCs/>
          <w:lang w:val="en-US"/>
        </w:rPr>
        <w:t>Generation of stable cell lines and plasmids</w:t>
      </w:r>
    </w:p>
    <w:p w14:paraId="7C04358C" w14:textId="0F654BEE" w:rsidR="0072761D" w:rsidRPr="00030B3C" w:rsidRDefault="005F2B59" w:rsidP="0072761D">
      <w:pPr>
        <w:widowControl w:val="0"/>
        <w:autoSpaceDE w:val="0"/>
        <w:autoSpaceDN w:val="0"/>
        <w:adjustRightInd w:val="0"/>
        <w:spacing w:after="240"/>
        <w:jc w:val="both"/>
        <w:rPr>
          <w:rFonts w:cs="Arial"/>
          <w:b/>
          <w:color w:val="FF0000"/>
          <w:lang w:val="en-US"/>
        </w:rPr>
      </w:pPr>
      <w:r w:rsidRPr="00F577AB">
        <w:rPr>
          <w:rFonts w:cs="Arial"/>
          <w:color w:val="0E0E0E"/>
          <w:lang w:val="en-US"/>
        </w:rPr>
        <w:t>REH</w:t>
      </w:r>
      <w:r w:rsidRPr="0089142F">
        <w:rPr>
          <w:rFonts w:cs="Arial"/>
          <w:color w:val="0E0E0E"/>
          <w:vertAlign w:val="superscript"/>
          <w:lang w:val="en-US"/>
        </w:rPr>
        <w:t>shCBFA2T3</w:t>
      </w:r>
      <w:r w:rsidRPr="00F577AB">
        <w:rPr>
          <w:rFonts w:cs="Arial"/>
          <w:color w:val="0E0E0E"/>
          <w:lang w:val="en-US"/>
        </w:rPr>
        <w:t xml:space="preserve"> or REH</w:t>
      </w:r>
      <w:r w:rsidRPr="0089142F">
        <w:rPr>
          <w:rFonts w:cs="Arial"/>
          <w:color w:val="0E0E0E"/>
          <w:vertAlign w:val="superscript"/>
          <w:lang w:val="en-US"/>
        </w:rPr>
        <w:t>shRUNX1</w:t>
      </w:r>
      <w:r w:rsidRPr="00F577AB">
        <w:rPr>
          <w:rFonts w:cs="Arial"/>
          <w:color w:val="0E0E0E"/>
          <w:lang w:val="en-US"/>
        </w:rPr>
        <w:t xml:space="preserve"> </w:t>
      </w:r>
      <w:r w:rsidR="0072761D" w:rsidRPr="00F577AB">
        <w:rPr>
          <w:rFonts w:cs="Arial"/>
          <w:color w:val="0E0E0E"/>
          <w:lang w:val="en-US"/>
        </w:rPr>
        <w:t xml:space="preserve">cells were obtained by transduction of REH cells in the presence of 8 μg/mL of </w:t>
      </w:r>
      <w:proofErr w:type="spellStart"/>
      <w:r w:rsidR="0072761D" w:rsidRPr="00F577AB">
        <w:rPr>
          <w:rFonts w:cs="Arial"/>
          <w:color w:val="0E0E0E"/>
          <w:lang w:val="en-US"/>
        </w:rPr>
        <w:t>polybrene</w:t>
      </w:r>
      <w:proofErr w:type="spellEnd"/>
      <w:r w:rsidR="0072761D" w:rsidRPr="00F577AB">
        <w:rPr>
          <w:rFonts w:cs="Arial"/>
          <w:color w:val="0E0E0E"/>
          <w:lang w:val="en-US"/>
        </w:rPr>
        <w:t xml:space="preserve"> (Merck Millipore) with </w:t>
      </w:r>
      <w:proofErr w:type="spellStart"/>
      <w:r w:rsidR="0072761D" w:rsidRPr="00F577AB">
        <w:rPr>
          <w:rFonts w:cs="Arial"/>
          <w:color w:val="0E0E0E"/>
          <w:lang w:val="en-US"/>
        </w:rPr>
        <w:t>lentivirus</w:t>
      </w:r>
      <w:proofErr w:type="spellEnd"/>
      <w:r w:rsidR="0072761D" w:rsidRPr="00F577AB">
        <w:rPr>
          <w:rFonts w:cs="Arial"/>
          <w:color w:val="0E0E0E"/>
          <w:lang w:val="en-US"/>
        </w:rPr>
        <w:t xml:space="preserve"> bearing MISSION pLKO.1 </w:t>
      </w:r>
      <w:proofErr w:type="spellStart"/>
      <w:r w:rsidR="0072761D" w:rsidRPr="00F577AB">
        <w:rPr>
          <w:rFonts w:cs="Arial"/>
          <w:color w:val="0E0E0E"/>
          <w:lang w:val="en-US"/>
        </w:rPr>
        <w:t>shRNA-puro</w:t>
      </w:r>
      <w:proofErr w:type="spellEnd"/>
      <w:r w:rsidR="00030B3C">
        <w:rPr>
          <w:rFonts w:cs="Arial"/>
          <w:color w:val="0E0E0E"/>
          <w:lang w:val="en-US"/>
        </w:rPr>
        <w:t xml:space="preserve"> or </w:t>
      </w:r>
      <w:proofErr w:type="spellStart"/>
      <w:r w:rsidR="00030B3C" w:rsidRPr="00030B3C">
        <w:rPr>
          <w:rFonts w:cs="Arial"/>
          <w:color w:val="FF0000"/>
          <w:lang w:val="en-US"/>
        </w:rPr>
        <w:t>shRNA</w:t>
      </w:r>
      <w:proofErr w:type="spellEnd"/>
      <w:r w:rsidR="00030B3C" w:rsidRPr="00030B3C">
        <w:rPr>
          <w:rFonts w:cs="Arial"/>
          <w:color w:val="FF0000"/>
          <w:lang w:val="en-US"/>
        </w:rPr>
        <w:t>-neo</w:t>
      </w:r>
      <w:r w:rsidR="0072761D" w:rsidRPr="00030B3C">
        <w:rPr>
          <w:rFonts w:cs="Arial"/>
          <w:color w:val="FF0000"/>
          <w:lang w:val="en-US"/>
        </w:rPr>
        <w:t xml:space="preserve"> vector</w:t>
      </w:r>
      <w:r w:rsidR="00030B3C" w:rsidRPr="00030B3C">
        <w:rPr>
          <w:rFonts w:cs="Arial"/>
          <w:color w:val="FF0000"/>
          <w:lang w:val="en-US"/>
        </w:rPr>
        <w:t>s</w:t>
      </w:r>
      <w:r w:rsidR="0072761D" w:rsidRPr="00F577AB">
        <w:rPr>
          <w:rFonts w:cs="Arial"/>
          <w:color w:val="0E0E0E"/>
          <w:lang w:val="en-US"/>
        </w:rPr>
        <w:t xml:space="preserve"> targeting human RUNX1 (#TRCN0000013660 or </w:t>
      </w:r>
      <w:r w:rsidR="0072761D" w:rsidRPr="00F577AB">
        <w:rPr>
          <w:rFonts w:cs="Arial"/>
          <w:lang w:val="en-US"/>
        </w:rPr>
        <w:t xml:space="preserve">TRCN0000358353 </w:t>
      </w:r>
      <w:r w:rsidR="0072761D" w:rsidRPr="00F577AB">
        <w:rPr>
          <w:rFonts w:cs="Arial"/>
          <w:color w:val="0E0E0E"/>
          <w:lang w:val="en-US"/>
        </w:rPr>
        <w:t>Sigma-Aldrich) or CBFA2T3 (#</w:t>
      </w:r>
      <w:r w:rsidR="0072761D" w:rsidRPr="00F577AB">
        <w:rPr>
          <w:rFonts w:cs="Arial"/>
          <w:lang w:val="en-US"/>
        </w:rPr>
        <w:t xml:space="preserve">TRCN0000416005 or TRCN0000020165 </w:t>
      </w:r>
      <w:r w:rsidR="0072761D" w:rsidRPr="00F577AB">
        <w:rPr>
          <w:rFonts w:cs="Arial"/>
          <w:color w:val="0E0E0E"/>
          <w:lang w:val="en-US"/>
        </w:rPr>
        <w:t>Sigma-Aldrich</w:t>
      </w:r>
      <w:r w:rsidR="00DA0872">
        <w:rPr>
          <w:rFonts w:cs="Arial"/>
          <w:color w:val="0E0E0E"/>
          <w:lang w:val="en-US"/>
        </w:rPr>
        <w:t>, referred respectively in the manuscript as shCBFA2T3-1 and -2</w:t>
      </w:r>
      <w:r w:rsidR="0072761D" w:rsidRPr="00F577AB">
        <w:rPr>
          <w:rFonts w:cs="Arial"/>
          <w:color w:val="0E0E0E"/>
          <w:lang w:val="en-US"/>
        </w:rPr>
        <w:t>). Halotag-ETV6-RUNX1 ORF were</w:t>
      </w:r>
      <w:r w:rsidR="0072761D">
        <w:rPr>
          <w:rFonts w:cs="Arial"/>
          <w:color w:val="0E0E0E"/>
          <w:lang w:val="en-US"/>
        </w:rPr>
        <w:t xml:space="preserve"> </w:t>
      </w:r>
      <w:proofErr w:type="spellStart"/>
      <w:r w:rsidR="0072761D" w:rsidRPr="00F577AB">
        <w:rPr>
          <w:rFonts w:cs="Arial"/>
          <w:color w:val="0E0E0E"/>
          <w:lang w:val="en-US"/>
        </w:rPr>
        <w:t>subcloned</w:t>
      </w:r>
      <w:proofErr w:type="spellEnd"/>
      <w:r w:rsidR="0072761D" w:rsidRPr="00F577AB">
        <w:rPr>
          <w:rFonts w:cs="Arial"/>
          <w:color w:val="0E0E0E"/>
          <w:lang w:val="en-US"/>
        </w:rPr>
        <w:t xml:space="preserve"> from plasmid kindly provided by </w:t>
      </w:r>
      <w:r w:rsidR="005E5470">
        <w:rPr>
          <w:rFonts w:cs="Arial"/>
          <w:color w:val="0E0E0E"/>
          <w:lang w:val="en-US"/>
        </w:rPr>
        <w:t xml:space="preserve">G. </w:t>
      </w:r>
      <w:proofErr w:type="spellStart"/>
      <w:r w:rsidR="005E5470">
        <w:rPr>
          <w:rFonts w:cs="Arial"/>
          <w:color w:val="0E0E0E"/>
          <w:lang w:val="en-US"/>
        </w:rPr>
        <w:t>Nucifora</w:t>
      </w:r>
      <w:proofErr w:type="spellEnd"/>
      <w:r w:rsidR="005E5470">
        <w:rPr>
          <w:rFonts w:cs="Arial"/>
          <w:color w:val="0E0E0E"/>
          <w:lang w:val="en-US"/>
        </w:rPr>
        <w:fldChar w:fldCharType="begin"/>
      </w:r>
      <w:r w:rsidR="005E5470">
        <w:rPr>
          <w:rFonts w:cs="Arial"/>
          <w:color w:val="0E0E0E"/>
          <w:lang w:val="en-US"/>
        </w:rPr>
        <w:instrText xml:space="preserve"> ADDIN ZOTERO_ITEM CSL_CITATION {"citationID":"RZzLc2LL","properties":{"formattedCitation":"(1)","plainCitation":"(1)","noteIndex":0},"citationItems":[{"id":5880,"uris":["http://zotero.org/users/1678153/items/NQSFUI5X"],"uri":["http://zotero.org/users/1678153/items/NQSFUI5X"],"itemData":{"id":5880,"type":"article-journal","abstract":"The ETV6/CBFA2 (TEL/AML1) fusion gene occurs as a result of the chromosome translocation t(12;21)(p13;q22) in up to 30% of children diagnosed with B cell precursor (cd10+, cd19+) acute lymphoblastic leukemia. Leukemic cells that have acquired the t(12;21) usually demonstrate loss of the remaining normal ETV6 (TEL) allele. Using reporter gene assays we have functionally characterized both the normal ETV6 and ETV6/CBFA2 fusion proteins in the regulation of the MCSFR proximal promoter. Neither ETV6 or ETV6/CBFA2 has any significant, detectable effect on the promoter by itself. However, both ETV6 and ETV6/CBFA2 inhibit the activation of the promoter by CBFA2B(AML1B) and C/EBPa. We have shown that a 29-bp region of the MCSFR promoter containing the binding sites for CBFA2B and C/EBPa is sufficient for the inhibition by ETV6 and ETV6/CBFA2. Mutational analysis of the MCSFR promoter revealed that binding of both CBFA2B and C/EBPa to their respective sites is necessary for the inhibition by ETV6 and ETV6/CBFA2. Deletion of the helix-loop-helix (HLH) region from the cDNAs of ETV6 and ETV6/CBFA2 decreased but did not completely abrogate the ability of either construct to inhibit promoter activation. We also found that the ETS DNA binding region of ETV6 is necessary for inhibition of the promoter. Addition of ETS1 and FLI1, two ETS family members that have homology in the 5' HLH region, but not Spi1, an ETS family member without the 5' HLH region, also inhibited reporter gene expression. Our data show that the inhibition mediated by ETV6 and ETV6/CBFA2, in the context of the MCSFR promoter, depend on interactions with other proteins, not just CBFA2B. Our results also indicate that the transactivation characteristics of ETV6/CBFA2 are a combination of positive and negative regulatory properties.","archive_location":"9050885","container-title":"Proc Natl Acad Sci U S A","ISSN":"0027-8424 (Print)","language":"eng","note":"5","page":"1949-54","title":"Functional characterization of ETV6 and ETV6/CBFA2 in the regulation of the MCSFR proximal promoter","title-short":"Functional characterization of ETV6 and ETV6/CBFA2 in the regulation of the MCSFR proximal promoter","volume":"94","author":[{"family":"Fears","given":"S."},{"family":"Gavin","given":"M."},{"family":"Zhang","given":"D. E."},{"family":"Hetherington","given":"C."},{"family":"Ben-David","given":"Y."},{"family":"Rowley","given":"J. D."},{"family":"Nucifora","given":"G."}],"issued":{"date-parts":[["1997",3,4]]}}}],"schema":"https://github.com/citation-style-language/schema/raw/master/csl-citation.json"} </w:instrText>
      </w:r>
      <w:r w:rsidR="005E5470">
        <w:rPr>
          <w:rFonts w:cs="Arial"/>
          <w:color w:val="0E0E0E"/>
          <w:lang w:val="en-US"/>
        </w:rPr>
        <w:fldChar w:fldCharType="separate"/>
      </w:r>
      <w:r w:rsidR="005E5470">
        <w:rPr>
          <w:rFonts w:cs="Arial"/>
          <w:noProof/>
          <w:color w:val="0E0E0E"/>
          <w:lang w:val="en-US"/>
        </w:rPr>
        <w:t>(1)</w:t>
      </w:r>
      <w:r w:rsidR="005E5470">
        <w:rPr>
          <w:rFonts w:cs="Arial"/>
          <w:color w:val="0E0E0E"/>
          <w:lang w:val="en-US"/>
        </w:rPr>
        <w:fldChar w:fldCharType="end"/>
      </w:r>
      <w:r w:rsidR="0072761D" w:rsidRPr="00F577AB">
        <w:rPr>
          <w:rFonts w:cs="Arial"/>
          <w:color w:val="0E0E0E"/>
          <w:lang w:val="en-US"/>
        </w:rPr>
        <w:t>.</w:t>
      </w:r>
      <w:r w:rsidR="0072761D">
        <w:rPr>
          <w:rFonts w:cs="Arial"/>
          <w:color w:val="0E0E0E"/>
          <w:lang w:val="en-US"/>
        </w:rPr>
        <w:t xml:space="preserve"> </w:t>
      </w:r>
      <w:r w:rsidR="0072761D" w:rsidRPr="00F577AB">
        <w:rPr>
          <w:rFonts w:cs="Arial"/>
          <w:lang w:val="en-US"/>
        </w:rPr>
        <w:t xml:space="preserve">CBFA2T3-Flag human ORF from </w:t>
      </w:r>
      <w:r w:rsidR="0072761D">
        <w:rPr>
          <w:rFonts w:cs="Arial"/>
          <w:i/>
          <w:iCs/>
          <w:lang w:val="en-US"/>
        </w:rPr>
        <w:t>pCDNA3-CBFA2T3-Flag</w:t>
      </w:r>
      <w:r w:rsidR="0072761D" w:rsidRPr="00F577AB">
        <w:rPr>
          <w:rFonts w:cs="Arial"/>
          <w:i/>
          <w:iCs/>
          <w:lang w:val="en-US"/>
        </w:rPr>
        <w:t xml:space="preserve">, </w:t>
      </w:r>
      <w:r w:rsidR="0072761D" w:rsidRPr="00F577AB">
        <w:rPr>
          <w:rFonts w:cs="Arial"/>
          <w:iCs/>
          <w:lang w:val="en-US"/>
        </w:rPr>
        <w:t xml:space="preserve">and </w:t>
      </w:r>
      <w:r w:rsidR="0072761D" w:rsidRPr="00F577AB">
        <w:rPr>
          <w:rFonts w:cs="Arial"/>
          <w:lang w:val="en-US"/>
        </w:rPr>
        <w:t xml:space="preserve">Halotag-RUNX1 human ORF from </w:t>
      </w:r>
      <w:r w:rsidR="0072761D" w:rsidRPr="00F577AB">
        <w:rPr>
          <w:rFonts w:cs="Arial"/>
          <w:i/>
          <w:iCs/>
          <w:lang w:val="en-US"/>
        </w:rPr>
        <w:t xml:space="preserve">pFN21A </w:t>
      </w:r>
      <w:r w:rsidR="0072761D" w:rsidRPr="00F577AB">
        <w:rPr>
          <w:rFonts w:cs="Arial"/>
          <w:lang w:val="en-US"/>
        </w:rPr>
        <w:t xml:space="preserve">(#FHC01784, </w:t>
      </w:r>
      <w:proofErr w:type="spellStart"/>
      <w:r w:rsidR="0072761D" w:rsidRPr="00F577AB">
        <w:rPr>
          <w:rFonts w:cs="Arial"/>
          <w:lang w:val="en-US"/>
        </w:rPr>
        <w:t>Kazusa</w:t>
      </w:r>
      <w:proofErr w:type="spellEnd"/>
      <w:r w:rsidR="0072761D" w:rsidRPr="00F577AB">
        <w:rPr>
          <w:rFonts w:cs="Arial"/>
          <w:lang w:val="en-US"/>
        </w:rPr>
        <w:t xml:space="preserve"> collection, </w:t>
      </w:r>
      <w:proofErr w:type="spellStart"/>
      <w:r w:rsidR="0072761D" w:rsidRPr="00F577AB">
        <w:rPr>
          <w:rFonts w:cs="Arial"/>
          <w:lang w:val="en-US"/>
        </w:rPr>
        <w:t>Promega</w:t>
      </w:r>
      <w:proofErr w:type="spellEnd"/>
      <w:r w:rsidR="0072761D" w:rsidRPr="00F577AB">
        <w:rPr>
          <w:rFonts w:cs="Arial"/>
          <w:lang w:val="en-US"/>
        </w:rPr>
        <w:t xml:space="preserve">) respectively were cloned into a </w:t>
      </w:r>
      <w:proofErr w:type="spellStart"/>
      <w:r w:rsidR="0072761D" w:rsidRPr="00F577AB">
        <w:rPr>
          <w:rFonts w:cs="Arial"/>
          <w:lang w:val="en-US"/>
        </w:rPr>
        <w:t>lentivirus</w:t>
      </w:r>
      <w:proofErr w:type="spellEnd"/>
      <w:r w:rsidR="0072761D">
        <w:rPr>
          <w:rFonts w:cs="Arial"/>
          <w:lang w:val="en-US"/>
        </w:rPr>
        <w:t xml:space="preserve"> </w:t>
      </w:r>
      <w:proofErr w:type="spellStart"/>
      <w:r w:rsidR="0072761D" w:rsidRPr="00F577AB">
        <w:rPr>
          <w:rFonts w:cs="Arial"/>
          <w:i/>
          <w:iCs/>
          <w:lang w:val="en-US"/>
        </w:rPr>
        <w:t>pLenti</w:t>
      </w:r>
      <w:proofErr w:type="spellEnd"/>
      <w:r w:rsidR="0072761D" w:rsidRPr="00F577AB">
        <w:rPr>
          <w:rFonts w:cs="Arial"/>
          <w:i/>
          <w:iCs/>
          <w:lang w:val="en-US"/>
        </w:rPr>
        <w:t>-CMV-</w:t>
      </w:r>
      <w:proofErr w:type="spellStart"/>
      <w:r w:rsidR="0072761D" w:rsidRPr="00F577AB">
        <w:rPr>
          <w:rFonts w:cs="Arial"/>
          <w:i/>
          <w:iCs/>
          <w:lang w:val="en-US"/>
        </w:rPr>
        <w:t>Puro</w:t>
      </w:r>
      <w:proofErr w:type="spellEnd"/>
      <w:r w:rsidR="0072761D" w:rsidRPr="00F577AB">
        <w:rPr>
          <w:rFonts w:cs="Arial"/>
          <w:i/>
          <w:iCs/>
          <w:lang w:val="en-US"/>
        </w:rPr>
        <w:t xml:space="preserve">-DEST </w:t>
      </w:r>
      <w:r w:rsidR="0072761D" w:rsidRPr="00F577AB">
        <w:rPr>
          <w:rFonts w:cs="Arial"/>
          <w:lang w:val="en-US"/>
        </w:rPr>
        <w:t xml:space="preserve">by Gateway technology. </w:t>
      </w:r>
      <w:proofErr w:type="spellStart"/>
      <w:proofErr w:type="gramStart"/>
      <w:r w:rsidR="0072761D" w:rsidRPr="00F577AB">
        <w:rPr>
          <w:rFonts w:cs="Arial"/>
          <w:lang w:val="en-US"/>
        </w:rPr>
        <w:t>pLenti</w:t>
      </w:r>
      <w:proofErr w:type="spellEnd"/>
      <w:proofErr w:type="gramEnd"/>
      <w:r w:rsidR="0072761D" w:rsidRPr="00F577AB">
        <w:rPr>
          <w:rFonts w:cs="Arial"/>
          <w:lang w:val="en-US"/>
        </w:rPr>
        <w:t xml:space="preserve">-CMV- </w:t>
      </w:r>
      <w:proofErr w:type="spellStart"/>
      <w:r w:rsidR="0072761D" w:rsidRPr="00F577AB">
        <w:rPr>
          <w:rFonts w:cs="Arial"/>
          <w:lang w:val="en-US"/>
        </w:rPr>
        <w:t>Puro</w:t>
      </w:r>
      <w:proofErr w:type="spellEnd"/>
      <w:r w:rsidR="0072761D" w:rsidRPr="00F577AB">
        <w:rPr>
          <w:rFonts w:cs="Arial"/>
          <w:lang w:val="en-US"/>
        </w:rPr>
        <w:t>-DEST (w118-1) was a gift from Eric Campeau (</w:t>
      </w:r>
      <w:proofErr w:type="spellStart"/>
      <w:r w:rsidR="0072761D" w:rsidRPr="00F577AB">
        <w:rPr>
          <w:rFonts w:cs="Arial"/>
          <w:lang w:val="en-US"/>
        </w:rPr>
        <w:t>Addgene</w:t>
      </w:r>
      <w:proofErr w:type="spellEnd"/>
      <w:r w:rsidR="0072761D" w:rsidRPr="00F577AB">
        <w:rPr>
          <w:rFonts w:cs="Arial"/>
          <w:lang w:val="en-US"/>
        </w:rPr>
        <w:t xml:space="preserve"> plasmid #17452)</w:t>
      </w:r>
      <w:r w:rsidR="0072761D" w:rsidRPr="00F577AB">
        <w:rPr>
          <w:rFonts w:cs="Arial"/>
          <w:b/>
          <w:bCs/>
          <w:lang w:val="en-US"/>
        </w:rPr>
        <w:t xml:space="preserve">. </w:t>
      </w:r>
      <w:r w:rsidR="0072761D" w:rsidRPr="00F577AB">
        <w:rPr>
          <w:rFonts w:cs="Arial"/>
          <w:lang w:val="en-US"/>
        </w:rPr>
        <w:t xml:space="preserve">To produce </w:t>
      </w:r>
      <w:proofErr w:type="spellStart"/>
      <w:r w:rsidR="0072761D" w:rsidRPr="00F577AB">
        <w:rPr>
          <w:rFonts w:cs="Arial"/>
          <w:lang w:val="en-US"/>
        </w:rPr>
        <w:t>lentivirus</w:t>
      </w:r>
      <w:proofErr w:type="spellEnd"/>
      <w:r w:rsidR="0072761D" w:rsidRPr="00F577AB">
        <w:rPr>
          <w:rFonts w:cs="Arial"/>
          <w:lang w:val="en-US"/>
        </w:rPr>
        <w:t xml:space="preserve">, HEK293 cells were co-transfected with </w:t>
      </w:r>
      <w:proofErr w:type="spellStart"/>
      <w:r w:rsidR="0072761D" w:rsidRPr="00F577AB">
        <w:rPr>
          <w:rFonts w:cs="Arial"/>
          <w:i/>
          <w:iCs/>
          <w:lang w:val="en-US"/>
        </w:rPr>
        <w:t>pLenti</w:t>
      </w:r>
      <w:proofErr w:type="spellEnd"/>
      <w:r w:rsidR="0072761D" w:rsidRPr="00F577AB">
        <w:rPr>
          <w:rFonts w:cs="Arial"/>
          <w:i/>
          <w:iCs/>
          <w:lang w:val="en-US"/>
        </w:rPr>
        <w:t>-CMV-</w:t>
      </w:r>
      <w:proofErr w:type="spellStart"/>
      <w:r w:rsidR="0072761D" w:rsidRPr="00F577AB">
        <w:rPr>
          <w:rFonts w:cs="Arial"/>
          <w:i/>
          <w:iCs/>
          <w:lang w:val="en-US"/>
        </w:rPr>
        <w:t>Puro</w:t>
      </w:r>
      <w:proofErr w:type="spellEnd"/>
      <w:r w:rsidR="0072761D" w:rsidRPr="00F577AB">
        <w:rPr>
          <w:rFonts w:cs="Arial"/>
          <w:i/>
          <w:iCs/>
          <w:lang w:val="en-US"/>
        </w:rPr>
        <w:t xml:space="preserve">-DEST </w:t>
      </w:r>
      <w:r w:rsidR="0072761D" w:rsidRPr="00F577AB">
        <w:rPr>
          <w:rFonts w:cs="Arial"/>
          <w:lang w:val="en-US"/>
        </w:rPr>
        <w:t xml:space="preserve">bearing </w:t>
      </w:r>
      <w:r w:rsidR="0072761D">
        <w:rPr>
          <w:rFonts w:cs="Arial"/>
          <w:lang w:val="en-US"/>
        </w:rPr>
        <w:t>plasmids</w:t>
      </w:r>
      <w:r w:rsidR="0072761D" w:rsidRPr="00F577AB">
        <w:rPr>
          <w:rFonts w:cs="Arial"/>
          <w:lang w:val="en-US"/>
        </w:rPr>
        <w:t xml:space="preserve">, </w:t>
      </w:r>
      <w:r w:rsidR="0072761D" w:rsidRPr="00F577AB">
        <w:rPr>
          <w:rFonts w:cs="Arial"/>
          <w:i/>
          <w:iCs/>
          <w:lang w:val="en-US"/>
        </w:rPr>
        <w:t xml:space="preserve">pSPAX2 </w:t>
      </w:r>
      <w:r w:rsidR="0072761D" w:rsidRPr="00F577AB">
        <w:rPr>
          <w:rFonts w:cs="Arial"/>
          <w:lang w:val="en-US"/>
        </w:rPr>
        <w:t xml:space="preserve">and </w:t>
      </w:r>
      <w:proofErr w:type="spellStart"/>
      <w:r w:rsidR="0072761D">
        <w:rPr>
          <w:rFonts w:cs="Arial"/>
          <w:i/>
          <w:iCs/>
          <w:lang w:val="en-US"/>
        </w:rPr>
        <w:t>pCMV</w:t>
      </w:r>
      <w:proofErr w:type="spellEnd"/>
      <w:r w:rsidR="0072761D">
        <w:rPr>
          <w:rFonts w:cs="Arial"/>
          <w:i/>
          <w:iCs/>
          <w:lang w:val="en-US"/>
        </w:rPr>
        <w:t>-VSV-</w:t>
      </w:r>
      <w:r w:rsidR="0072761D" w:rsidRPr="00F577AB">
        <w:rPr>
          <w:rFonts w:cs="Arial"/>
          <w:i/>
          <w:iCs/>
          <w:lang w:val="en-US"/>
        </w:rPr>
        <w:t xml:space="preserve">G </w:t>
      </w:r>
      <w:r w:rsidR="0072761D" w:rsidRPr="00F577AB">
        <w:rPr>
          <w:rFonts w:cs="Arial"/>
          <w:lang w:val="en-US"/>
        </w:rPr>
        <w:t xml:space="preserve">for packaging using </w:t>
      </w:r>
      <w:proofErr w:type="spellStart"/>
      <w:r w:rsidR="0072761D" w:rsidRPr="00F577AB">
        <w:rPr>
          <w:rFonts w:cs="Arial"/>
          <w:lang w:val="en-US"/>
        </w:rPr>
        <w:t>Lipofectamin</w:t>
      </w:r>
      <w:proofErr w:type="spellEnd"/>
      <w:r w:rsidR="0072761D" w:rsidRPr="00F577AB">
        <w:rPr>
          <w:rFonts w:cs="Arial"/>
          <w:lang w:val="en-US"/>
        </w:rPr>
        <w:t xml:space="preserve"> 3000 transfection reagent (Thermo Fisher Scientific). The plasmid </w:t>
      </w:r>
      <w:r w:rsidR="0072761D" w:rsidRPr="00F577AB">
        <w:rPr>
          <w:rFonts w:cs="Arial"/>
          <w:i/>
          <w:iCs/>
          <w:lang w:val="en-US"/>
        </w:rPr>
        <w:t xml:space="preserve">psPAX2 </w:t>
      </w:r>
      <w:r w:rsidR="0072761D" w:rsidRPr="00F577AB">
        <w:rPr>
          <w:rFonts w:cs="Arial"/>
          <w:lang w:val="en-US"/>
        </w:rPr>
        <w:t xml:space="preserve">was a gift from Didier </w:t>
      </w:r>
      <w:proofErr w:type="spellStart"/>
      <w:r w:rsidR="0072761D" w:rsidRPr="00F577AB">
        <w:rPr>
          <w:rFonts w:cs="Arial"/>
          <w:lang w:val="en-US"/>
        </w:rPr>
        <w:t>Trono</w:t>
      </w:r>
      <w:proofErr w:type="spellEnd"/>
      <w:r w:rsidR="0072761D" w:rsidRPr="00F577AB">
        <w:rPr>
          <w:rFonts w:cs="Arial"/>
          <w:lang w:val="en-US"/>
        </w:rPr>
        <w:t xml:space="preserve"> (</w:t>
      </w:r>
      <w:proofErr w:type="spellStart"/>
      <w:r w:rsidR="0072761D" w:rsidRPr="00F577AB">
        <w:rPr>
          <w:rFonts w:cs="Arial"/>
          <w:lang w:val="en-US"/>
        </w:rPr>
        <w:t>Addgene</w:t>
      </w:r>
      <w:proofErr w:type="spellEnd"/>
      <w:r w:rsidR="0072761D" w:rsidRPr="00F577AB">
        <w:rPr>
          <w:rFonts w:cs="Arial"/>
          <w:lang w:val="en-US"/>
        </w:rPr>
        <w:t xml:space="preserve"> plasmid # 12260) and </w:t>
      </w:r>
      <w:proofErr w:type="spellStart"/>
      <w:r w:rsidR="0072761D" w:rsidRPr="00F577AB">
        <w:rPr>
          <w:rFonts w:cs="Arial"/>
          <w:i/>
          <w:iCs/>
          <w:lang w:val="en-US"/>
        </w:rPr>
        <w:t>pCMV</w:t>
      </w:r>
      <w:proofErr w:type="spellEnd"/>
      <w:r w:rsidR="0072761D" w:rsidRPr="00F577AB">
        <w:rPr>
          <w:rFonts w:cs="Arial"/>
          <w:i/>
          <w:iCs/>
          <w:lang w:val="en-US"/>
        </w:rPr>
        <w:t xml:space="preserve">-VSV-G </w:t>
      </w:r>
      <w:r w:rsidR="0072761D" w:rsidRPr="00F577AB">
        <w:rPr>
          <w:rFonts w:cs="Arial"/>
          <w:lang w:val="en-US"/>
        </w:rPr>
        <w:t>was a gift from Bob Weinberg (</w:t>
      </w:r>
      <w:proofErr w:type="spellStart"/>
      <w:r w:rsidR="0072761D" w:rsidRPr="00F577AB">
        <w:rPr>
          <w:rFonts w:cs="Arial"/>
          <w:lang w:val="en-US"/>
        </w:rPr>
        <w:t>Addgene</w:t>
      </w:r>
      <w:proofErr w:type="spellEnd"/>
      <w:r w:rsidR="0072761D" w:rsidRPr="00F577AB">
        <w:rPr>
          <w:rFonts w:cs="Arial"/>
          <w:lang w:val="en-US"/>
        </w:rPr>
        <w:t xml:space="preserve"> plasmid # 8454). After 48h, supernatant was harvested, filtered and added to REH cells with </w:t>
      </w:r>
      <w:r w:rsidR="003330CB">
        <w:rPr>
          <w:rFonts w:cs="Arial"/>
          <w:lang w:val="en-US"/>
        </w:rPr>
        <w:t>8</w:t>
      </w:r>
      <w:r w:rsidR="0072761D" w:rsidRPr="00F577AB">
        <w:rPr>
          <w:rFonts w:cs="Arial"/>
          <w:lang w:val="en-US"/>
        </w:rPr>
        <w:t xml:space="preserve">μg/mL </w:t>
      </w:r>
      <w:proofErr w:type="spellStart"/>
      <w:r w:rsidR="0072761D" w:rsidRPr="00F577AB">
        <w:rPr>
          <w:rFonts w:cs="Arial"/>
          <w:lang w:val="en-US"/>
        </w:rPr>
        <w:t>polybrene</w:t>
      </w:r>
      <w:proofErr w:type="spellEnd"/>
      <w:r w:rsidR="0072761D" w:rsidRPr="00F577AB">
        <w:rPr>
          <w:rFonts w:cs="Arial"/>
          <w:lang w:val="en-US"/>
        </w:rPr>
        <w:t>, and transduced cells were selected in medium containing 0</w:t>
      </w:r>
      <w:proofErr w:type="gramStart"/>
      <w:r w:rsidR="0072761D" w:rsidRPr="00F577AB">
        <w:rPr>
          <w:rFonts w:cs="Arial"/>
          <w:lang w:val="en-US"/>
        </w:rPr>
        <w:t>.5 μg/</w:t>
      </w:r>
      <w:proofErr w:type="gramEnd"/>
      <w:r w:rsidR="0072761D" w:rsidRPr="00F577AB">
        <w:rPr>
          <w:rFonts w:cs="Arial"/>
          <w:lang w:val="en-US"/>
        </w:rPr>
        <w:t xml:space="preserve">mL </w:t>
      </w:r>
      <w:proofErr w:type="spellStart"/>
      <w:r w:rsidR="0072761D" w:rsidRPr="00F577AB">
        <w:rPr>
          <w:rFonts w:cs="Arial"/>
          <w:lang w:val="en-US"/>
        </w:rPr>
        <w:t>puromycin</w:t>
      </w:r>
      <w:proofErr w:type="spellEnd"/>
      <w:r w:rsidR="0072761D" w:rsidRPr="00F577AB">
        <w:rPr>
          <w:rFonts w:cs="Arial"/>
          <w:lang w:val="en-US"/>
        </w:rPr>
        <w:t xml:space="preserve"> (</w:t>
      </w:r>
      <w:proofErr w:type="spellStart"/>
      <w:r w:rsidR="0072761D" w:rsidRPr="00F577AB">
        <w:rPr>
          <w:rFonts w:cs="Arial"/>
          <w:lang w:val="en-US"/>
        </w:rPr>
        <w:t>Invivogen</w:t>
      </w:r>
      <w:proofErr w:type="spellEnd"/>
      <w:r w:rsidR="0072761D" w:rsidRPr="00F577AB">
        <w:rPr>
          <w:rFonts w:cs="Arial"/>
          <w:lang w:val="en-US"/>
        </w:rPr>
        <w:t xml:space="preserve">). CBFA2T3-myc truncated protein plasmids were provided by Andrew Turner </w:t>
      </w:r>
      <w:r w:rsidR="005E5470">
        <w:rPr>
          <w:rFonts w:cs="Arial"/>
          <w:lang w:val="en-US"/>
        </w:rPr>
        <w:t xml:space="preserve">and David </w:t>
      </w:r>
      <w:proofErr w:type="spellStart"/>
      <w:r w:rsidR="005E5470">
        <w:rPr>
          <w:rFonts w:cs="Arial"/>
          <w:lang w:val="en-US"/>
        </w:rPr>
        <w:t>Callen</w:t>
      </w:r>
      <w:proofErr w:type="spellEnd"/>
      <w:r w:rsidR="005E5470">
        <w:rPr>
          <w:rFonts w:cs="Arial"/>
          <w:lang w:val="en-US"/>
        </w:rPr>
        <w:fldChar w:fldCharType="begin"/>
      </w:r>
      <w:r w:rsidR="005E5470">
        <w:rPr>
          <w:rFonts w:cs="Arial"/>
          <w:lang w:val="en-US"/>
        </w:rPr>
        <w:instrText xml:space="preserve"> ADDIN ZOTERO_ITEM CSL_CITATION {"citationID":"PTX4LjJs","properties":{"formattedCitation":"(2)","plainCitation":"(2)","noteIndex":0},"citationItems":[{"id":5415,"uris":["http://zotero.org/users/1678153/items/5R3C7XSD"],"uri":["http://zotero.org/users/1678153/items/5R3C7XSD"],"itemData":{"id":5415,"type":"article-journal","abstract":"Transcriptional repression plays a critical role in development and homeostasis. The ETO family represents a group of highly conserved and ubiquitously expressed transcriptional regulatory proteins that are components of a diverse range of multiprotein repressor complexes. ETO proteins function as transcriptional repressors by interacting with a number of transcription factors that bind to their cognate consensus DNA binding sequences within the promoters of target genes. We previously reported that the classical C(2)H(2) zinc finger DNA-binding protein, ZNF652, specifically and functionally interacts with the ETO protein CBFA2T3 and has a role in the suppression of breast oncogenesis. Here we report the identification and validation of the ZNF652 consensus DNA binding sequence. Our results show that the E-box gene HEB is a direct target of CBFA2T3-ZNF652-mediated transcriptional repression. The CBFA2T3-ZNF652 complex regulates HEB expression by binding to a single ZNF652 response element located within the promoter sequence of HEB. This study also shows that the NHR3 and NHR4 domains of CBFA2T3 interact with a conserved proline-rich region located within the C terminus of ZNF652. Our results, together with previous reports, indicate that HEB has a complex relationship with CBFA2T3; CBFA2T3 interacts with ZNF652 to repress HEB expression, and in addition CBFA2T3 interacts with the HEB protein to inhibit its activator function. These findings suggest that CBFA2T3-ZNF652-mediated HEB regulation may play an important role in hematopoiesis and myogenesis.","container-title":"The Journal of Biological Chemistry","DOI":"10.1074/jbc.M709136200","ISSN":"0021-9258","issue":"27","journalAbbreviation":"J. Biol. Chem.","language":"eng","note":"PMID: 18456661","page":"19026-19038","source":"PubMed","title":"CBFA2T3-ZNF652 corepressor complex regulates transcription of the E-box gene HEB","volume":"283","author":[{"family":"Kumar","given":"Raman"},{"family":"Cheney","given":"Kelly M."},{"family":"McKirdy","given":"Ross"},{"family":"Neilsen","given":"Paul M."},{"family":"Schulz","given":"Renèe B."},{"family":"Lee","given":"Jaclyn"},{"family":"Cohen","given":"Juliane"},{"family":"Booker","given":"Grant W."},{"family":"Callen","given":"David F."}],"issued":{"date-parts":[["2008",7,4]]}}}],"schema":"https://github.com/citation-style-language/schema/raw/master/csl-citation.json"} </w:instrText>
      </w:r>
      <w:r w:rsidR="005E5470">
        <w:rPr>
          <w:rFonts w:cs="Arial"/>
          <w:lang w:val="en-US"/>
        </w:rPr>
        <w:fldChar w:fldCharType="separate"/>
      </w:r>
      <w:r w:rsidR="005E5470">
        <w:rPr>
          <w:rFonts w:cs="Arial"/>
          <w:noProof/>
          <w:lang w:val="en-US"/>
        </w:rPr>
        <w:t>(2)</w:t>
      </w:r>
      <w:r w:rsidR="005E5470">
        <w:rPr>
          <w:rFonts w:cs="Arial"/>
          <w:lang w:val="en-US"/>
        </w:rPr>
        <w:fldChar w:fldCharType="end"/>
      </w:r>
      <w:r w:rsidR="0072761D" w:rsidRPr="009E6907">
        <w:rPr>
          <w:rFonts w:cs="Arial"/>
          <w:lang w:val="en-US"/>
        </w:rPr>
        <w:t xml:space="preserve"> and </w:t>
      </w:r>
      <w:proofErr w:type="spellStart"/>
      <w:r w:rsidR="0072761D" w:rsidRPr="009E6907">
        <w:rPr>
          <w:rFonts w:cs="Arial"/>
          <w:lang w:val="en-US"/>
        </w:rPr>
        <w:t>subcloned</w:t>
      </w:r>
      <w:proofErr w:type="spellEnd"/>
      <w:r w:rsidR="0072761D" w:rsidRPr="009E6907">
        <w:rPr>
          <w:rFonts w:cs="Arial"/>
          <w:lang w:val="en-US"/>
        </w:rPr>
        <w:t xml:space="preserve"> to have Flag-version. </w:t>
      </w:r>
      <w:proofErr w:type="gramStart"/>
      <w:r w:rsidR="0072761D" w:rsidRPr="009E6907">
        <w:rPr>
          <w:rFonts w:cs="Arial"/>
          <w:lang w:val="en-US"/>
        </w:rPr>
        <w:t>pCMV</w:t>
      </w:r>
      <w:proofErr w:type="gramEnd"/>
      <w:r w:rsidR="0072761D" w:rsidRPr="009E6907">
        <w:rPr>
          <w:rFonts w:cs="Arial"/>
          <w:lang w:val="en-US"/>
        </w:rPr>
        <w:t>-CBFA2T3</w:t>
      </w:r>
      <w:r w:rsidR="0072761D" w:rsidRPr="009E6907">
        <w:rPr>
          <w:rFonts w:cs="Arial"/>
          <w:vertAlign w:val="superscript"/>
          <w:lang w:val="en-US"/>
        </w:rPr>
        <w:t>NHR2</w:t>
      </w:r>
      <w:r w:rsidR="0072761D" w:rsidRPr="009E6907">
        <w:rPr>
          <w:rFonts w:cs="Arial"/>
          <w:lang w:val="en-US"/>
        </w:rPr>
        <w:t xml:space="preserve"> was </w:t>
      </w:r>
      <w:proofErr w:type="spellStart"/>
      <w:r w:rsidR="0072761D" w:rsidRPr="009E6907">
        <w:rPr>
          <w:rFonts w:cs="Arial"/>
          <w:lang w:val="en-US"/>
        </w:rPr>
        <w:t>subcloned</w:t>
      </w:r>
      <w:proofErr w:type="spellEnd"/>
      <w:r w:rsidR="0072761D" w:rsidRPr="009E6907">
        <w:rPr>
          <w:rFonts w:cs="Arial"/>
          <w:lang w:val="en-US"/>
        </w:rPr>
        <w:t xml:space="preserve"> in pLL3.7 vector for REH</w:t>
      </w:r>
      <w:r w:rsidR="0072761D" w:rsidRPr="009E6907">
        <w:rPr>
          <w:rFonts w:cs="Arial"/>
          <w:vertAlign w:val="superscript"/>
          <w:lang w:val="en-US"/>
        </w:rPr>
        <w:t>+NHR2</w:t>
      </w:r>
      <w:r w:rsidR="0072761D" w:rsidRPr="009E6907">
        <w:rPr>
          <w:rFonts w:cs="Arial"/>
          <w:lang w:val="en-US"/>
        </w:rPr>
        <w:t xml:space="preserve"> cell production. R</w:t>
      </w:r>
      <w:r w:rsidR="00DD09BB">
        <w:rPr>
          <w:rFonts w:cs="Arial"/>
          <w:lang w:val="en-US"/>
        </w:rPr>
        <w:t>UNX</w:t>
      </w:r>
      <w:r w:rsidR="0072761D" w:rsidRPr="009E6907">
        <w:rPr>
          <w:rFonts w:cs="Arial"/>
          <w:lang w:val="en-US"/>
        </w:rPr>
        <w:t xml:space="preserve">1 truncated protein plasmids were provided by Michael Lie-A-Ling and George </w:t>
      </w:r>
      <w:proofErr w:type="spellStart"/>
      <w:r w:rsidR="0072761D" w:rsidRPr="009E6907">
        <w:rPr>
          <w:rFonts w:cs="Arial"/>
          <w:lang w:val="en-US"/>
        </w:rPr>
        <w:t>Lacaud</w:t>
      </w:r>
      <w:proofErr w:type="spellEnd"/>
      <w:r w:rsidR="0072761D" w:rsidRPr="009E6907">
        <w:rPr>
          <w:rFonts w:cs="Arial"/>
          <w:lang w:val="en-US"/>
        </w:rPr>
        <w:t>.</w:t>
      </w:r>
    </w:p>
    <w:p w14:paraId="1E288ABD" w14:textId="77777777" w:rsidR="00DA0872" w:rsidRPr="00A9100C" w:rsidRDefault="00DA0872" w:rsidP="00DA0872">
      <w:pPr>
        <w:widowControl w:val="0"/>
        <w:autoSpaceDE w:val="0"/>
        <w:autoSpaceDN w:val="0"/>
        <w:adjustRightInd w:val="0"/>
        <w:spacing w:after="240"/>
        <w:jc w:val="both"/>
        <w:rPr>
          <w:rFonts w:cs="Calibri"/>
          <w:b/>
          <w:bCs/>
          <w:lang w:val="en-US"/>
        </w:rPr>
      </w:pPr>
      <w:r w:rsidRPr="00A9100C">
        <w:rPr>
          <w:rFonts w:cs="Calibri"/>
          <w:b/>
          <w:bCs/>
          <w:lang w:val="en-US"/>
        </w:rPr>
        <w:t>Luciferase assay</w:t>
      </w:r>
    </w:p>
    <w:p w14:paraId="488748CD" w14:textId="7ED06556" w:rsidR="0072761D" w:rsidRPr="00E16D29" w:rsidRDefault="00DA0872" w:rsidP="0072761D">
      <w:pPr>
        <w:widowControl w:val="0"/>
        <w:autoSpaceDE w:val="0"/>
        <w:autoSpaceDN w:val="0"/>
        <w:adjustRightInd w:val="0"/>
        <w:spacing w:after="240"/>
        <w:jc w:val="both"/>
        <w:rPr>
          <w:rFonts w:cs="Calibri"/>
          <w:lang w:val="en-US"/>
        </w:rPr>
      </w:pPr>
      <w:r w:rsidRPr="00E16D29">
        <w:rPr>
          <w:rFonts w:cs="Times"/>
          <w:lang w:val="en-US"/>
        </w:rPr>
        <w:t xml:space="preserve">For luciferase assays, </w:t>
      </w:r>
      <w:r w:rsidRPr="00E16D29">
        <w:rPr>
          <w:rFonts w:cs="Times New Roman"/>
          <w:color w:val="000000"/>
          <w:lang w:val="en-US"/>
        </w:rPr>
        <w:t xml:space="preserve">genomic DNA fragments derived from the human </w:t>
      </w:r>
      <w:r w:rsidRPr="00E16D29">
        <w:rPr>
          <w:rFonts w:cs="Times New Roman"/>
          <w:i/>
          <w:iCs/>
          <w:color w:val="000000"/>
          <w:lang w:val="en-US"/>
        </w:rPr>
        <w:t xml:space="preserve">CBFA2T3 </w:t>
      </w:r>
      <w:r w:rsidRPr="00E16D29">
        <w:rPr>
          <w:rFonts w:cs="Times New Roman"/>
          <w:color w:val="000000"/>
          <w:lang w:val="en-US"/>
        </w:rPr>
        <w:t>(chr16</w:t>
      </w:r>
      <w:proofErr w:type="gramStart"/>
      <w:r w:rsidRPr="00E16D29">
        <w:rPr>
          <w:rFonts w:cs="Times New Roman"/>
          <w:color w:val="000000"/>
          <w:lang w:val="en-US"/>
        </w:rPr>
        <w:t>:</w:t>
      </w:r>
      <w:r w:rsidRPr="00E16D29">
        <w:rPr>
          <w:lang w:val="en-US"/>
        </w:rPr>
        <w:t>89,045,181</w:t>
      </w:r>
      <w:proofErr w:type="gramEnd"/>
      <w:r w:rsidRPr="00E16D29">
        <w:rPr>
          <w:lang w:val="en-US"/>
        </w:rPr>
        <w:t>-89,045,538</w:t>
      </w:r>
      <w:r w:rsidRPr="00E16D29">
        <w:rPr>
          <w:rFonts w:cs="Times New Roman"/>
          <w:color w:val="000000"/>
          <w:lang w:val="en-US"/>
        </w:rPr>
        <w:t xml:space="preserve">) </w:t>
      </w:r>
      <w:r w:rsidRPr="00E16D29">
        <w:rPr>
          <w:rFonts w:cs="Times New Roman"/>
          <w:i/>
          <w:iCs/>
          <w:color w:val="000000"/>
          <w:lang w:val="en-US"/>
        </w:rPr>
        <w:t xml:space="preserve">or RUNX1 </w:t>
      </w:r>
      <w:r w:rsidRPr="00E16D29">
        <w:rPr>
          <w:rFonts w:cs="Times New Roman"/>
          <w:color w:val="000000"/>
          <w:lang w:val="en-US"/>
        </w:rPr>
        <w:t>(</w:t>
      </w:r>
      <w:r w:rsidR="00E16D29" w:rsidRPr="00E16D29">
        <w:rPr>
          <w:rFonts w:eastAsia="Times New Roman" w:cs="Arial"/>
          <w:color w:val="000000"/>
          <w:lang w:eastAsia="fr-FR"/>
        </w:rPr>
        <w:t>chr21:36,421,428-36,421,673</w:t>
      </w:r>
      <w:r w:rsidRPr="00E16D29">
        <w:rPr>
          <w:rFonts w:cs="Times New Roman"/>
          <w:color w:val="000000"/>
          <w:lang w:val="en-US"/>
        </w:rPr>
        <w:t xml:space="preserve">) gene, and  RUNX1-consensus motif repetition </w:t>
      </w:r>
      <w:r w:rsidRPr="00E16D29">
        <w:rPr>
          <w:rFonts w:eastAsia="Times New Roman" w:cs="Times New Roman"/>
          <w:bCs/>
          <w:color w:val="000000"/>
          <w:lang w:eastAsia="fr-FR"/>
        </w:rPr>
        <w:t>A</w:t>
      </w:r>
      <w:r w:rsidRPr="00E16D29">
        <w:rPr>
          <w:rFonts w:eastAsia="Times New Roman" w:cs="Times New Roman"/>
          <w:color w:val="000000"/>
          <w:lang w:eastAsia="fr-FR"/>
        </w:rPr>
        <w:t>GATTTCCAAACTC</w:t>
      </w:r>
      <w:r w:rsidRPr="00E16D29">
        <w:rPr>
          <w:rFonts w:eastAsia="Times New Roman" w:cs="Times New Roman"/>
          <w:color w:val="000000"/>
          <w:u w:val="single"/>
          <w:lang w:eastAsia="fr-FR"/>
        </w:rPr>
        <w:t>TGTGGT</w:t>
      </w:r>
      <w:r w:rsidRPr="00E16D29">
        <w:rPr>
          <w:rFonts w:eastAsia="Times New Roman" w:cs="Times New Roman"/>
          <w:color w:val="000000"/>
          <w:lang w:eastAsia="fr-FR"/>
        </w:rPr>
        <w:t>TGCCTT</w:t>
      </w:r>
      <w:r w:rsidRPr="00E16D29">
        <w:rPr>
          <w:rFonts w:cs="Times New Roman"/>
          <w:color w:val="000000"/>
          <w:lang w:val="en-US"/>
        </w:rPr>
        <w:t xml:space="preserve"> (three times repeats) </w:t>
      </w:r>
      <w:r w:rsidR="005E5470" w:rsidRPr="00E16D29">
        <w:rPr>
          <w:rFonts w:cs="Times New Roman"/>
          <w:color w:val="000000"/>
          <w:lang w:val="en-US"/>
        </w:rPr>
        <w:t xml:space="preserve">as described in </w:t>
      </w:r>
      <w:r w:rsidR="005E5470" w:rsidRPr="00E16D29">
        <w:rPr>
          <w:rFonts w:cs="Times New Roman"/>
          <w:color w:val="000000"/>
          <w:lang w:val="en-US"/>
        </w:rPr>
        <w:fldChar w:fldCharType="begin"/>
      </w:r>
      <w:r w:rsidR="005E5470" w:rsidRPr="00E16D29">
        <w:rPr>
          <w:rFonts w:cs="Times New Roman"/>
          <w:color w:val="000000"/>
          <w:lang w:val="en-US"/>
        </w:rPr>
        <w:instrText xml:space="preserve"> ADDIN ZOTERO_ITEM CSL_CITATION {"citationID":"RjtcSTUL","properties":{"formattedCitation":"(1)","plainCitation":"(1)","noteIndex":0},"citationItems":[{"id":5880,"uris":["http://zotero.org/users/1678153/items/NQSFUI5X"],"uri":["http://zotero.org/users/1678153/items/NQSFUI5X"],"itemData":{"id":5880,"type":"article-journal","abstract":"The ETV6/CBFA2 (TEL/AML1) fusion gene occurs as a result of the chromosome translocation t(12;21)(p13;q22) in up to 30% of children diagnosed with B cell precursor (cd10+, cd19+) acute lymphoblastic leukemia. Leukemic cells that have acquired the t(12;21) usually demonstrate loss of the remaining normal ETV6 (TEL) allele. Using reporter gene assays we have functionally characterized both the normal ETV6 and ETV6/CBFA2 fusion proteins in the regulation of the MCSFR proximal promoter. Neither ETV6 or ETV6/CBFA2 has any significant, detectable effect on the promoter by itself. However, both ETV6 and ETV6/CBFA2 inhibit the activation of the promoter by CBFA2B(AML1B) and C/EBPa. We have shown that a 29-bp region of the MCSFR promoter containing the binding sites for CBFA2B and C/EBPa is sufficient for the inhibition by ETV6 and ETV6/CBFA2. Mutational analysis of the MCSFR promoter revealed that binding of both CBFA2B and C/EBPa to their respective sites is necessary for the inhibition by ETV6 and ETV6/CBFA2. Deletion of the helix-loop-helix (HLH) region from the cDNAs of ETV6 and ETV6/CBFA2 decreased but did not completely abrogate the ability of either construct to inhibit promoter activation. We also found that the ETS DNA binding region of ETV6 is necessary for inhibition of the promoter. Addition of ETS1 and FLI1, two ETS family members that have homology in the 5' HLH region, but not Spi1, an ETS family member without the 5' HLH region, also inhibited reporter gene expression. Our data show that the inhibition mediated by ETV6 and ETV6/CBFA2, in the context of the MCSFR promoter, depend on interactions with other proteins, not just CBFA2B. Our results also indicate that the transactivation characteristics of ETV6/CBFA2 are a combination of positive and negative regulatory properties.","archive_location":"9050885","container-title":"Proc Natl Acad Sci U S A","ISSN":"0027-8424 (Print)","language":"eng","note":"5","page":"1949-54","title":"Functional characterization of ETV6 and ETV6/CBFA2 in the regulation of the MCSFR proximal promoter","title-short":"Functional characterization of ETV6 and ETV6/CBFA2 in the regulation of the MCSFR proximal promoter","volume":"94","author":[{"family":"Fears","given":"S."},{"family":"Gavin","given":"M."},{"family":"Zhang","given":"D. E."},{"family":"Hetherington","given":"C."},{"family":"Ben-David","given":"Y."},{"family":"Rowley","given":"J. D."},{"family":"Nucifora","given":"G."}],"issued":{"date-parts":[["1997",3,4]]}}}],"schema":"https://github.com/citation-style-language/schema/raw/master/csl-citation.json"} </w:instrText>
      </w:r>
      <w:r w:rsidR="005E5470" w:rsidRPr="00E16D29">
        <w:rPr>
          <w:rFonts w:cs="Times New Roman"/>
          <w:color w:val="000000"/>
          <w:lang w:val="en-US"/>
        </w:rPr>
        <w:fldChar w:fldCharType="separate"/>
      </w:r>
      <w:r w:rsidR="005E5470" w:rsidRPr="00E16D29">
        <w:rPr>
          <w:rFonts w:cs="Times New Roman"/>
          <w:noProof/>
          <w:color w:val="000000"/>
          <w:lang w:val="en-US"/>
        </w:rPr>
        <w:t>(1)</w:t>
      </w:r>
      <w:r w:rsidR="005E5470" w:rsidRPr="00E16D29">
        <w:rPr>
          <w:rFonts w:cs="Times New Roman"/>
          <w:color w:val="000000"/>
          <w:lang w:val="en-US"/>
        </w:rPr>
        <w:fldChar w:fldCharType="end"/>
      </w:r>
      <w:r w:rsidRPr="00E16D29">
        <w:rPr>
          <w:rFonts w:cs="Times New Roman"/>
          <w:color w:val="000000"/>
          <w:lang w:val="en-US"/>
        </w:rPr>
        <w:t xml:space="preserve"> were cloned into </w:t>
      </w:r>
      <w:r w:rsidRPr="00E16D29">
        <w:rPr>
          <w:rFonts w:cs="Times New Roman"/>
          <w:i/>
          <w:iCs/>
          <w:color w:val="000000"/>
          <w:lang w:val="en-US"/>
        </w:rPr>
        <w:t xml:space="preserve">pGL4.10-luc </w:t>
      </w:r>
      <w:r w:rsidRPr="00E16D29">
        <w:rPr>
          <w:rFonts w:cs="Times New Roman"/>
          <w:color w:val="000000"/>
          <w:lang w:val="en-US"/>
        </w:rPr>
        <w:t>with a minimal promoter and transfected in HEK293</w:t>
      </w:r>
      <w:r w:rsidR="003330CB">
        <w:rPr>
          <w:rFonts w:cs="Times New Roman"/>
          <w:color w:val="000000"/>
          <w:lang w:val="en-US"/>
        </w:rPr>
        <w:t>T</w:t>
      </w:r>
      <w:r w:rsidRPr="00E16D29">
        <w:rPr>
          <w:rFonts w:cs="Times New Roman"/>
          <w:color w:val="000000"/>
          <w:lang w:val="en-US"/>
        </w:rPr>
        <w:t xml:space="preserve"> cells, in presence of </w:t>
      </w:r>
      <w:r w:rsidRPr="00E16D29">
        <w:rPr>
          <w:rFonts w:cs="Times New Roman"/>
          <w:i/>
          <w:iCs/>
          <w:color w:val="000000"/>
          <w:lang w:val="en-US"/>
        </w:rPr>
        <w:t>pFN-Halotag-RUNX1</w:t>
      </w:r>
      <w:r w:rsidRPr="00E16D29">
        <w:rPr>
          <w:rFonts w:cs="Times New Roman"/>
          <w:color w:val="000000"/>
          <w:lang w:val="en-US"/>
        </w:rPr>
        <w:t xml:space="preserve"> and/or </w:t>
      </w:r>
      <w:r w:rsidRPr="00E16D29">
        <w:rPr>
          <w:rFonts w:cs="Arial"/>
          <w:i/>
          <w:iCs/>
          <w:lang w:val="en-US"/>
        </w:rPr>
        <w:t>pCDNA3-CBFA2T3-Flag</w:t>
      </w:r>
      <w:r w:rsidRPr="00E16D29">
        <w:rPr>
          <w:rFonts w:cs="Times New Roman"/>
          <w:color w:val="000000"/>
          <w:lang w:val="en-US"/>
        </w:rPr>
        <w:t xml:space="preserve"> and supplemented with empty </w:t>
      </w:r>
      <w:proofErr w:type="spellStart"/>
      <w:r w:rsidRPr="00E16D29">
        <w:rPr>
          <w:rFonts w:cs="Times New Roman"/>
          <w:i/>
          <w:color w:val="000000"/>
          <w:lang w:val="en-US"/>
        </w:rPr>
        <w:t>pCDNA</w:t>
      </w:r>
      <w:proofErr w:type="spellEnd"/>
      <w:r w:rsidRPr="00E16D29">
        <w:rPr>
          <w:rFonts w:cs="Times New Roman"/>
          <w:color w:val="000000"/>
          <w:lang w:val="en-US"/>
        </w:rPr>
        <w:t xml:space="preserve"> vector. </w:t>
      </w:r>
      <w:r w:rsidRPr="00E16D29">
        <w:rPr>
          <w:rFonts w:cs="Calibri"/>
          <w:lang w:val="en-US"/>
        </w:rPr>
        <w:t xml:space="preserve">The luciferase plasmid containing the </w:t>
      </w:r>
      <w:r w:rsidRPr="00E16D29">
        <w:rPr>
          <w:rFonts w:cs="Calibri"/>
          <w:i/>
          <w:lang w:val="en-US"/>
        </w:rPr>
        <w:t>c-KIT</w:t>
      </w:r>
      <w:r w:rsidRPr="00E16D29">
        <w:rPr>
          <w:rFonts w:cs="Calibri"/>
          <w:lang w:val="en-US"/>
        </w:rPr>
        <w:t xml:space="preserve"> enhancer is described in </w:t>
      </w:r>
      <w:r w:rsidR="005E5470" w:rsidRPr="00E16D29">
        <w:rPr>
          <w:rFonts w:cs="Calibri"/>
          <w:lang w:val="en-US"/>
        </w:rPr>
        <w:fldChar w:fldCharType="begin"/>
      </w:r>
      <w:r w:rsidR="005E5470" w:rsidRPr="00E16D29">
        <w:rPr>
          <w:rFonts w:cs="Calibri"/>
          <w:lang w:val="en-US"/>
        </w:rPr>
        <w:instrText xml:space="preserve"> ADDIN ZOTERO_ITEM CSL_CITATION {"citationID":"HHPIqqir","properties":{"formattedCitation":"(3)","plainCitation":"(3)","noteIndex":0},"citationItems":[{"id":5407,"uris":["http://zotero.org/users/1678153/items/39K63XBN"],"uri":["http://zotero.org/users/1678153/items/39K63XBN"],"itemData":{"id":5407,"type":"article-journal","abstract":"Runt-related transcription factor 1 (RUNX1) is a well-known master regulator of hematopoietic lineages but its mechanisms of action are still not fully understood. Here, we found that RUNX1 localizes on active chromatin together with Far Upstream Binding Protein 1 (FUBP1) in human B-cell precursor lymphoblasts, and that both factors interact in the same transcriptional regulatory complex. RUNX1 and FUBP1 chromatin localization identified c-KIT as a common target gene. We characterized two regulatory regions, at +700 bp and +30 kb within the first intron of c-KIT, bound by both RUNX1 and FUBP1, and that present active histone marks. Based on these regions, we proposed a novel FUBP1 FUSE-like DNA-binding sequence on the +30 kb enhancer. We demonstrated that FUBP1 and RUNX1 cooperate for the regulation of the expression of the oncogene c-KIT. Notably, upregulation of c-KIT expression by FUBP1 and RUNX1 promotes cell proliferation and renders cells more resistant to the c-KIT inhibitor imatinib mesylate, a common therapeutic drug. These results reveal a new mechanism of action of RUNX1 that implicates FUBP1, as a facilitator, to trigger transcriptional regulation of c-KIT and to regulate cell proliferation. Deregulation of this regulatory mechanism may explain some oncogenic function of RUNX1 and FUBP1.","container-title":"Nucleic Acids Research","DOI":"10.1093/nar/gky756","ISSN":"1362-4962","issue":"21","journalAbbreviation":"Nucleic Acids Res.","language":"eng","note":"PMID: 30500954\nPMCID: PMC6265458","page":"11214-11228","source":"PubMed","title":"Interplay between transcription regulators RUNX1 and FUBP1 activates an enhancer of the oncogene c-KIT and amplifies cell proliferation","volume":"46","author":[{"family":"Debaize","given":"Lydie"},{"family":"Jakobczyk","given":"Hélène"},{"family":"Avner","given":"Stéphane"},{"family":"Gaudichon","given":"Jérémie"},{"family":"Rio","given":"Anne-Gaëlle"},{"family":"Sérandour","given":"Aurélien A."},{"family":"Dorsheimer","given":"Lena"},{"family":"Chalmel","given":"Frédéric"},{"family":"Carroll","given":"Jason S."},{"family":"Zörnig","given":"Martin"},{"family":"Rieger","given":"Michael A."},{"family":"Delalande","given":"Olivier"},{"family":"Salbert","given":"Gilles"},{"family":"Galibert","given":"Marie-Dominique"},{"family":"Gandemer","given":"Virginie"},{"family":"Troadec","given":"Marie-Bérengère"}],"issued":{"date-parts":[["2018"]],"season":"30"}}}],"schema":"https://github.com/citation-style-language/schema/raw/master/csl-citation.json"} </w:instrText>
      </w:r>
      <w:r w:rsidR="005E5470" w:rsidRPr="00E16D29">
        <w:rPr>
          <w:rFonts w:cs="Calibri"/>
          <w:lang w:val="en-US"/>
        </w:rPr>
        <w:fldChar w:fldCharType="separate"/>
      </w:r>
      <w:r w:rsidR="005E5470" w:rsidRPr="00E16D29">
        <w:rPr>
          <w:rFonts w:cs="Calibri"/>
          <w:noProof/>
          <w:lang w:val="en-US"/>
        </w:rPr>
        <w:t>(3)</w:t>
      </w:r>
      <w:r w:rsidR="005E5470" w:rsidRPr="00E16D29">
        <w:rPr>
          <w:rFonts w:cs="Calibri"/>
          <w:lang w:val="en-US"/>
        </w:rPr>
        <w:fldChar w:fldCharType="end"/>
      </w:r>
      <w:r w:rsidRPr="00E16D29">
        <w:rPr>
          <w:rFonts w:cs="Calibri"/>
          <w:lang w:val="en-US"/>
        </w:rPr>
        <w:t>. Biological replicates of HEK293</w:t>
      </w:r>
      <w:r w:rsidR="003330CB">
        <w:rPr>
          <w:rFonts w:cs="Calibri"/>
          <w:lang w:val="en-US"/>
        </w:rPr>
        <w:t>T</w:t>
      </w:r>
      <w:r w:rsidRPr="00E16D29">
        <w:rPr>
          <w:rFonts w:cs="Calibri"/>
          <w:lang w:val="en-US"/>
        </w:rPr>
        <w:t xml:space="preserve"> cells were plated into 12-well plates and co-transfected with 0.25 μg of pGL4.10</w:t>
      </w:r>
      <w:r w:rsidRPr="00E16D29">
        <w:rPr>
          <w:rFonts w:cs="Calibri"/>
          <w:i/>
          <w:iCs/>
          <w:lang w:val="en-US"/>
        </w:rPr>
        <w:t xml:space="preserve">-luc </w:t>
      </w:r>
      <w:r w:rsidRPr="00E16D29">
        <w:rPr>
          <w:rFonts w:cs="Calibri"/>
          <w:lang w:val="en-US"/>
        </w:rPr>
        <w:t xml:space="preserve">plasmid DNA, together with 0.25 μg of the appropriate vector using </w:t>
      </w:r>
      <w:proofErr w:type="spellStart"/>
      <w:r w:rsidRPr="00E16D29">
        <w:rPr>
          <w:rFonts w:cs="Calibri"/>
          <w:lang w:val="en-US"/>
        </w:rPr>
        <w:t>lipofectamine</w:t>
      </w:r>
      <w:proofErr w:type="spellEnd"/>
      <w:r w:rsidRPr="00E16D29">
        <w:rPr>
          <w:rFonts w:cs="Calibri"/>
          <w:lang w:val="en-US"/>
        </w:rPr>
        <w:t xml:space="preserve"> 3000 (L3000015, Invitrogen). </w:t>
      </w:r>
      <w:proofErr w:type="spellStart"/>
      <w:proofErr w:type="gramStart"/>
      <w:r w:rsidRPr="00E16D29">
        <w:rPr>
          <w:rFonts w:cs="Calibri"/>
          <w:i/>
          <w:iCs/>
          <w:lang w:val="en-US"/>
        </w:rPr>
        <w:t>pCMV</w:t>
      </w:r>
      <w:proofErr w:type="gramEnd"/>
      <w:r w:rsidRPr="00E16D29">
        <w:rPr>
          <w:rFonts w:cs="Calibri"/>
          <w:i/>
          <w:iCs/>
          <w:lang w:val="en-US"/>
        </w:rPr>
        <w:t>-renilla</w:t>
      </w:r>
      <w:proofErr w:type="spellEnd"/>
      <w:r w:rsidRPr="00E16D29">
        <w:rPr>
          <w:rFonts w:cs="Calibri"/>
          <w:i/>
          <w:iCs/>
          <w:lang w:val="en-US"/>
        </w:rPr>
        <w:t xml:space="preserve"> </w:t>
      </w:r>
      <w:r w:rsidRPr="00E16D29">
        <w:rPr>
          <w:rFonts w:cs="Calibri"/>
          <w:lang w:val="en-US"/>
        </w:rPr>
        <w:t>luciferase vector was also transfected as an internal control for transfection efficiency. Forty-eight hours after transfection, cells were lysed and assayed for luciferase activity using the dual luciferase reporter system (</w:t>
      </w:r>
      <w:proofErr w:type="spellStart"/>
      <w:r w:rsidRPr="00E16D29">
        <w:rPr>
          <w:rFonts w:cs="Calibri"/>
          <w:lang w:val="en-US"/>
        </w:rPr>
        <w:t>Promega</w:t>
      </w:r>
      <w:proofErr w:type="spellEnd"/>
      <w:r w:rsidRPr="00E16D29">
        <w:rPr>
          <w:rFonts w:cs="Calibri"/>
          <w:lang w:val="en-US"/>
        </w:rPr>
        <w:t xml:space="preserve">) according to the manufacturer's protocol and a LB 960 Centro </w:t>
      </w:r>
      <w:proofErr w:type="spellStart"/>
      <w:r w:rsidRPr="00E16D29">
        <w:rPr>
          <w:rFonts w:cs="Calibri"/>
          <w:lang w:val="en-US"/>
        </w:rPr>
        <w:t>luminometer</w:t>
      </w:r>
      <w:proofErr w:type="spellEnd"/>
      <w:r w:rsidRPr="00E16D29">
        <w:rPr>
          <w:rFonts w:cs="Calibri"/>
          <w:lang w:val="en-US"/>
        </w:rPr>
        <w:t xml:space="preserve"> (Berthold technologies). </w:t>
      </w:r>
    </w:p>
    <w:p w14:paraId="47A6ACB4" w14:textId="77777777" w:rsidR="00A1174B" w:rsidRPr="000F5CF1" w:rsidRDefault="00A1174B" w:rsidP="00053B77">
      <w:pPr>
        <w:spacing w:after="120"/>
        <w:jc w:val="both"/>
        <w:rPr>
          <w:rFonts w:cs="Times New Roman"/>
          <w:b/>
          <w:lang w:val="en-US"/>
        </w:rPr>
      </w:pPr>
      <w:r w:rsidRPr="000F5CF1">
        <w:rPr>
          <w:rFonts w:cs="Times New Roman"/>
          <w:b/>
          <w:lang w:val="en-US"/>
        </w:rPr>
        <w:t xml:space="preserve">RNA extraction, </w:t>
      </w:r>
      <w:proofErr w:type="spellStart"/>
      <w:r w:rsidRPr="000F5CF1">
        <w:rPr>
          <w:rFonts w:cs="Times New Roman"/>
          <w:b/>
          <w:lang w:val="en-US"/>
        </w:rPr>
        <w:t>cDNA</w:t>
      </w:r>
      <w:proofErr w:type="spellEnd"/>
      <w:r w:rsidRPr="000F5CF1">
        <w:rPr>
          <w:rFonts w:cs="Times New Roman"/>
          <w:b/>
          <w:lang w:val="en-US"/>
        </w:rPr>
        <w:t xml:space="preserve"> synthesis, and RT-</w:t>
      </w:r>
      <w:proofErr w:type="spellStart"/>
      <w:r w:rsidRPr="000F5CF1">
        <w:rPr>
          <w:rFonts w:cs="Times New Roman"/>
          <w:b/>
          <w:lang w:val="en-US"/>
        </w:rPr>
        <w:t>qPCR</w:t>
      </w:r>
      <w:proofErr w:type="spellEnd"/>
      <w:r w:rsidRPr="000F5CF1">
        <w:rPr>
          <w:rFonts w:cs="Times New Roman"/>
          <w:b/>
          <w:lang w:val="en-US"/>
        </w:rPr>
        <w:t xml:space="preserve"> </w:t>
      </w:r>
    </w:p>
    <w:p w14:paraId="02EF50AC" w14:textId="20031C6F" w:rsidR="00A1174B" w:rsidRPr="000F5CF1" w:rsidRDefault="00A1174B" w:rsidP="00A1174B">
      <w:pPr>
        <w:spacing w:after="0"/>
        <w:jc w:val="both"/>
        <w:rPr>
          <w:rFonts w:cs="Times New Roman"/>
          <w:b/>
          <w:lang w:val="en-US"/>
        </w:rPr>
      </w:pPr>
      <w:r w:rsidRPr="000F5CF1">
        <w:rPr>
          <w:rFonts w:cs="Times New Roman"/>
          <w:lang w:val="en-US"/>
        </w:rPr>
        <w:t xml:space="preserve">RNA was extracted using the </w:t>
      </w:r>
      <w:proofErr w:type="spellStart"/>
      <w:r w:rsidRPr="000F5CF1">
        <w:rPr>
          <w:rFonts w:cs="Times New Roman"/>
          <w:lang w:val="en-US"/>
        </w:rPr>
        <w:t>NucleoSpin</w:t>
      </w:r>
      <w:proofErr w:type="spellEnd"/>
      <w:r w:rsidRPr="000F5CF1">
        <w:rPr>
          <w:rFonts w:cs="Times New Roman"/>
          <w:lang w:val="en-US"/>
        </w:rPr>
        <w:t xml:space="preserve"> RNA II (</w:t>
      </w:r>
      <w:proofErr w:type="spellStart"/>
      <w:r w:rsidRPr="000F5CF1">
        <w:rPr>
          <w:rFonts w:cs="Times New Roman"/>
          <w:lang w:val="en-US"/>
        </w:rPr>
        <w:t>Macherey</w:t>
      </w:r>
      <w:proofErr w:type="spellEnd"/>
      <w:r w:rsidRPr="000F5CF1">
        <w:rPr>
          <w:rFonts w:cs="Times New Roman"/>
          <w:lang w:val="en-US"/>
        </w:rPr>
        <w:t xml:space="preserve"> Nagel). </w:t>
      </w:r>
      <w:proofErr w:type="spellStart"/>
      <w:proofErr w:type="gramStart"/>
      <w:r w:rsidRPr="000F5CF1">
        <w:rPr>
          <w:rFonts w:cs="Times New Roman"/>
          <w:lang w:val="en-US"/>
        </w:rPr>
        <w:t>cDNA</w:t>
      </w:r>
      <w:proofErr w:type="spellEnd"/>
      <w:proofErr w:type="gramEnd"/>
      <w:r w:rsidRPr="000F5CF1">
        <w:rPr>
          <w:rFonts w:cs="Times New Roman"/>
          <w:lang w:val="en-US"/>
        </w:rPr>
        <w:t xml:space="preserve"> was synthesized using High capacity </w:t>
      </w:r>
      <w:proofErr w:type="spellStart"/>
      <w:r w:rsidRPr="000F5CF1">
        <w:rPr>
          <w:rFonts w:cs="Times New Roman"/>
          <w:lang w:val="en-US"/>
        </w:rPr>
        <w:t>cDNA</w:t>
      </w:r>
      <w:proofErr w:type="spellEnd"/>
      <w:r w:rsidRPr="000F5CF1">
        <w:rPr>
          <w:rFonts w:cs="Times New Roman"/>
          <w:lang w:val="en-US"/>
        </w:rPr>
        <w:t xml:space="preserve"> RT kit (Life Technologies) according to the manufacturer's protocol. Real-time PCR was carried out in sealed 384-well </w:t>
      </w:r>
      <w:proofErr w:type="spellStart"/>
      <w:r w:rsidRPr="000F5CF1">
        <w:rPr>
          <w:rFonts w:cs="Times New Roman"/>
          <w:lang w:val="en-US"/>
        </w:rPr>
        <w:t>microtiter</w:t>
      </w:r>
      <w:proofErr w:type="spellEnd"/>
      <w:r w:rsidRPr="000F5CF1">
        <w:rPr>
          <w:rFonts w:cs="Times New Roman"/>
          <w:lang w:val="en-US"/>
        </w:rPr>
        <w:t xml:space="preserve"> plates using the SYBR™ Green PCR Master Mix (Applied </w:t>
      </w:r>
      <w:proofErr w:type="spellStart"/>
      <w:r w:rsidRPr="000F5CF1">
        <w:rPr>
          <w:rFonts w:cs="Times New Roman"/>
          <w:lang w:val="en-US"/>
        </w:rPr>
        <w:t>Biosystems</w:t>
      </w:r>
      <w:proofErr w:type="spellEnd"/>
      <w:r w:rsidRPr="000F5CF1">
        <w:rPr>
          <w:rFonts w:cs="Times New Roman"/>
          <w:lang w:val="en-US"/>
        </w:rPr>
        <w:t xml:space="preserve">), according to Applied </w:t>
      </w:r>
      <w:proofErr w:type="spellStart"/>
      <w:r w:rsidRPr="000F5CF1">
        <w:rPr>
          <w:rFonts w:cs="Times New Roman"/>
          <w:lang w:val="en-US"/>
        </w:rPr>
        <w:t>Biosystems</w:t>
      </w:r>
      <w:proofErr w:type="spellEnd"/>
      <w:r w:rsidRPr="000F5CF1">
        <w:rPr>
          <w:rFonts w:cs="Times New Roman"/>
          <w:lang w:val="en-US"/>
        </w:rPr>
        <w:t xml:space="preserve"> gene amplification specifications (40 cycles of 15 sec at 95°C and 1 </w:t>
      </w:r>
      <w:r w:rsidRPr="000F5CF1">
        <w:rPr>
          <w:rFonts w:cs="Times New Roman"/>
          <w:lang w:val="en-US"/>
        </w:rPr>
        <w:lastRenderedPageBreak/>
        <w:t xml:space="preserve">min at 60°C). The forward (F) and reverse (R) primers (synthesized by </w:t>
      </w:r>
      <w:proofErr w:type="spellStart"/>
      <w:r w:rsidRPr="000F5CF1">
        <w:rPr>
          <w:rFonts w:cs="Times New Roman"/>
          <w:lang w:val="en-US"/>
        </w:rPr>
        <w:t>Eurogentec</w:t>
      </w:r>
      <w:proofErr w:type="spellEnd"/>
      <w:r w:rsidRPr="000F5CF1">
        <w:rPr>
          <w:rFonts w:cs="Times New Roman"/>
          <w:lang w:val="en-US"/>
        </w:rPr>
        <w:t xml:space="preserve">) were described in </w:t>
      </w:r>
      <w:r w:rsidRPr="000F5CF1">
        <w:rPr>
          <w:rFonts w:cs="Times New Roman"/>
          <w:b/>
          <w:color w:val="CC0000"/>
          <w:lang w:val="en-US"/>
        </w:rPr>
        <w:t>Table S1.</w:t>
      </w:r>
      <w:r w:rsidRPr="000F5CF1">
        <w:rPr>
          <w:rFonts w:cs="Times New Roman"/>
          <w:lang w:val="en-US"/>
        </w:rPr>
        <w:t xml:space="preserve"> Data analysis was performed using the </w:t>
      </w:r>
      <w:r w:rsidRPr="000F5CF1">
        <w:rPr>
          <w:rFonts w:cs="Times New Roman"/>
          <w:lang w:val="en-US"/>
        </w:rPr>
        <w:sym w:font="Symbol" w:char="F044"/>
      </w:r>
      <w:r w:rsidRPr="000F5CF1">
        <w:rPr>
          <w:rFonts w:cs="Times New Roman"/>
          <w:lang w:val="en-US"/>
        </w:rPr>
        <w:sym w:font="Symbol" w:char="F044"/>
      </w:r>
      <w:r w:rsidRPr="000F5CF1">
        <w:rPr>
          <w:rFonts w:cs="Times New Roman"/>
          <w:lang w:val="en-US"/>
        </w:rPr>
        <w:t xml:space="preserve">CT-method </w:t>
      </w:r>
      <w:r w:rsidRPr="000F5CF1">
        <w:rPr>
          <w:rFonts w:cs="Times New Roman"/>
          <w:lang w:val="en-US"/>
        </w:rPr>
        <w:fldChar w:fldCharType="begin"/>
      </w:r>
      <w:r w:rsidRPr="000F5CF1">
        <w:rPr>
          <w:rFonts w:cs="Times New Roman"/>
          <w:lang w:val="en-US"/>
        </w:rPr>
        <w:instrText xml:space="preserve"> ADDIN ZOTERO_ITEM CSL_CITATION {"citationID":"mKanhrUN","properties":{"formattedCitation":"(18)","plainCitation":"(18)","noteIndex":0},"citationItems":[{"id":4212,"uris":["http://zotero.org/groups/1672143/items/FQPPM2H4"],"uri":["http://zotero.org/groups/1672143/items/FQPPM2H4"],"itemData":{"id":4212,"type":"article-journal","title":"Quantitative real-time RT-PCR data analysis: current concepts and the novel \"gene expression's CT difference\" formula","container-title":"Journal of Molecular Medicine (Berlin, Germany)","page":"901-910","volume":"84","issue":"11","source":"PubMed","abstract":"For quantification of gene-specific mRNA, quantitative real-time RT-PCR has become one of the most frequently used methods over the last few years. This article focuses on the issue of real-time PCR data analysis and its mathematical background, offering a general concept for efficient, fast and precise data analysis superior to the commonly used comparative CT (DeltaDeltaCT) and the standard curve method, as it considers individual amplification efficiencies for every PCR. This concept is based on a novel formula for the calculation of relative gene expression ratios, termed GED (Gene Expression's CT Difference) formula. Prerequisites for this formula, such as real-time PCR kinetics, the concept of PCR efficiency and its determination, are discussed. Additionally, this article offers some technical considerations and information on statistical analysis of real-time PCR data.","DOI":"10.1007/s00109-006-0097-6","ISSN":"0946-2716","note":"PMID: 16972087","shortTitle":"Quantitative real-time RT-PCR data analysis","journalAbbreviation":"J. Mol. Med.","language":"eng","author":[{"family":"Schefe","given":"Jan H."},{"family":"Lehmann","given":"Kerstin E."},{"family":"Buschmann","given":"Ivo R."},{"family":"Unger","given":"Thomas"},{"family":"Funke-Kaiser","given":"Heiko"}],"issued":{"date-parts":[["2006",11]]}}}],"schema":"https://github.com/citation-style-language/schema/raw/master/csl-citation.json"} </w:instrText>
      </w:r>
      <w:r w:rsidRPr="000F5CF1">
        <w:rPr>
          <w:rFonts w:cs="Times New Roman"/>
          <w:lang w:val="en-US"/>
        </w:rPr>
        <w:fldChar w:fldCharType="separate"/>
      </w:r>
      <w:r w:rsidRPr="000F5CF1">
        <w:rPr>
          <w:rFonts w:cs="Times New Roman"/>
        </w:rPr>
        <w:t>(18)</w:t>
      </w:r>
      <w:r w:rsidRPr="000F5CF1">
        <w:rPr>
          <w:rFonts w:cs="Times New Roman"/>
          <w:lang w:val="en-US"/>
        </w:rPr>
        <w:fldChar w:fldCharType="end"/>
      </w:r>
      <w:r w:rsidRPr="000F5CF1">
        <w:rPr>
          <w:rFonts w:cs="Times New Roman"/>
          <w:lang w:val="en-US"/>
        </w:rPr>
        <w:t xml:space="preserve">. The housekeeping gene </w:t>
      </w:r>
      <w:r w:rsidR="00836D21" w:rsidRPr="000F5CF1">
        <w:rPr>
          <w:rFonts w:cs="Times New Roman"/>
          <w:lang w:val="en-US"/>
        </w:rPr>
        <w:t>ABL</w:t>
      </w:r>
      <w:r w:rsidRPr="000F5CF1">
        <w:rPr>
          <w:rFonts w:cs="Times New Roman"/>
          <w:lang w:val="en-US"/>
        </w:rPr>
        <w:t xml:space="preserve"> was used to normalize the data. </w:t>
      </w:r>
    </w:p>
    <w:p w14:paraId="31F68C95" w14:textId="77777777" w:rsidR="00A1174B" w:rsidRPr="000F5CF1" w:rsidRDefault="00A1174B" w:rsidP="007276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cs="Times New Roman"/>
          <w:b/>
          <w:bCs/>
          <w:color w:val="000000"/>
          <w:lang w:val="en-US"/>
        </w:rPr>
      </w:pPr>
    </w:p>
    <w:p w14:paraId="47E19446" w14:textId="16CD0B88" w:rsidR="0072761D" w:rsidRPr="000F5CF1" w:rsidRDefault="0072761D" w:rsidP="007276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cs="Times New Roman"/>
          <w:b/>
          <w:bCs/>
          <w:color w:val="000000"/>
          <w:lang w:val="en-US"/>
        </w:rPr>
      </w:pPr>
      <w:r w:rsidRPr="000F5CF1">
        <w:rPr>
          <w:rFonts w:cs="Times New Roman"/>
          <w:b/>
          <w:bCs/>
          <w:color w:val="000000"/>
          <w:lang w:val="en-US"/>
        </w:rPr>
        <w:t xml:space="preserve">Chromatin immunoprecipitation </w:t>
      </w:r>
      <w:r w:rsidR="0030241A" w:rsidRPr="000F5CF1">
        <w:rPr>
          <w:rFonts w:cs="Times New Roman"/>
          <w:b/>
          <w:bCs/>
          <w:color w:val="000000"/>
          <w:lang w:val="en-US"/>
        </w:rPr>
        <w:t xml:space="preserve">sequencing </w:t>
      </w:r>
      <w:r w:rsidRPr="000F5CF1">
        <w:rPr>
          <w:rFonts w:cs="Times New Roman"/>
          <w:b/>
          <w:bCs/>
          <w:color w:val="000000"/>
          <w:lang w:val="en-US"/>
        </w:rPr>
        <w:t>(ChIP</w:t>
      </w:r>
      <w:r w:rsidR="0030241A" w:rsidRPr="000F5CF1">
        <w:rPr>
          <w:rFonts w:cs="Times New Roman"/>
          <w:b/>
          <w:bCs/>
          <w:color w:val="000000"/>
          <w:lang w:val="en-US"/>
        </w:rPr>
        <w:t>-Seq</w:t>
      </w:r>
      <w:r w:rsidRPr="000F5CF1">
        <w:rPr>
          <w:rFonts w:cs="Times New Roman"/>
          <w:b/>
          <w:bCs/>
          <w:color w:val="000000"/>
          <w:lang w:val="en-US"/>
        </w:rPr>
        <w:t>) and binding site analysis</w:t>
      </w:r>
    </w:p>
    <w:p w14:paraId="34021CC5" w14:textId="17E1E7DE" w:rsidR="0072761D" w:rsidRPr="00F577AB" w:rsidRDefault="0072761D" w:rsidP="0075505F">
      <w:pPr>
        <w:jc w:val="both"/>
        <w:rPr>
          <w:rFonts w:cs="Arial"/>
          <w:lang w:val="en-US"/>
        </w:rPr>
      </w:pPr>
      <w:r w:rsidRPr="000F5CF1">
        <w:rPr>
          <w:rFonts w:cs="Arial"/>
          <w:lang w:val="en-US"/>
        </w:rPr>
        <w:t xml:space="preserve">The procedure was </w:t>
      </w:r>
      <w:r w:rsidR="005E5470" w:rsidRPr="000F5CF1">
        <w:rPr>
          <w:rFonts w:cs="Arial"/>
          <w:lang w:val="en-US"/>
        </w:rPr>
        <w:t>previously described</w:t>
      </w:r>
      <w:r w:rsidR="005E5470" w:rsidRPr="000F5CF1">
        <w:rPr>
          <w:rFonts w:cs="Arial"/>
          <w:lang w:val="en-US"/>
        </w:rPr>
        <w:fldChar w:fldCharType="begin"/>
      </w:r>
      <w:r w:rsidR="005E5470" w:rsidRPr="000F5CF1">
        <w:rPr>
          <w:rFonts w:cs="Arial"/>
          <w:lang w:val="en-US"/>
        </w:rPr>
        <w:instrText xml:space="preserve"> ADDIN ZOTERO_ITEM CSL_CITATION {"citationID":"JpQFcRUj","properties":{"formattedCitation":"(3)","plainCitation":"(3)","noteIndex":0},"citationItems":[{"id":5407,"uris":["http://zotero.org/users/1678153/items/39K63XBN"],"uri":["http://zotero.org/users/1678153/items/39K63XBN"],"itemData":{"id":5407,"type":"article-journal","abstract":"Runt-related transcription factor 1 (RUNX1) is a well-known master regulator of hematopoietic lineages but its mechanisms of action are still not fully understood. Here, we found that RUNX1 localizes on active chromatin together with Far Upstream Binding Protein 1 (FUBP1) in human B-cell precursor lymphoblasts, and that both factors interact in the same transcriptional regulatory complex. RUNX1 and FUBP1 chromatin localization identified c-KIT as a common target gene. We characterized two regulatory regions, at +700 bp and +30 kb within the first intron of c-KIT, bound by both RUNX1 and FUBP1, and that present active histone marks. Based on these regions, we proposed a novel FUBP1 FUSE-like DNA-binding sequence on the +30 kb enhancer. We demonstrated that FUBP1 and RUNX1 cooperate for the regulation of the expression of the oncogene c-KIT. Notably, upregulation of c-KIT expression by FUBP1 and RUNX1 promotes cell proliferation and renders cells more resistant to the c-KIT inhibitor imatinib mesylate, a common therapeutic drug. These results reveal a new mechanism of action of RUNX1 that implicates FUBP1, as a facilitator, to trigger transcriptional regulation of c-KIT and to regulate cell proliferation. Deregulation of this regulatory mechanism may explain some oncogenic function of RUNX1 and FUBP1.","container-title":"Nucleic Acids Research","DOI":"10.1093/nar/gky756","ISSN":"1362-4962","issue":"21","journalAbbreviation":"Nucleic Acids Res.","language":"eng","note":"PMID: 30500954\nPMCID: PMC6265458","page":"11214-11228","source":"PubMed","title":"Interplay between transcription regulators RUNX1 and FUBP1 activates an enhancer of the oncogene c-KIT and amplifies cell proliferation","volume":"46","author":[{"family":"Debaize","given":"Lydie"},{"family":"Jakobczyk","given":"Hélène"},{"family":"Avner","given":"Stéphane"},{"family":"Gaudichon","given":"Jérémie"},{"family":"Rio","given":"Anne-Gaëlle"},{"family":"Sérandour","given":"Aurélien A."},{"family":"Dorsheimer","given":"Lena"},{"family":"Chalmel","given":"Frédéric"},{"family":"Carroll","given":"Jason S."},{"family":"Zörnig","given":"Martin"},{"family":"Rieger","given":"Michael A."},{"family":"Delalande","given":"Olivier"},{"family":"Salbert","given":"Gilles"},{"family":"Galibert","given":"Marie-Dominique"},{"family":"Gandemer","given":"Virginie"},{"family":"Troadec","given":"Marie-Bérengère"}],"issued":{"date-parts":[["2018"]],"season":"30"}}}],"schema":"https://github.com/citation-style-language/schema/raw/master/csl-citation.json"} </w:instrText>
      </w:r>
      <w:r w:rsidR="005E5470" w:rsidRPr="000F5CF1">
        <w:rPr>
          <w:rFonts w:cs="Arial"/>
          <w:lang w:val="en-US"/>
        </w:rPr>
        <w:fldChar w:fldCharType="separate"/>
      </w:r>
      <w:r w:rsidR="005E5470" w:rsidRPr="000F5CF1">
        <w:rPr>
          <w:rFonts w:cs="Arial"/>
          <w:noProof/>
          <w:lang w:val="en-US"/>
        </w:rPr>
        <w:t>(3)</w:t>
      </w:r>
      <w:r w:rsidR="005E5470" w:rsidRPr="000F5CF1">
        <w:rPr>
          <w:rFonts w:cs="Arial"/>
          <w:lang w:val="en-US"/>
        </w:rPr>
        <w:fldChar w:fldCharType="end"/>
      </w:r>
      <w:r w:rsidR="00DB256B">
        <w:rPr>
          <w:rFonts w:cs="Arial"/>
          <w:lang w:val="en-US"/>
        </w:rPr>
        <w:t>. Approximately 1.10</w:t>
      </w:r>
      <w:r w:rsidR="00DB256B" w:rsidRPr="00DB256B">
        <w:rPr>
          <w:rFonts w:cs="Arial"/>
          <w:vertAlign w:val="superscript"/>
          <w:lang w:val="en-US"/>
        </w:rPr>
        <w:t>8</w:t>
      </w:r>
      <w:r w:rsidRPr="000F5CF1">
        <w:rPr>
          <w:rFonts w:cs="Arial"/>
          <w:lang w:val="en-US"/>
        </w:rPr>
        <w:t xml:space="preserve">of REH cells or blasts from BCP-ALL patient were fixed in 1% formaldehyde (648336, </w:t>
      </w:r>
      <w:proofErr w:type="spellStart"/>
      <w:r w:rsidRPr="000F5CF1">
        <w:rPr>
          <w:rFonts w:cs="Arial"/>
          <w:lang w:val="en-US"/>
        </w:rPr>
        <w:t>Polysciences</w:t>
      </w:r>
      <w:proofErr w:type="spellEnd"/>
      <w:r w:rsidRPr="000F5CF1">
        <w:rPr>
          <w:rFonts w:cs="Arial"/>
          <w:lang w:val="en-US"/>
        </w:rPr>
        <w:t xml:space="preserve">) for </w:t>
      </w:r>
      <w:proofErr w:type="spellStart"/>
      <w:r w:rsidRPr="000F5CF1">
        <w:rPr>
          <w:rFonts w:cs="Arial"/>
          <w:lang w:val="en-US"/>
        </w:rPr>
        <w:t>ChIP</w:t>
      </w:r>
      <w:proofErr w:type="spellEnd"/>
      <w:r w:rsidRPr="000F5CF1">
        <w:rPr>
          <w:rFonts w:cs="Arial"/>
          <w:lang w:val="en-US"/>
        </w:rPr>
        <w:t xml:space="preserve"> sequencing) at room temperature for 10 min and then quenched in 100 </w:t>
      </w:r>
      <w:proofErr w:type="spellStart"/>
      <w:r w:rsidRPr="000F5CF1">
        <w:rPr>
          <w:rFonts w:cs="Arial"/>
          <w:lang w:val="en-US"/>
        </w:rPr>
        <w:t>mM</w:t>
      </w:r>
      <w:proofErr w:type="spellEnd"/>
      <w:r w:rsidRPr="000F5CF1">
        <w:rPr>
          <w:rFonts w:cs="Arial"/>
          <w:lang w:val="en-US"/>
        </w:rPr>
        <w:t xml:space="preserve"> glycine for 1 min. Cells were washed twice in PBS and </w:t>
      </w:r>
      <w:r w:rsidR="0030241A" w:rsidRPr="000F5CF1">
        <w:rPr>
          <w:rFonts w:cs="Arial"/>
          <w:lang w:val="en-US"/>
        </w:rPr>
        <w:t xml:space="preserve">lysed 15 min in 50 </w:t>
      </w:r>
      <w:proofErr w:type="spellStart"/>
      <w:r w:rsidR="0030241A" w:rsidRPr="000F5CF1">
        <w:rPr>
          <w:rFonts w:cs="Arial"/>
          <w:lang w:val="en-US"/>
        </w:rPr>
        <w:t>mMTris-HCl</w:t>
      </w:r>
      <w:proofErr w:type="spellEnd"/>
      <w:r w:rsidR="0030241A" w:rsidRPr="000F5CF1">
        <w:rPr>
          <w:rFonts w:cs="Arial"/>
          <w:lang w:val="en-US"/>
        </w:rPr>
        <w:t xml:space="preserve"> pH </w:t>
      </w:r>
      <w:r w:rsidRPr="000F5CF1">
        <w:rPr>
          <w:rFonts w:cs="Arial"/>
          <w:lang w:val="en-US"/>
        </w:rPr>
        <w:t xml:space="preserve">8.1/10 </w:t>
      </w:r>
      <w:proofErr w:type="spellStart"/>
      <w:r w:rsidRPr="000F5CF1">
        <w:rPr>
          <w:rFonts w:cs="Arial"/>
          <w:lang w:val="en-US"/>
        </w:rPr>
        <w:t>mM</w:t>
      </w:r>
      <w:proofErr w:type="spellEnd"/>
      <w:r w:rsidRPr="000F5CF1">
        <w:rPr>
          <w:rFonts w:cs="Arial"/>
          <w:lang w:val="en-US"/>
        </w:rPr>
        <w:t xml:space="preserve"> EDTA/0.5% </w:t>
      </w:r>
      <w:proofErr w:type="spellStart"/>
      <w:r w:rsidRPr="000F5CF1">
        <w:rPr>
          <w:rFonts w:cs="Arial"/>
          <w:lang w:val="en-US"/>
        </w:rPr>
        <w:t>Empigen</w:t>
      </w:r>
      <w:proofErr w:type="spellEnd"/>
      <w:r w:rsidRPr="000F5CF1">
        <w:rPr>
          <w:rFonts w:cs="Arial"/>
          <w:lang w:val="en-US"/>
        </w:rPr>
        <w:t xml:space="preserve"> BB/1% SDS. Lysates were </w:t>
      </w:r>
      <w:proofErr w:type="spellStart"/>
      <w:r w:rsidRPr="000F5CF1">
        <w:rPr>
          <w:rFonts w:cs="Arial"/>
          <w:lang w:val="en-US"/>
        </w:rPr>
        <w:t>sonicated</w:t>
      </w:r>
      <w:proofErr w:type="spellEnd"/>
      <w:r w:rsidRPr="000F5CF1">
        <w:rPr>
          <w:rFonts w:cs="Arial"/>
          <w:lang w:val="en-US"/>
        </w:rPr>
        <w:t xml:space="preserve"> to shear DNA to lengths between 200 and 600 base pairs and spun at 10,000 g for 10 min at 4°C. The </w:t>
      </w:r>
      <w:proofErr w:type="spellStart"/>
      <w:r w:rsidRPr="000F5CF1">
        <w:rPr>
          <w:rFonts w:cs="Arial"/>
          <w:lang w:val="en-US"/>
        </w:rPr>
        <w:t>sonicated</w:t>
      </w:r>
      <w:proofErr w:type="spellEnd"/>
      <w:r w:rsidRPr="000F5CF1">
        <w:rPr>
          <w:rFonts w:cs="Arial"/>
          <w:lang w:val="en-US"/>
        </w:rPr>
        <w:t xml:space="preserve"> cell supernatants were diluted 6-fold in </w:t>
      </w:r>
      <w:proofErr w:type="spellStart"/>
      <w:r w:rsidRPr="000F5CF1">
        <w:rPr>
          <w:rFonts w:cs="Arial"/>
          <w:lang w:val="en-US"/>
        </w:rPr>
        <w:t>ChIP</w:t>
      </w:r>
      <w:proofErr w:type="spellEnd"/>
      <w:r w:rsidRPr="000F5CF1">
        <w:rPr>
          <w:rFonts w:cs="Arial"/>
          <w:lang w:val="en-US"/>
        </w:rPr>
        <w:t xml:space="preserve"> Dilution Buffer (20 </w:t>
      </w:r>
      <w:proofErr w:type="spellStart"/>
      <w:r w:rsidRPr="000F5CF1">
        <w:rPr>
          <w:rFonts w:cs="Arial"/>
          <w:lang w:val="en-US"/>
        </w:rPr>
        <w:t>mMtris-HCl</w:t>
      </w:r>
      <w:proofErr w:type="spellEnd"/>
      <w:r w:rsidRPr="000F5CF1">
        <w:rPr>
          <w:rFonts w:cs="Arial"/>
          <w:lang w:val="en-US"/>
        </w:rPr>
        <w:t xml:space="preserve"> pH 8.1/150 </w:t>
      </w:r>
      <w:proofErr w:type="spellStart"/>
      <w:r w:rsidRPr="000F5CF1">
        <w:rPr>
          <w:rFonts w:cs="Arial"/>
          <w:lang w:val="en-US"/>
        </w:rPr>
        <w:t>mMNaCl</w:t>
      </w:r>
      <w:proofErr w:type="spellEnd"/>
      <w:r w:rsidRPr="000F5CF1">
        <w:rPr>
          <w:rFonts w:cs="Arial"/>
          <w:lang w:val="en-US"/>
        </w:rPr>
        <w:t xml:space="preserve">/0.1% triton) and incubated </w:t>
      </w:r>
      <w:r w:rsidR="0030241A" w:rsidRPr="000F5CF1">
        <w:rPr>
          <w:rFonts w:cs="Arial"/>
          <w:lang w:val="en-US"/>
        </w:rPr>
        <w:t>with</w:t>
      </w:r>
      <w:r w:rsidRPr="000F5CF1">
        <w:rPr>
          <w:rFonts w:cs="Arial"/>
          <w:lang w:val="en-US"/>
        </w:rPr>
        <w:t xml:space="preserve"> 10 μg for </w:t>
      </w:r>
      <w:proofErr w:type="spellStart"/>
      <w:r w:rsidRPr="000F5CF1">
        <w:rPr>
          <w:rFonts w:cs="Arial"/>
          <w:lang w:val="en-US"/>
        </w:rPr>
        <w:t>ChIP</w:t>
      </w:r>
      <w:proofErr w:type="spellEnd"/>
      <w:r w:rsidRPr="000F5CF1">
        <w:rPr>
          <w:rFonts w:cs="Arial"/>
          <w:lang w:val="en-US"/>
        </w:rPr>
        <w:t xml:space="preserve"> sequencing for overnight at 4°C</w:t>
      </w:r>
      <w:r w:rsidR="0030241A" w:rsidRPr="000F5CF1">
        <w:rPr>
          <w:rFonts w:cs="Arial"/>
          <w:lang w:val="en-US"/>
        </w:rPr>
        <w:t xml:space="preserve"> (Table S2)</w:t>
      </w:r>
      <w:r w:rsidRPr="000F5CF1">
        <w:rPr>
          <w:rFonts w:cs="Arial"/>
          <w:lang w:val="en-US"/>
        </w:rPr>
        <w:t xml:space="preserve">. Then, 100 </w:t>
      </w:r>
      <w:proofErr w:type="spellStart"/>
      <w:r w:rsidRPr="000F5CF1">
        <w:rPr>
          <w:rFonts w:cs="Arial"/>
          <w:lang w:val="en-US"/>
        </w:rPr>
        <w:t>μl</w:t>
      </w:r>
      <w:proofErr w:type="spellEnd"/>
      <w:r w:rsidRPr="000F5CF1">
        <w:rPr>
          <w:rFonts w:cs="Arial"/>
          <w:lang w:val="en-US"/>
        </w:rPr>
        <w:t xml:space="preserve"> of magnetic bead protein G (10004D, Invitrogen) and yeast </w:t>
      </w:r>
      <w:proofErr w:type="spellStart"/>
      <w:r w:rsidRPr="000F5CF1">
        <w:rPr>
          <w:rFonts w:cs="Arial"/>
          <w:lang w:val="en-US"/>
        </w:rPr>
        <w:t>tRNA</w:t>
      </w:r>
      <w:proofErr w:type="spellEnd"/>
      <w:r w:rsidRPr="000F5CF1">
        <w:rPr>
          <w:rFonts w:cs="Arial"/>
          <w:lang w:val="en-US"/>
        </w:rPr>
        <w:t xml:space="preserve"> (R5636, Sigma Aldrich) were added to the lysate for 4 h </w:t>
      </w:r>
      <w:r w:rsidR="00DD4985" w:rsidRPr="000F5CF1">
        <w:rPr>
          <w:rFonts w:cs="Arial"/>
          <w:lang w:val="en-US"/>
        </w:rPr>
        <w:t>at</w:t>
      </w:r>
      <w:r w:rsidRPr="000F5CF1">
        <w:rPr>
          <w:rFonts w:cs="Arial"/>
          <w:lang w:val="en-US"/>
        </w:rPr>
        <w:t xml:space="preserve"> 4°C under agitation. After four washings, immunoprecipitated DNA was eluted with elution buffer containing 1% SDS and 0.1 M NaHCO</w:t>
      </w:r>
      <w:r w:rsidRPr="000F5CF1">
        <w:rPr>
          <w:rFonts w:cs="Arial"/>
          <w:vertAlign w:val="subscript"/>
          <w:lang w:val="en-US"/>
        </w:rPr>
        <w:t>3</w:t>
      </w:r>
      <w:r w:rsidRPr="00F577AB">
        <w:rPr>
          <w:rFonts w:cs="Arial"/>
          <w:lang w:val="en-US"/>
        </w:rPr>
        <w:t>. The protein–DNA crosslinks were reversed by heating at 65°C overnight, and chromatin was cleaned up using PCR purification kit (</w:t>
      </w:r>
      <w:proofErr w:type="spellStart"/>
      <w:r w:rsidRPr="00F577AB">
        <w:rPr>
          <w:rFonts w:cs="Arial"/>
          <w:lang w:val="en-US"/>
        </w:rPr>
        <w:t>Qiagen</w:t>
      </w:r>
      <w:proofErr w:type="spellEnd"/>
      <w:r w:rsidRPr="00F577AB">
        <w:rPr>
          <w:rFonts w:cs="Arial"/>
          <w:lang w:val="en-US"/>
        </w:rPr>
        <w:t xml:space="preserve">). For sequencing, DNA quality was assessed with the Agilent </w:t>
      </w:r>
      <w:proofErr w:type="spellStart"/>
      <w:r w:rsidRPr="00F577AB">
        <w:rPr>
          <w:rFonts w:cs="Arial"/>
          <w:lang w:val="en-US"/>
        </w:rPr>
        <w:t>Bioanalyzer</w:t>
      </w:r>
      <w:proofErr w:type="spellEnd"/>
      <w:r w:rsidRPr="00F577AB">
        <w:rPr>
          <w:rFonts w:cs="Arial"/>
          <w:lang w:val="en-US"/>
        </w:rPr>
        <w:t xml:space="preserve"> with a High Sensitivity Chip. ChIP-Seq libraries were generated using </w:t>
      </w:r>
      <w:proofErr w:type="spellStart"/>
      <w:r w:rsidRPr="00F577AB">
        <w:rPr>
          <w:rFonts w:cs="Arial"/>
          <w:lang w:val="en-US"/>
        </w:rPr>
        <w:t>TruSeq</w:t>
      </w:r>
      <w:proofErr w:type="spellEnd"/>
      <w:r w:rsidRPr="00F577AB">
        <w:rPr>
          <w:rFonts w:cs="Arial"/>
          <w:lang w:val="en-US"/>
        </w:rPr>
        <w:t xml:space="preserve">® </w:t>
      </w:r>
      <w:proofErr w:type="spellStart"/>
      <w:r w:rsidRPr="00F577AB">
        <w:rPr>
          <w:rFonts w:cs="Arial"/>
          <w:lang w:val="en-US"/>
        </w:rPr>
        <w:t>ChIP</w:t>
      </w:r>
      <w:proofErr w:type="spellEnd"/>
      <w:r w:rsidRPr="00F577AB">
        <w:rPr>
          <w:rFonts w:cs="Arial"/>
          <w:lang w:val="en-US"/>
        </w:rPr>
        <w:t xml:space="preserve"> Library Preparation Kit (</w:t>
      </w:r>
      <w:proofErr w:type="spellStart"/>
      <w:r w:rsidRPr="00F577AB">
        <w:rPr>
          <w:rFonts w:cs="Arial"/>
          <w:lang w:val="en-US"/>
        </w:rPr>
        <w:t>Illumina</w:t>
      </w:r>
      <w:proofErr w:type="spellEnd"/>
      <w:r w:rsidRPr="00F577AB">
        <w:rPr>
          <w:rFonts w:cs="Arial"/>
          <w:lang w:val="en-US"/>
        </w:rPr>
        <w:t>) according to the manufacturer’s protocol. High-throughput sequencing was conducted on a Genome Analyzer II (</w:t>
      </w:r>
      <w:proofErr w:type="spellStart"/>
      <w:r w:rsidRPr="00F577AB">
        <w:rPr>
          <w:rFonts w:cs="Arial"/>
          <w:lang w:val="en-US"/>
        </w:rPr>
        <w:t>Illumina</w:t>
      </w:r>
      <w:proofErr w:type="spellEnd"/>
      <w:r w:rsidRPr="00F577AB">
        <w:rPr>
          <w:rFonts w:cs="Arial"/>
          <w:lang w:val="en-US"/>
        </w:rPr>
        <w:t>, San Diego, CA) at the Human and Environmental Genomics' platform of Rennes (</w:t>
      </w:r>
      <w:proofErr w:type="spellStart"/>
      <w:r w:rsidRPr="00F577AB">
        <w:rPr>
          <w:rFonts w:cs="Arial"/>
          <w:lang w:val="en-US"/>
        </w:rPr>
        <w:t>Biogenouest</w:t>
      </w:r>
      <w:proofErr w:type="spellEnd"/>
      <w:r w:rsidR="0030241A">
        <w:rPr>
          <w:rFonts w:cs="Arial"/>
          <w:lang w:val="en-US"/>
        </w:rPr>
        <w:t xml:space="preserve"> </w:t>
      </w:r>
      <w:proofErr w:type="spellStart"/>
      <w:r w:rsidRPr="00F577AB">
        <w:rPr>
          <w:rFonts w:cs="Arial"/>
          <w:lang w:val="en-US"/>
        </w:rPr>
        <w:t>génomique</w:t>
      </w:r>
      <w:proofErr w:type="spellEnd"/>
      <w:r w:rsidRPr="00F577AB">
        <w:rPr>
          <w:rFonts w:cs="Arial"/>
          <w:lang w:val="en-US"/>
        </w:rPr>
        <w:t>, Rennes, France). ChIP-Seq reads were aligned to the reference human genome version GRCh37 (hg19) and peak calling were carried out. We performed ChIP-Seq of histones H3K4me1, H3K4me3 and H3K27ac in REH cells</w:t>
      </w:r>
      <w:r w:rsidR="00D57F8B">
        <w:rPr>
          <w:rFonts w:cs="Arial"/>
          <w:lang w:val="en-US"/>
        </w:rPr>
        <w:t xml:space="preserve"> and Nalm6</w:t>
      </w:r>
      <w:r w:rsidRPr="00F577AB">
        <w:rPr>
          <w:rFonts w:cs="Arial"/>
          <w:lang w:val="en-US"/>
        </w:rPr>
        <w:t xml:space="preserve">. We </w:t>
      </w:r>
      <w:r w:rsidR="0075505F">
        <w:rPr>
          <w:rFonts w:cs="Arial"/>
          <w:lang w:val="en-US"/>
        </w:rPr>
        <w:t>performed RUNX1 ChIP-Seq</w:t>
      </w:r>
      <w:r w:rsidR="002E3287">
        <w:rPr>
          <w:rFonts w:cs="Arial"/>
          <w:lang w:val="en-US"/>
        </w:rPr>
        <w:t>:</w:t>
      </w:r>
      <w:r w:rsidR="0030241A">
        <w:rPr>
          <w:rFonts w:cs="Arial"/>
          <w:lang w:val="en-US"/>
        </w:rPr>
        <w:t xml:space="preserve"> </w:t>
      </w:r>
      <w:r w:rsidR="002E3287">
        <w:rPr>
          <w:rFonts w:cs="Arial"/>
          <w:lang w:val="en-US"/>
        </w:rPr>
        <w:t xml:space="preserve">2 biological replicates for </w:t>
      </w:r>
      <w:r w:rsidRPr="00F577AB">
        <w:rPr>
          <w:rFonts w:cs="Arial"/>
          <w:lang w:val="en-US"/>
        </w:rPr>
        <w:t xml:space="preserve">REH cells, </w:t>
      </w:r>
      <w:r w:rsidR="002E3287">
        <w:rPr>
          <w:rFonts w:cs="Arial"/>
          <w:lang w:val="en-US"/>
        </w:rPr>
        <w:t>2 biological replicates for Nalm6</w:t>
      </w:r>
      <w:r w:rsidR="002E3287" w:rsidRPr="00F577AB">
        <w:rPr>
          <w:rFonts w:cs="Arial"/>
          <w:lang w:val="en-US"/>
        </w:rPr>
        <w:t xml:space="preserve"> cells</w:t>
      </w:r>
      <w:r w:rsidR="002E3287">
        <w:rPr>
          <w:rFonts w:cs="Arial"/>
          <w:lang w:val="en-US"/>
        </w:rPr>
        <w:t xml:space="preserve">, </w:t>
      </w:r>
      <w:r w:rsidRPr="00F577AB">
        <w:rPr>
          <w:rFonts w:cs="Arial"/>
          <w:lang w:val="en-US"/>
        </w:rPr>
        <w:t xml:space="preserve">3 with bone marrow leukemia cells isolated from three BCP-ALL patients. </w:t>
      </w:r>
      <w:r w:rsidR="002E3287">
        <w:rPr>
          <w:rFonts w:cs="Arial"/>
          <w:lang w:val="en-US"/>
        </w:rPr>
        <w:t>CBFA2T3 ChIP-Seq was also performed in REH and Nalm6 Cells.</w:t>
      </w:r>
      <w:r w:rsidR="00B3563B">
        <w:rPr>
          <w:rFonts w:cs="Arial"/>
          <w:lang w:val="en-US"/>
        </w:rPr>
        <w:t xml:space="preserve"> We run </w:t>
      </w:r>
      <w:r w:rsidR="00B3563B">
        <w:rPr>
          <w:color w:val="000000"/>
        </w:rPr>
        <w:t xml:space="preserve">the Analysis of Motif Enrichment of the MEME suite </w:t>
      </w:r>
      <w:r w:rsidR="0030241A">
        <w:rPr>
          <w:color w:val="000000"/>
        </w:rPr>
        <w:t>version 5.1.1</w:t>
      </w:r>
      <w:r w:rsidR="005E5470">
        <w:rPr>
          <w:color w:val="000000"/>
        </w:rPr>
        <w:fldChar w:fldCharType="begin"/>
      </w:r>
      <w:r w:rsidR="005E5470">
        <w:rPr>
          <w:color w:val="000000"/>
        </w:rPr>
        <w:instrText xml:space="preserve"> ADDIN ZOTERO_ITEM CSL_CITATION {"citationID":"4lb2pfUS","properties":{"formattedCitation":"(5)","plainCitation":"(5)","noteIndex":0},"citationItems":[{"id":5704,"uris":["http://zotero.org/users/1678153/items/AIJ4LXJ4"],"uri":["http://zotero.org/users/1678153/items/AIJ4LXJ4"],"itemData":{"id":5704,"type":"article-journal","abstract":"BACKGROUND: A major goal of molecular biology is determining the mechanisms that control the transcription of genes. Motif Enrichment Analysis (MEA) seeks to determine which DNA-binding transcription factors control the transcription of a set of genes by detecting enrichment of known binding motifs in the genes' regulatory regions. Typically, the biologist specifies a set of genes believed to be co-regulated and a library of known DNA-binding models for transcription factors, and MEA determines which (if any) of the factors may be direct regulators of the genes. Since the number of factors with known DNA-binding models is rapidly increasing as a result of high-throughput technologies, MEA is becoming increasingly useful. In this paper, we explore ways to make MEA applicable in more settings, and evaluate the efficacy of a number of MEA approaches.\nRESULTS: We first define a mathematical framework for Motif Enrichment Analysis that relaxes the requirement that the biologist input a selected set of genes. Instead, the input consists of all regulatory regions, each labeled with the level of a biological signal. We then define and implement a number of motif enrichment analysis methods. Some of these methods require a user-specified signal threshold, some identify an optimum threshold in a data-driven way and two of our methods are threshold-free. We evaluate these methods, along with two existing methods (Clover and PASTAA), using yeast ChIP-chip data. Our novel threshold-free method based on linear regression performs best in our evaluation, followed by the data-driven PASTAA algorithm. The Clover algorithm performs as well as PASTAA if the user-specified threshold is chosen optimally. Data-driven methods based on three statistical tests-Fisher Exact Test, rank-sum test, and multi-hypergeometric test--perform poorly, even when the threshold is chosen optimally. These methods (and Clover) perform even worse when unrestricted data-driven threshold determination is used.\nCONCLUSIONS: Our novel, threshold-free linear regression method works well on ChIP-chip data. Methods using data-driven threshold determination can perform poorly unless the range of thresholds is limited a priori. The limits implemented in PASTAA, however, appear to be well-chosen. Our novel algorithms--AME (Analysis of Motif Enrichment)-are available at http://bioinformatics.org.au/ame/.","container-title":"BMC bioinformatics","DOI":"10.1186/1471-2105-11-165","ISSN":"1471-2105","journalAbbreviation":"BMC Bioinformatics","language":"eng","note":"PMID: 20356413\nPMCID: PMC2868005","page":"165","source":"PubMed","title":"Motif Enrichment Analysis: a unified framework and an evaluation on ChIP data","title-short":"Motif Enrichment Analysis","volume":"11","author":[{"family":"McLeay","given":"Robert C."},{"family":"Bailey","given":"Timothy L."}],"issued":{"date-parts":[["2010",4,1]]}}}],"schema":"https://github.com/citation-style-language/schema/raw/master/csl-citation.json"} </w:instrText>
      </w:r>
      <w:r w:rsidR="005E5470">
        <w:rPr>
          <w:color w:val="000000"/>
        </w:rPr>
        <w:fldChar w:fldCharType="separate"/>
      </w:r>
      <w:r w:rsidR="005E5470">
        <w:rPr>
          <w:noProof/>
          <w:color w:val="000000"/>
        </w:rPr>
        <w:t>(5)</w:t>
      </w:r>
      <w:r w:rsidR="005E5470">
        <w:rPr>
          <w:color w:val="000000"/>
        </w:rPr>
        <w:fldChar w:fldCharType="end"/>
      </w:r>
      <w:r w:rsidR="00B3563B">
        <w:rPr>
          <w:color w:val="000000"/>
        </w:rPr>
        <w:t>.</w:t>
      </w:r>
    </w:p>
    <w:p w14:paraId="50167527" w14:textId="6165ABF7" w:rsidR="0075505F" w:rsidRDefault="0072761D" w:rsidP="0075505F">
      <w:pPr>
        <w:jc w:val="both"/>
        <w:rPr>
          <w:rFonts w:cs="Arial"/>
          <w:b/>
          <w:bCs/>
          <w:lang w:val="en-US"/>
        </w:rPr>
      </w:pPr>
      <w:r w:rsidRPr="00F577AB">
        <w:rPr>
          <w:rFonts w:cs="Calibri"/>
          <w:lang w:val="en-US"/>
        </w:rPr>
        <w:t xml:space="preserve">ChIP-Seq data were acquired by </w:t>
      </w:r>
      <w:proofErr w:type="spellStart"/>
      <w:r w:rsidRPr="00F577AB">
        <w:rPr>
          <w:rFonts w:cs="Calibri"/>
          <w:lang w:val="en-US"/>
        </w:rPr>
        <w:t>Illumina</w:t>
      </w:r>
      <w:proofErr w:type="spellEnd"/>
      <w:r w:rsidRPr="00F577AB">
        <w:rPr>
          <w:rFonts w:cs="Calibri"/>
          <w:lang w:val="en-US"/>
        </w:rPr>
        <w:t xml:space="preserve"> sequencing and visualized with Integrated Genome Browser 9.0.0</w:t>
      </w:r>
      <w:r w:rsidRPr="00F577AB">
        <w:rPr>
          <w:rFonts w:cs="Calibri"/>
          <w:lang w:val="en-US"/>
        </w:rPr>
        <w:fldChar w:fldCharType="begin"/>
      </w:r>
      <w:r w:rsidR="005E5470">
        <w:rPr>
          <w:rFonts w:cs="Calibri"/>
          <w:lang w:val="en-US"/>
        </w:rPr>
        <w:instrText xml:space="preserve"> ADDIN ZOTERO_ITEM CSL_CITATION {"citationID":"BTKZHsGd","properties":{"formattedCitation":"(6)","plainCitation":"(6)","noteIndex":0},"citationItems":[{"id":4674,"uris":["http://zotero.org/groups/1672849/items/FPH9RCP2"],"uri":["http://zotero.org/groups/1672849/items/FPH9RCP2"],"itemData":{"id":4674,"type":"article-journal","abstract":"Experimental techniques that survey an entire genome demand flexible, highly interactive visualization tools that can display new data alongside foundation datasets, such as reference gene annotations. The Integrated Genome Browser (IGB) aims to meet this need. IGB is an open source, desktop graphical display tool implemented in Java that supports real-time zooming and panning through a genome; layout of genomic features and datasets in moveable, adjustable tiers; incremental or genome-scale data loading from remote web servers or local files; and dynamic manipulation of quantitative data via genome graphs.\nAVAILABILITY: The application and source code are available from http://igb.bioviz.org and http://genoviz.sourceforge.net.","container-title":"Bioinformatics (Oxford, England)","DOI":"10.1093/bioinformatics/btp472","ISSN":"1367-4811","issue":"20","journalAbbreviation":"Bioinformatics","language":"eng","note":"PMID: 19654113\nPMCID: PMC2759552","page":"2730-2731","source":"PubMed","title":"The Integrated Genome Browser: free software for distribution and exploration of genome-scale datasets","title-short":"The Integrated Genome Browser","volume":"25","author":[{"family":"Nicol","given":"John W."},{"family":"Helt","given":"Gregg A."},{"family":"Blanchard","given":"Steven G."},{"family":"Raja","given":"Archana"},{"family":"Loraine","given":"Ann E."}],"issued":{"date-parts":[["2009",10,15]]}}}],"schema":"https://github.com/citation-style-language/schema/raw/master/csl-citation.json"} </w:instrText>
      </w:r>
      <w:r w:rsidRPr="00F577AB">
        <w:rPr>
          <w:rFonts w:cs="Calibri"/>
          <w:lang w:val="en-US"/>
        </w:rPr>
        <w:fldChar w:fldCharType="separate"/>
      </w:r>
      <w:r w:rsidR="005E5470">
        <w:rPr>
          <w:lang w:val="en-US"/>
        </w:rPr>
        <w:t>(6)</w:t>
      </w:r>
      <w:r w:rsidRPr="00F577AB">
        <w:rPr>
          <w:rFonts w:cs="Calibri"/>
          <w:lang w:val="en-US"/>
        </w:rPr>
        <w:fldChar w:fldCharType="end"/>
      </w:r>
      <w:r w:rsidRPr="00F577AB">
        <w:rPr>
          <w:rFonts w:cs="Calibri"/>
          <w:lang w:val="en-US"/>
        </w:rPr>
        <w:t>.</w:t>
      </w:r>
      <w:r w:rsidR="0075505F" w:rsidRPr="0075505F">
        <w:rPr>
          <w:rFonts w:cs="Times New Roman"/>
          <w:color w:val="000000"/>
          <w:lang w:val="en-US"/>
        </w:rPr>
        <w:t xml:space="preserve"> </w:t>
      </w:r>
      <w:r w:rsidR="0075505F" w:rsidRPr="001C7CBB">
        <w:rPr>
          <w:rFonts w:cs="Times New Roman"/>
          <w:lang w:val="en-US"/>
        </w:rPr>
        <w:t xml:space="preserve">All sequencing data are available at </w:t>
      </w:r>
      <w:r w:rsidR="0075505F" w:rsidRPr="001C7CBB">
        <w:rPr>
          <w:rFonts w:eastAsia="Times New Roman" w:cs="Times New Roman"/>
        </w:rPr>
        <w:t>NCBI's Gene Expression Omnibus (GEO)</w:t>
      </w:r>
      <w:r w:rsidR="0075505F" w:rsidRPr="001C7CBB">
        <w:rPr>
          <w:rFonts w:cs="Times New Roman"/>
          <w:lang w:val="en-US"/>
        </w:rPr>
        <w:t xml:space="preserve"> (</w:t>
      </w:r>
      <w:r w:rsidR="0075505F" w:rsidRPr="001C7CBB">
        <w:rPr>
          <w:rFonts w:cs="Times New Roman"/>
        </w:rPr>
        <w:t xml:space="preserve">https://www.ncbi.nlm.nih.gov/geo/query) </w:t>
      </w:r>
      <w:r w:rsidR="0075505F" w:rsidRPr="001C7CBB">
        <w:rPr>
          <w:rFonts w:eastAsia="Times New Roman" w:cs="Times New Roman"/>
        </w:rPr>
        <w:t>through GEO Series accession number</w:t>
      </w:r>
      <w:r w:rsidR="0075505F" w:rsidRPr="001C7CBB">
        <w:rPr>
          <w:rFonts w:cs="Times New Roman"/>
          <w:bCs/>
          <w:iCs/>
          <w:lang w:val="en-US"/>
        </w:rPr>
        <w:t xml:space="preserve"> </w:t>
      </w:r>
      <w:r w:rsidR="0075505F" w:rsidRPr="001C7CBB">
        <w:rPr>
          <w:rFonts w:cs="Times New Roman"/>
          <w:lang w:val="en-US"/>
        </w:rPr>
        <w:t>GSE109377</w:t>
      </w:r>
      <w:r w:rsidR="0075505F" w:rsidRPr="001C7CBB">
        <w:rPr>
          <w:rFonts w:cs="Times New Roman"/>
        </w:rPr>
        <w:t xml:space="preserve"> </w:t>
      </w:r>
      <w:r w:rsidR="0075505F" w:rsidRPr="001C7CBB">
        <w:rPr>
          <w:rFonts w:cs="Times New Roman"/>
          <w:bCs/>
          <w:iCs/>
          <w:lang w:val="en-US"/>
        </w:rPr>
        <w:t xml:space="preserve">for </w:t>
      </w:r>
      <w:r w:rsidR="002E3287">
        <w:rPr>
          <w:rFonts w:cs="Times New Roman"/>
          <w:bCs/>
          <w:iCs/>
          <w:lang w:val="en-US"/>
        </w:rPr>
        <w:t xml:space="preserve">RUNX1 </w:t>
      </w:r>
      <w:r w:rsidR="005E5470">
        <w:rPr>
          <w:rFonts w:cs="Times New Roman"/>
          <w:bCs/>
          <w:iCs/>
          <w:lang w:val="en-US"/>
        </w:rPr>
        <w:t>Nalm6 and patients</w:t>
      </w:r>
      <w:r w:rsidR="005E5470">
        <w:rPr>
          <w:rFonts w:cs="Times New Roman"/>
          <w:bCs/>
          <w:iCs/>
          <w:lang w:val="en-US"/>
        </w:rPr>
        <w:fldChar w:fldCharType="begin"/>
      </w:r>
      <w:r w:rsidR="005E5470">
        <w:rPr>
          <w:rFonts w:cs="Times New Roman"/>
          <w:bCs/>
          <w:iCs/>
          <w:lang w:val="en-US"/>
        </w:rPr>
        <w:instrText xml:space="preserve"> ADDIN ZOTERO_ITEM CSL_CITATION {"citationID":"XyI8gXWz","properties":{"formattedCitation":"(3)","plainCitation":"(3)","noteIndex":0},"citationItems":[{"id":5407,"uris":["http://zotero.org/users/1678153/items/39K63XBN"],"uri":["http://zotero.org/users/1678153/items/39K63XBN"],"itemData":{"id":5407,"type":"article-journal","abstract":"Runt-related transcription factor 1 (RUNX1) is a well-known master regulator of hematopoietic lineages but its mechanisms of action are still not fully understood. Here, we found that RUNX1 localizes on active chromatin together with Far Upstream Binding Protein 1 (FUBP1) in human B-cell precursor lymphoblasts, and that both factors interact in the same transcriptional regulatory complex. RUNX1 and FUBP1 chromatin localization identified c-KIT as a common target gene. We characterized two regulatory regions, at +700 bp and +30 kb within the first intron of c-KIT, bound by both RUNX1 and FUBP1, and that present active histone marks. Based on these regions, we proposed a novel FUBP1 FUSE-like DNA-binding sequence on the +30 kb enhancer. We demonstrated that FUBP1 and RUNX1 cooperate for the regulation of the expression of the oncogene c-KIT. Notably, upregulation of c-KIT expression by FUBP1 and RUNX1 promotes cell proliferation and renders cells more resistant to the c-KIT inhibitor imatinib mesylate, a common therapeutic drug. These results reveal a new mechanism of action of RUNX1 that implicates FUBP1, as a facilitator, to trigger transcriptional regulation of c-KIT and to regulate cell proliferation. Deregulation of this regulatory mechanism may explain some oncogenic function of RUNX1 and FUBP1.","container-title":"Nucleic Acids Research","DOI":"10.1093/nar/gky756","ISSN":"1362-4962","issue":"21","journalAbbreviation":"Nucleic Acids Res.","language":"eng","note":"PMID: 30500954\nPMCID: PMC6265458","page":"11214-11228","source":"PubMed","title":"Interplay between transcription regulators RUNX1 and FUBP1 activates an enhancer of the oncogene c-KIT and amplifies cell proliferation","volume":"46","author":[{"family":"Debaize","given":"Lydie"},{"family":"Jakobczyk","given":"Hélène"},{"family":"Avner","given":"Stéphane"},{"family":"Gaudichon","given":"Jérémie"},{"family":"Rio","given":"Anne-Gaëlle"},{"family":"Sérandour","given":"Aurélien A."},{"family":"Dorsheimer","given":"Lena"},{"family":"Chalmel","given":"Frédéric"},{"family":"Carroll","given":"Jason S."},{"family":"Zörnig","given":"Martin"},{"family":"Rieger","given":"Michael A."},{"family":"Delalande","given":"Olivier"},{"family":"Salbert","given":"Gilles"},{"family":"Galibert","given":"Marie-Dominique"},{"family":"Gandemer","given":"Virginie"},{"family":"Troadec","given":"Marie-Bérengère"}],"issued":{"date-parts":[["2018"]],"season":"30"}}}],"schema":"https://github.com/citation-style-language/schema/raw/master/csl-citation.json"} </w:instrText>
      </w:r>
      <w:r w:rsidR="005E5470">
        <w:rPr>
          <w:rFonts w:cs="Times New Roman"/>
          <w:bCs/>
          <w:iCs/>
          <w:lang w:val="en-US"/>
        </w:rPr>
        <w:fldChar w:fldCharType="separate"/>
      </w:r>
      <w:r w:rsidR="005E5470">
        <w:rPr>
          <w:rFonts w:cs="Times New Roman"/>
          <w:bCs/>
          <w:iCs/>
          <w:noProof/>
          <w:lang w:val="en-US"/>
        </w:rPr>
        <w:t>(3)</w:t>
      </w:r>
      <w:r w:rsidR="005E5470">
        <w:rPr>
          <w:rFonts w:cs="Times New Roman"/>
          <w:bCs/>
          <w:iCs/>
          <w:lang w:val="en-US"/>
        </w:rPr>
        <w:fldChar w:fldCharType="end"/>
      </w:r>
      <w:r w:rsidR="0075505F" w:rsidRPr="001C7CBB">
        <w:rPr>
          <w:rFonts w:cs="Times New Roman"/>
          <w:bCs/>
          <w:iCs/>
          <w:lang w:val="en-US"/>
        </w:rPr>
        <w:t xml:space="preserve">, and </w:t>
      </w:r>
      <w:r w:rsidR="0075505F" w:rsidRPr="001C7CBB">
        <w:rPr>
          <w:rFonts w:eastAsia="Times New Roman" w:cs="Times New Roman"/>
        </w:rPr>
        <w:t xml:space="preserve">GSE117684 </w:t>
      </w:r>
      <w:r w:rsidR="0075505F" w:rsidRPr="001C7CBB">
        <w:rPr>
          <w:rFonts w:cs="Times New Roman"/>
          <w:bCs/>
          <w:iCs/>
          <w:lang w:val="en-US"/>
        </w:rPr>
        <w:t xml:space="preserve">for </w:t>
      </w:r>
      <w:r w:rsidR="004C4FFA">
        <w:rPr>
          <w:rFonts w:cs="Times New Roman"/>
          <w:bCs/>
          <w:iCs/>
          <w:lang w:val="en-US"/>
        </w:rPr>
        <w:t>the other</w:t>
      </w:r>
      <w:r w:rsidR="002E3287">
        <w:rPr>
          <w:rFonts w:cs="Times New Roman"/>
          <w:bCs/>
          <w:iCs/>
          <w:lang w:val="en-US"/>
        </w:rPr>
        <w:t xml:space="preserve"> data</w:t>
      </w:r>
      <w:r w:rsidR="004C4FFA">
        <w:rPr>
          <w:rFonts w:cs="Times New Roman"/>
          <w:bCs/>
          <w:iCs/>
          <w:lang w:val="en-US"/>
        </w:rPr>
        <w:t>.</w:t>
      </w:r>
    </w:p>
    <w:p w14:paraId="651352EB" w14:textId="77777777" w:rsidR="00053B77" w:rsidRDefault="00053B77" w:rsidP="00053B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cs="Times New Roman"/>
          <w:b/>
          <w:bCs/>
          <w:color w:val="000000"/>
          <w:lang w:val="en-US"/>
        </w:rPr>
      </w:pPr>
    </w:p>
    <w:p w14:paraId="4041D52C" w14:textId="67C9DBE1" w:rsidR="00053B77" w:rsidRPr="00AE37F7" w:rsidRDefault="00053B77" w:rsidP="00AE37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both"/>
        <w:rPr>
          <w:rFonts w:cs="Times New Roman"/>
          <w:b/>
          <w:bCs/>
          <w:color w:val="FF0000"/>
          <w:lang w:val="en-US"/>
        </w:rPr>
      </w:pPr>
      <w:r w:rsidRPr="00AE37F7">
        <w:rPr>
          <w:rFonts w:cs="Times New Roman"/>
          <w:b/>
          <w:bCs/>
          <w:color w:val="FF0000"/>
          <w:lang w:val="en-US"/>
        </w:rPr>
        <w:t>Chromatin immunoprecipitation - PCR (</w:t>
      </w:r>
      <w:proofErr w:type="spellStart"/>
      <w:r w:rsidRPr="00AE37F7">
        <w:rPr>
          <w:rFonts w:cs="Times New Roman"/>
          <w:b/>
          <w:bCs/>
          <w:color w:val="FF0000"/>
          <w:lang w:val="en-US"/>
        </w:rPr>
        <w:t>ChIP</w:t>
      </w:r>
      <w:proofErr w:type="spellEnd"/>
      <w:r w:rsidRPr="00AE37F7">
        <w:rPr>
          <w:rFonts w:cs="Times New Roman"/>
          <w:b/>
          <w:bCs/>
          <w:color w:val="FF0000"/>
          <w:lang w:val="en-US"/>
        </w:rPr>
        <w:t xml:space="preserve">-PCR) </w:t>
      </w:r>
    </w:p>
    <w:p w14:paraId="5F50A7C8" w14:textId="3C24DB41" w:rsidR="00AE37F7" w:rsidRPr="00AE37F7" w:rsidRDefault="00AE37F7" w:rsidP="00AE37F7">
      <w:pPr>
        <w:jc w:val="both"/>
        <w:rPr>
          <w:color w:val="FF0000"/>
        </w:rPr>
      </w:pPr>
      <w:r w:rsidRPr="009D33D6">
        <w:rPr>
          <w:color w:val="FF0000"/>
        </w:rPr>
        <w:t>CHIP was performed according to the manufacturer’s instructions (</w:t>
      </w:r>
      <w:proofErr w:type="spellStart"/>
      <w:r w:rsidRPr="009D33D6">
        <w:rPr>
          <w:color w:val="FF0000"/>
        </w:rPr>
        <w:t>SimpleChIP</w:t>
      </w:r>
      <w:proofErr w:type="spellEnd"/>
      <w:r w:rsidRPr="009D33D6">
        <w:rPr>
          <w:color w:val="FF0000"/>
        </w:rPr>
        <w:t>® Enzymatic Chromatin IP Kit (</w:t>
      </w:r>
      <w:proofErr w:type="spellStart"/>
      <w:r w:rsidRPr="009D33D6">
        <w:rPr>
          <w:color w:val="FF0000"/>
        </w:rPr>
        <w:t>Agarose</w:t>
      </w:r>
      <w:proofErr w:type="spellEnd"/>
      <w:r w:rsidRPr="009D33D6">
        <w:rPr>
          <w:color w:val="FF0000"/>
        </w:rPr>
        <w:t xml:space="preserve"> Beads), Cell </w:t>
      </w:r>
      <w:proofErr w:type="spellStart"/>
      <w:r w:rsidRPr="009D33D6">
        <w:rPr>
          <w:color w:val="FF0000"/>
        </w:rPr>
        <w:t>signaling</w:t>
      </w:r>
      <w:proofErr w:type="spellEnd"/>
      <w:r w:rsidRPr="009D33D6">
        <w:rPr>
          <w:color w:val="FF0000"/>
        </w:rPr>
        <w:t xml:space="preserve">, #9002S). </w:t>
      </w:r>
      <w:r w:rsidR="009D33D6" w:rsidRPr="009D33D6">
        <w:rPr>
          <w:rFonts w:eastAsia="宋体" w:cs="Arial"/>
          <w:bCs/>
          <w:color w:val="FF0000"/>
          <w:lang w:val="en-US" w:eastAsia="zh-CN"/>
        </w:rPr>
        <w:t>Approximately</w:t>
      </w:r>
      <w:r w:rsidR="009D33D6" w:rsidRPr="009D33D6">
        <w:rPr>
          <w:rFonts w:cs="Arial"/>
          <w:bCs/>
          <w:color w:val="FF0000"/>
          <w:lang w:val="en-US"/>
        </w:rPr>
        <w:t xml:space="preserve"> 4</w:t>
      </w:r>
      <m:oMath>
        <m:r>
          <w:rPr>
            <w:rFonts w:ascii="Cambria Math" w:hAnsi="Cambria Math" w:cs="Arial"/>
            <w:color w:val="FF0000"/>
            <w:lang w:val="en-US"/>
          </w:rPr>
          <m:t>×</m:t>
        </m:r>
      </m:oMath>
      <w:r w:rsidR="009D33D6" w:rsidRPr="009D33D6">
        <w:rPr>
          <w:rFonts w:eastAsia="宋体" w:cs="Arial"/>
          <w:bCs/>
          <w:color w:val="FF0000"/>
          <w:lang w:val="en-US" w:eastAsia="zh-CN"/>
        </w:rPr>
        <w:t>10</w:t>
      </w:r>
      <w:r w:rsidR="009D33D6" w:rsidRPr="009D33D6">
        <w:rPr>
          <w:rFonts w:eastAsia="宋体" w:cs="Arial"/>
          <w:bCs/>
          <w:color w:val="FF0000"/>
          <w:vertAlign w:val="superscript"/>
          <w:lang w:val="en-US" w:eastAsia="zh-CN"/>
        </w:rPr>
        <w:t>6</w:t>
      </w:r>
      <w:r w:rsidR="009D33D6" w:rsidRPr="009D33D6">
        <w:rPr>
          <w:rFonts w:eastAsia="宋体" w:cs="Arial"/>
          <w:bCs/>
          <w:color w:val="FF0000"/>
          <w:lang w:val="en-US" w:eastAsia="zh-CN"/>
        </w:rPr>
        <w:t xml:space="preserve"> </w:t>
      </w:r>
      <w:r w:rsidR="009D33D6" w:rsidRPr="009D33D6">
        <w:rPr>
          <w:rFonts w:cs="Arial"/>
          <w:color w:val="FF0000"/>
          <w:lang w:val="en-US"/>
        </w:rPr>
        <w:t xml:space="preserve">of </w:t>
      </w:r>
      <w:r w:rsidRPr="009D33D6">
        <w:rPr>
          <w:color w:val="FF0000"/>
        </w:rPr>
        <w:t>Nalm6 and REH</w:t>
      </w:r>
      <w:r w:rsidR="009D33D6" w:rsidRPr="009D33D6">
        <w:rPr>
          <w:rFonts w:eastAsia="宋体" w:cs="Arial"/>
          <w:bCs/>
          <w:color w:val="FF0000"/>
          <w:lang w:val="en-US" w:eastAsia="zh-CN"/>
        </w:rPr>
        <w:t xml:space="preserve"> cells</w:t>
      </w:r>
      <w:r w:rsidRPr="009D33D6">
        <w:rPr>
          <w:color w:val="FF0000"/>
        </w:rPr>
        <w:t xml:space="preserve"> were cross-linked in 1% formaldehyde. Cells were digested by </w:t>
      </w:r>
      <w:proofErr w:type="spellStart"/>
      <w:r w:rsidRPr="009D33D6">
        <w:rPr>
          <w:color w:val="FF0000"/>
        </w:rPr>
        <w:t>micrococcal</w:t>
      </w:r>
      <w:proofErr w:type="spellEnd"/>
      <w:r w:rsidRPr="009D33D6">
        <w:rPr>
          <w:color w:val="FF0000"/>
        </w:rPr>
        <w:t xml:space="preserve"> nuclease, then the nuclear pellet was suspended in chromatin immunoprecipitation (</w:t>
      </w:r>
      <w:proofErr w:type="spellStart"/>
      <w:r w:rsidRPr="009D33D6">
        <w:rPr>
          <w:color w:val="FF0000"/>
        </w:rPr>
        <w:t>ChIP</w:t>
      </w:r>
      <w:proofErr w:type="spellEnd"/>
      <w:r w:rsidRPr="009D33D6">
        <w:rPr>
          <w:color w:val="FF0000"/>
        </w:rPr>
        <w:t>) buffer and sheared</w:t>
      </w:r>
      <w:r w:rsidRPr="00AE37F7">
        <w:rPr>
          <w:color w:val="FF0000"/>
        </w:rPr>
        <w:t xml:space="preserve"> to a 150-900bp fragment size using the </w:t>
      </w:r>
      <w:proofErr w:type="spellStart"/>
      <w:r w:rsidRPr="00AE37F7">
        <w:rPr>
          <w:color w:val="FF0000"/>
        </w:rPr>
        <w:t>Covaris</w:t>
      </w:r>
      <w:proofErr w:type="spellEnd"/>
      <w:r w:rsidRPr="00AE37F7">
        <w:rPr>
          <w:color w:val="FF0000"/>
        </w:rPr>
        <w:t xml:space="preserve"> M200 </w:t>
      </w:r>
      <w:proofErr w:type="spellStart"/>
      <w:r w:rsidRPr="00AE37F7">
        <w:rPr>
          <w:color w:val="FF0000"/>
        </w:rPr>
        <w:t>sonicator</w:t>
      </w:r>
      <w:proofErr w:type="spellEnd"/>
      <w:r w:rsidRPr="00AE37F7">
        <w:rPr>
          <w:color w:val="FF0000"/>
        </w:rPr>
        <w:t xml:space="preserve"> with Duty Factor 5.0 and a total treatment time 16min (8 min followed by 1min incubation in ice and 8 min again). The sheared chromatin was incubated with antibodies against RUNX1 (ab23980), </w:t>
      </w:r>
      <w:r>
        <w:rPr>
          <w:color w:val="FF0000"/>
        </w:rPr>
        <w:t xml:space="preserve">CBFA2T3 </w:t>
      </w:r>
      <w:r w:rsidR="00690227">
        <w:rPr>
          <w:color w:val="FF0000"/>
        </w:rPr>
        <w:t xml:space="preserve">(ab234985), </w:t>
      </w:r>
      <w:r w:rsidRPr="00AE37F7">
        <w:rPr>
          <w:color w:val="FF0000"/>
        </w:rPr>
        <w:t xml:space="preserve">or normal rabbit </w:t>
      </w:r>
      <w:proofErr w:type="spellStart"/>
      <w:r w:rsidRPr="00AE37F7">
        <w:rPr>
          <w:color w:val="FF0000"/>
        </w:rPr>
        <w:t>IgG</w:t>
      </w:r>
      <w:proofErr w:type="spellEnd"/>
      <w:r w:rsidRPr="00AE37F7">
        <w:rPr>
          <w:color w:val="FF0000"/>
        </w:rPr>
        <w:t xml:space="preserve"> (Cell </w:t>
      </w:r>
      <w:proofErr w:type="spellStart"/>
      <w:r w:rsidRPr="00AE37F7">
        <w:rPr>
          <w:color w:val="FF0000"/>
        </w:rPr>
        <w:t>Signaling</w:t>
      </w:r>
      <w:proofErr w:type="spellEnd"/>
      <w:r w:rsidRPr="00AE37F7">
        <w:rPr>
          <w:color w:val="FF0000"/>
        </w:rPr>
        <w:t>)</w:t>
      </w:r>
      <w:r>
        <w:rPr>
          <w:color w:val="FF0000"/>
        </w:rPr>
        <w:t xml:space="preserve"> </w:t>
      </w:r>
      <w:r w:rsidRPr="00AE37F7">
        <w:rPr>
          <w:b/>
          <w:color w:val="FF0000"/>
        </w:rPr>
        <w:t>(Table S2)</w:t>
      </w:r>
      <w:r w:rsidRPr="00AE37F7">
        <w:rPr>
          <w:color w:val="FF0000"/>
        </w:rPr>
        <w:t xml:space="preserve">. DNA was purified and </w:t>
      </w:r>
      <w:proofErr w:type="spellStart"/>
      <w:r>
        <w:rPr>
          <w:color w:val="FF0000"/>
        </w:rPr>
        <w:t>q</w:t>
      </w:r>
      <w:r w:rsidRPr="00AE37F7">
        <w:rPr>
          <w:color w:val="FF0000"/>
        </w:rPr>
        <w:t>PCR</w:t>
      </w:r>
      <w:proofErr w:type="spellEnd"/>
      <w:r w:rsidRPr="00AE37F7">
        <w:rPr>
          <w:color w:val="FF0000"/>
        </w:rPr>
        <w:t xml:space="preserve"> was done using </w:t>
      </w:r>
      <w:proofErr w:type="spellStart"/>
      <w:r w:rsidRPr="00AE37F7">
        <w:rPr>
          <w:color w:val="FF0000"/>
        </w:rPr>
        <w:t>SYBRgreen</w:t>
      </w:r>
      <w:proofErr w:type="spellEnd"/>
      <w:r w:rsidRPr="00AE37F7">
        <w:rPr>
          <w:color w:val="FF0000"/>
        </w:rPr>
        <w:t xml:space="preserve"> reagent (Thermo Fisher Scientific). Primers used were as follows: human </w:t>
      </w:r>
      <w:r w:rsidRPr="009B373B">
        <w:rPr>
          <w:i/>
          <w:color w:val="FF0000"/>
        </w:rPr>
        <w:t>RUNX1</w:t>
      </w:r>
      <w:r w:rsidRPr="00AE37F7">
        <w:rPr>
          <w:color w:val="FF0000"/>
        </w:rPr>
        <w:t xml:space="preserve"> promoter forward 5′- CCTGTGGTTTGCATTCAGTG-3′ and reverse 5′- ATTGAGATGGGCTGTGGAAA-3′</w:t>
      </w:r>
      <w:r w:rsidR="009B373B">
        <w:rPr>
          <w:color w:val="FF0000"/>
        </w:rPr>
        <w:t xml:space="preserve"> </w:t>
      </w:r>
      <w:r w:rsidR="009B373B" w:rsidRPr="009B373B">
        <w:rPr>
          <w:b/>
          <w:color w:val="FF0000"/>
        </w:rPr>
        <w:t>(Table S1)</w:t>
      </w:r>
      <w:r w:rsidRPr="009B373B">
        <w:rPr>
          <w:b/>
          <w:color w:val="FF0000"/>
        </w:rPr>
        <w:t xml:space="preserve">. </w:t>
      </w:r>
      <w:r w:rsidRPr="00AE37F7">
        <w:rPr>
          <w:color w:val="FF0000"/>
        </w:rPr>
        <w:t xml:space="preserve">The binding capability was expressed as a </w:t>
      </w:r>
      <w:proofErr w:type="spellStart"/>
      <w:r w:rsidRPr="00AE37F7">
        <w:rPr>
          <w:color w:val="FF0000"/>
        </w:rPr>
        <w:t>percent</w:t>
      </w:r>
      <w:proofErr w:type="spellEnd"/>
      <w:r w:rsidRPr="00AE37F7">
        <w:rPr>
          <w:color w:val="FF0000"/>
        </w:rPr>
        <w:t xml:space="preserve"> of the total input chromatin.</w:t>
      </w:r>
      <w:r w:rsidR="00690227">
        <w:rPr>
          <w:color w:val="FF0000"/>
        </w:rPr>
        <w:t xml:space="preserve"> The positive control (H3, Cell signalling), provided within the kit, gave us </w:t>
      </w:r>
      <w:proofErr w:type="gramStart"/>
      <w:r w:rsidR="00690227">
        <w:rPr>
          <w:color w:val="FF0000"/>
        </w:rPr>
        <w:t>an enrichment</w:t>
      </w:r>
      <w:proofErr w:type="gramEnd"/>
      <w:r w:rsidR="00690227">
        <w:rPr>
          <w:color w:val="FF0000"/>
        </w:rPr>
        <w:t xml:space="preserve"> at 17.8% of the input in the Nalm6.</w:t>
      </w:r>
    </w:p>
    <w:p w14:paraId="4C21E3C4" w14:textId="77777777" w:rsidR="00053B77" w:rsidRDefault="00053B77" w:rsidP="0072761D">
      <w:pPr>
        <w:widowControl w:val="0"/>
        <w:autoSpaceDE w:val="0"/>
        <w:autoSpaceDN w:val="0"/>
        <w:adjustRightInd w:val="0"/>
        <w:spacing w:after="240"/>
        <w:jc w:val="both"/>
        <w:rPr>
          <w:rFonts w:cs="Arial"/>
          <w:b/>
          <w:bCs/>
          <w:lang w:val="en-US"/>
        </w:rPr>
      </w:pPr>
    </w:p>
    <w:p w14:paraId="4B2BA986" w14:textId="77777777" w:rsidR="00053B77" w:rsidRDefault="00053B77" w:rsidP="0072761D">
      <w:pPr>
        <w:widowControl w:val="0"/>
        <w:autoSpaceDE w:val="0"/>
        <w:autoSpaceDN w:val="0"/>
        <w:adjustRightInd w:val="0"/>
        <w:spacing w:after="240"/>
        <w:jc w:val="both"/>
        <w:rPr>
          <w:rFonts w:cs="Arial"/>
          <w:b/>
          <w:bCs/>
          <w:lang w:val="en-US"/>
        </w:rPr>
      </w:pPr>
    </w:p>
    <w:p w14:paraId="3F89814A" w14:textId="77777777" w:rsidR="0072761D" w:rsidRPr="00F577AB" w:rsidRDefault="0072761D" w:rsidP="0072761D">
      <w:pPr>
        <w:widowControl w:val="0"/>
        <w:autoSpaceDE w:val="0"/>
        <w:autoSpaceDN w:val="0"/>
        <w:adjustRightInd w:val="0"/>
        <w:spacing w:after="240"/>
        <w:jc w:val="both"/>
        <w:rPr>
          <w:rFonts w:cs="Times"/>
          <w:lang w:val="en-US"/>
        </w:rPr>
      </w:pPr>
      <w:proofErr w:type="spellStart"/>
      <w:r w:rsidRPr="00F577AB">
        <w:rPr>
          <w:rFonts w:cs="Arial"/>
          <w:b/>
          <w:bCs/>
          <w:lang w:val="en-US"/>
        </w:rPr>
        <w:t>Immunoblotting</w:t>
      </w:r>
      <w:proofErr w:type="spellEnd"/>
    </w:p>
    <w:p w14:paraId="2726BE73" w14:textId="01B5F920" w:rsidR="0072761D" w:rsidRDefault="0030241A" w:rsidP="0072761D">
      <w:pPr>
        <w:widowControl w:val="0"/>
        <w:autoSpaceDE w:val="0"/>
        <w:autoSpaceDN w:val="0"/>
        <w:adjustRightInd w:val="0"/>
        <w:spacing w:after="240"/>
        <w:jc w:val="both"/>
        <w:rPr>
          <w:rFonts w:cs="Arial"/>
          <w:lang w:val="en-US"/>
        </w:rPr>
      </w:pPr>
      <w:r w:rsidRPr="00F577AB">
        <w:rPr>
          <w:rFonts w:cs="Arial"/>
          <w:lang w:val="en-US"/>
        </w:rPr>
        <w:t xml:space="preserve">Cells were lysed for 30 min in 20 </w:t>
      </w:r>
      <w:proofErr w:type="spellStart"/>
      <w:r w:rsidRPr="00F577AB">
        <w:rPr>
          <w:rFonts w:cs="Arial"/>
          <w:lang w:val="en-US"/>
        </w:rPr>
        <w:t>mM</w:t>
      </w:r>
      <w:proofErr w:type="spellEnd"/>
      <w:r>
        <w:rPr>
          <w:rFonts w:cs="Arial"/>
          <w:lang w:val="en-US"/>
        </w:rPr>
        <w:t xml:space="preserve"> </w:t>
      </w:r>
      <w:proofErr w:type="spellStart"/>
      <w:r w:rsidRPr="00F577AB">
        <w:rPr>
          <w:rFonts w:cs="Arial"/>
          <w:lang w:val="en-US"/>
        </w:rPr>
        <w:t>Tris-HCl</w:t>
      </w:r>
      <w:proofErr w:type="spellEnd"/>
      <w:r w:rsidRPr="00F577AB">
        <w:rPr>
          <w:rFonts w:cs="Arial"/>
          <w:lang w:val="en-US"/>
        </w:rPr>
        <w:t xml:space="preserve">, PH8.0, 150 </w:t>
      </w:r>
      <w:proofErr w:type="spellStart"/>
      <w:r w:rsidRPr="00F577AB">
        <w:rPr>
          <w:rFonts w:cs="Arial"/>
          <w:lang w:val="en-US"/>
        </w:rPr>
        <w:t>mM</w:t>
      </w:r>
      <w:proofErr w:type="spellEnd"/>
      <w:r>
        <w:rPr>
          <w:rFonts w:cs="Arial"/>
          <w:lang w:val="en-US"/>
        </w:rPr>
        <w:t xml:space="preserve"> </w:t>
      </w:r>
      <w:proofErr w:type="spellStart"/>
      <w:r w:rsidRPr="00F577AB">
        <w:rPr>
          <w:rFonts w:cs="Arial"/>
          <w:lang w:val="en-US"/>
        </w:rPr>
        <w:t>NaCl</w:t>
      </w:r>
      <w:proofErr w:type="spellEnd"/>
      <w:r w:rsidRPr="00F577AB">
        <w:rPr>
          <w:rFonts w:cs="Arial"/>
          <w:lang w:val="en-US"/>
        </w:rPr>
        <w:t xml:space="preserve">, 0.5 </w:t>
      </w:r>
      <w:proofErr w:type="spellStart"/>
      <w:r w:rsidRPr="00F577AB">
        <w:rPr>
          <w:rFonts w:cs="Arial"/>
          <w:lang w:val="en-US"/>
        </w:rPr>
        <w:t>mM</w:t>
      </w:r>
      <w:proofErr w:type="spellEnd"/>
      <w:r w:rsidRPr="00F577AB">
        <w:rPr>
          <w:rFonts w:cs="Arial"/>
          <w:lang w:val="en-US"/>
        </w:rPr>
        <w:t xml:space="preserve"> EDTA and 1% Triton supplemented with protease inhibitors (04693113001, Roche)</w:t>
      </w:r>
      <w:r>
        <w:rPr>
          <w:rFonts w:cs="Arial"/>
          <w:lang w:val="en-US"/>
        </w:rPr>
        <w:t xml:space="preserve">. </w:t>
      </w:r>
      <w:r w:rsidRPr="00F577AB">
        <w:rPr>
          <w:rFonts w:cs="Arial"/>
          <w:lang w:val="en-US"/>
        </w:rPr>
        <w:t xml:space="preserve">The samples were subjected to sodium dodecyl sulfate polyacrylamide gel electrophoresis (SDS-PAGE), transferred to nitrocellulose membranes, blocked in TBS/0.05% Tween-20 (TBST)/5% </w:t>
      </w:r>
      <w:r>
        <w:rPr>
          <w:rFonts w:cs="Arial"/>
          <w:lang w:val="en-US"/>
        </w:rPr>
        <w:t>milk</w:t>
      </w:r>
      <w:r w:rsidRPr="00F577AB">
        <w:rPr>
          <w:rFonts w:cs="Arial"/>
          <w:lang w:val="en-US"/>
        </w:rPr>
        <w:t xml:space="preserve"> and probed with an appropriate antibody</w:t>
      </w:r>
      <w:r>
        <w:rPr>
          <w:rFonts w:cs="Arial"/>
          <w:lang w:val="en-US"/>
        </w:rPr>
        <w:t xml:space="preserve"> (</w:t>
      </w:r>
      <w:r w:rsidRPr="00D33584">
        <w:rPr>
          <w:rFonts w:cs="Arial"/>
          <w:b/>
          <w:lang w:val="en-US"/>
        </w:rPr>
        <w:t>Table S2</w:t>
      </w:r>
      <w:r>
        <w:rPr>
          <w:rFonts w:cs="Arial"/>
          <w:lang w:val="en-US"/>
        </w:rPr>
        <w:t>)</w:t>
      </w:r>
      <w:r w:rsidRPr="00F577AB">
        <w:rPr>
          <w:rFonts w:cs="Arial"/>
          <w:lang w:val="en-US"/>
        </w:rPr>
        <w:t>. The membranes were washed and incubated 1 h at room temperature in TBST/5%</w:t>
      </w:r>
      <w:r w:rsidRPr="005B2DCB">
        <w:rPr>
          <w:rFonts w:cs="Arial"/>
          <w:lang w:val="en-US"/>
        </w:rPr>
        <w:t xml:space="preserve"> </w:t>
      </w:r>
      <w:r>
        <w:rPr>
          <w:rFonts w:cs="Arial"/>
          <w:lang w:val="en-US"/>
        </w:rPr>
        <w:t>milk</w:t>
      </w:r>
      <w:r w:rsidRPr="00F577AB">
        <w:rPr>
          <w:rFonts w:cs="Arial"/>
          <w:lang w:val="en-US"/>
        </w:rPr>
        <w:t xml:space="preserve"> containing the secondary antibody. The </w:t>
      </w:r>
      <w:proofErr w:type="spellStart"/>
      <w:r w:rsidRPr="00F577AB">
        <w:rPr>
          <w:rFonts w:cs="Arial"/>
          <w:lang w:val="en-US"/>
        </w:rPr>
        <w:t>immunoblots</w:t>
      </w:r>
      <w:proofErr w:type="spellEnd"/>
      <w:r w:rsidRPr="00F577AB">
        <w:rPr>
          <w:rFonts w:cs="Arial"/>
          <w:lang w:val="en-US"/>
        </w:rPr>
        <w:t xml:space="preserve"> were visualized with enhanced</w:t>
      </w:r>
      <w:r>
        <w:rPr>
          <w:rFonts w:cs="Arial"/>
          <w:lang w:val="en-US"/>
        </w:rPr>
        <w:t xml:space="preserve"> </w:t>
      </w:r>
      <w:proofErr w:type="spellStart"/>
      <w:r w:rsidRPr="00F577AB">
        <w:rPr>
          <w:rFonts w:cs="Arial"/>
          <w:lang w:val="en-US"/>
        </w:rPr>
        <w:t>chemiluminescence</w:t>
      </w:r>
      <w:proofErr w:type="spellEnd"/>
      <w:r w:rsidRPr="00F577AB">
        <w:rPr>
          <w:rFonts w:cs="Arial"/>
          <w:lang w:val="en-US"/>
        </w:rPr>
        <w:t xml:space="preserve"> Western blotting detection system (WBKLS0500, Merck Millipore) according to the manufacturer's instructions.</w:t>
      </w:r>
    </w:p>
    <w:p w14:paraId="1351BD26" w14:textId="77777777" w:rsidR="00BC65A5" w:rsidRPr="008A556A" w:rsidRDefault="00BC65A5" w:rsidP="00BC65A5">
      <w:pPr>
        <w:rPr>
          <w:b/>
          <w:bCs/>
          <w:color w:val="FF0000"/>
        </w:rPr>
      </w:pPr>
      <w:r w:rsidRPr="008A556A">
        <w:rPr>
          <w:b/>
          <w:bCs/>
          <w:color w:val="FF0000"/>
        </w:rPr>
        <w:t>Cell cycle</w:t>
      </w:r>
    </w:p>
    <w:p w14:paraId="41D2116D" w14:textId="04449330" w:rsidR="00BC65A5" w:rsidRPr="00BC65A5" w:rsidRDefault="00BC65A5" w:rsidP="00BC65A5">
      <w:pPr>
        <w:jc w:val="both"/>
        <w:rPr>
          <w:color w:val="FF0000"/>
        </w:rPr>
      </w:pPr>
      <w:r w:rsidRPr="00BC65A5">
        <w:rPr>
          <w:color w:val="FF0000"/>
        </w:rPr>
        <w:t>REH cells were seeded at a concentration of 500,000 cells/</w:t>
      </w:r>
      <w:proofErr w:type="spellStart"/>
      <w:r w:rsidRPr="00BC65A5">
        <w:rPr>
          <w:color w:val="FF0000"/>
        </w:rPr>
        <w:t>mL.</w:t>
      </w:r>
      <w:proofErr w:type="spellEnd"/>
      <w:r w:rsidRPr="00BC65A5">
        <w:rPr>
          <w:color w:val="FF0000"/>
        </w:rPr>
        <w:t xml:space="preserve"> The cells were synchronized by two incubations with </w:t>
      </w:r>
      <w:r w:rsidRPr="00BC65A5">
        <w:rPr>
          <w:bCs/>
          <w:color w:val="FF0000"/>
        </w:rPr>
        <w:t>40ng/mL</w:t>
      </w:r>
      <w:r w:rsidRPr="00BC65A5">
        <w:rPr>
          <w:color w:val="FF0000"/>
        </w:rPr>
        <w:t xml:space="preserve"> </w:t>
      </w:r>
      <w:proofErr w:type="spellStart"/>
      <w:r w:rsidRPr="00BC65A5">
        <w:rPr>
          <w:color w:val="FF0000"/>
        </w:rPr>
        <w:t>Nocodazole</w:t>
      </w:r>
      <w:proofErr w:type="spellEnd"/>
      <w:r w:rsidR="00FC6777">
        <w:rPr>
          <w:color w:val="FF0000"/>
        </w:rPr>
        <w:t xml:space="preserve"> (SML1665, Merck)</w:t>
      </w:r>
      <w:bookmarkStart w:id="0" w:name="_GoBack"/>
      <w:bookmarkEnd w:id="0"/>
      <w:r w:rsidRPr="00BC65A5">
        <w:rPr>
          <w:color w:val="FF0000"/>
        </w:rPr>
        <w:t xml:space="preserve"> for 16 hours. Between these two incubations, the cells were washed twice in PBS in order to release the cell cycle block. After the second incubation, the cells were washed twice in PBS </w:t>
      </w:r>
      <w:r w:rsidR="00560742">
        <w:rPr>
          <w:color w:val="FF0000"/>
        </w:rPr>
        <w:t>to release the block an</w:t>
      </w:r>
      <w:r w:rsidR="009D33D6">
        <w:rPr>
          <w:color w:val="FF0000"/>
        </w:rPr>
        <w:t>d</w:t>
      </w:r>
      <w:r w:rsidR="00560742">
        <w:rPr>
          <w:color w:val="FF0000"/>
        </w:rPr>
        <w:t xml:space="preserve"> incubated back into cell culture medium</w:t>
      </w:r>
      <w:r w:rsidRPr="00BC65A5">
        <w:rPr>
          <w:color w:val="FF0000"/>
        </w:rPr>
        <w:t xml:space="preserve">. </w:t>
      </w:r>
      <w:r w:rsidR="00560742">
        <w:rPr>
          <w:color w:val="FF0000"/>
        </w:rPr>
        <w:t>At 0h, 8h and 24h, t</w:t>
      </w:r>
      <w:r w:rsidRPr="00BC65A5">
        <w:rPr>
          <w:color w:val="FF0000"/>
        </w:rPr>
        <w:t xml:space="preserve">he cells were then washed and fixed in 70% ethanol for 2 hours at 4°C. Subsequently, they were washed twice in PBS in order to remove all traces of ethanol. Finally, the cells were incubated 20 minutes in </w:t>
      </w:r>
      <w:proofErr w:type="spellStart"/>
      <w:r w:rsidRPr="00BC65A5">
        <w:rPr>
          <w:color w:val="FF0000"/>
        </w:rPr>
        <w:t>FxCycle</w:t>
      </w:r>
      <w:r w:rsidRPr="00BC65A5">
        <w:rPr>
          <w:color w:val="FF0000"/>
          <w:vertAlign w:val="superscript"/>
        </w:rPr>
        <w:t>TM</w:t>
      </w:r>
      <w:proofErr w:type="spellEnd"/>
      <w:r w:rsidRPr="00BC65A5">
        <w:rPr>
          <w:color w:val="FF0000"/>
        </w:rPr>
        <w:t>-PI/</w:t>
      </w:r>
      <w:proofErr w:type="spellStart"/>
      <w:r w:rsidRPr="00BC65A5">
        <w:rPr>
          <w:color w:val="FF0000"/>
        </w:rPr>
        <w:t>RNase</w:t>
      </w:r>
      <w:proofErr w:type="spellEnd"/>
      <w:r w:rsidRPr="00BC65A5">
        <w:rPr>
          <w:color w:val="FF0000"/>
        </w:rPr>
        <w:t xml:space="preserve"> Staining Solution (Thermo Fisher – F10797)</w:t>
      </w:r>
      <w:r w:rsidR="009D33D6">
        <w:rPr>
          <w:color w:val="FF0000"/>
        </w:rPr>
        <w:t xml:space="preserve"> at room temperature</w:t>
      </w:r>
      <w:r w:rsidRPr="00BC65A5">
        <w:rPr>
          <w:color w:val="FF0000"/>
        </w:rPr>
        <w:t xml:space="preserve">. The fluorescence was measured through BD </w:t>
      </w:r>
      <w:proofErr w:type="spellStart"/>
      <w:r w:rsidRPr="00BC65A5">
        <w:rPr>
          <w:color w:val="FF0000"/>
        </w:rPr>
        <w:t>Accuri</w:t>
      </w:r>
      <w:r w:rsidRPr="00BC65A5">
        <w:rPr>
          <w:color w:val="FF0000"/>
          <w:vertAlign w:val="superscript"/>
        </w:rPr>
        <w:t>TM</w:t>
      </w:r>
      <w:proofErr w:type="spellEnd"/>
      <w:r w:rsidRPr="00BC65A5">
        <w:rPr>
          <w:color w:val="FF0000"/>
        </w:rPr>
        <w:t xml:space="preserve"> C6 Plus Flow Cytometer, on channel FL-2.</w:t>
      </w:r>
      <w:r w:rsidR="009D33D6" w:rsidRPr="009D33D6">
        <w:rPr>
          <w:rFonts w:ascii="宋体" w:eastAsia="宋体" w:hAnsi="宋体"/>
          <w:color w:val="FF0000"/>
          <w:lang w:eastAsia="zh-CN"/>
        </w:rPr>
        <w:t xml:space="preserve"> </w:t>
      </w:r>
      <w:r w:rsidR="009D33D6">
        <w:rPr>
          <w:rFonts w:ascii="宋体" w:eastAsia="宋体" w:hAnsi="宋体"/>
          <w:color w:val="FF0000"/>
          <w:lang w:eastAsia="zh-CN"/>
        </w:rPr>
        <w:t>T</w:t>
      </w:r>
      <w:r w:rsidR="009D33D6">
        <w:rPr>
          <w:rFonts w:ascii="宋体" w:eastAsia="宋体" w:hAnsi="宋体" w:hint="eastAsia"/>
          <w:color w:val="FF0000"/>
          <w:lang w:eastAsia="zh-CN"/>
        </w:rPr>
        <w:t>he</w:t>
      </w:r>
      <w:r w:rsidR="009D33D6">
        <w:rPr>
          <w:color w:val="FF0000"/>
        </w:rPr>
        <w:t xml:space="preserve"> percentage of each phase was calculated with </w:t>
      </w:r>
      <w:proofErr w:type="spellStart"/>
      <w:r w:rsidR="009D33D6">
        <w:rPr>
          <w:color w:val="FF0000"/>
        </w:rPr>
        <w:t>FlowJo</w:t>
      </w:r>
      <w:r w:rsidR="009D33D6" w:rsidRPr="00A65B8E">
        <w:rPr>
          <w:color w:val="FF0000"/>
          <w:vertAlign w:val="superscript"/>
        </w:rPr>
        <w:t>TM</w:t>
      </w:r>
      <w:proofErr w:type="spellEnd"/>
      <w:r w:rsidR="009D33D6">
        <w:rPr>
          <w:color w:val="FF0000"/>
        </w:rPr>
        <w:t xml:space="preserve"> V10 using Watson (Pragmatic) model.  </w:t>
      </w:r>
    </w:p>
    <w:p w14:paraId="32F36C66" w14:textId="77777777" w:rsidR="00BC65A5" w:rsidRPr="00BC65A5" w:rsidRDefault="00BC65A5" w:rsidP="00BC65A5">
      <w:pPr>
        <w:jc w:val="both"/>
        <w:rPr>
          <w:color w:val="FF0000"/>
        </w:rPr>
      </w:pPr>
    </w:p>
    <w:p w14:paraId="3F924AD0" w14:textId="77777777" w:rsidR="00BC65A5" w:rsidRPr="008A556A" w:rsidRDefault="00BC65A5" w:rsidP="00BC65A5">
      <w:pPr>
        <w:jc w:val="both"/>
        <w:rPr>
          <w:color w:val="FF0000"/>
        </w:rPr>
      </w:pPr>
      <w:r w:rsidRPr="008A556A">
        <w:rPr>
          <w:b/>
          <w:bCs/>
          <w:color w:val="FF0000"/>
        </w:rPr>
        <w:t>Apoptosis</w:t>
      </w:r>
    </w:p>
    <w:p w14:paraId="6A4CEB85" w14:textId="7DA8BF27" w:rsidR="00BC65A5" w:rsidRPr="00BC65A5" w:rsidRDefault="00BC65A5" w:rsidP="00BC65A5">
      <w:pPr>
        <w:jc w:val="both"/>
        <w:rPr>
          <w:color w:val="FF0000"/>
        </w:rPr>
      </w:pPr>
      <w:r w:rsidRPr="00BC65A5">
        <w:rPr>
          <w:color w:val="FF0000"/>
        </w:rPr>
        <w:t xml:space="preserve">REH cells were washed twice to remove the </w:t>
      </w:r>
      <w:r w:rsidR="008A556A">
        <w:rPr>
          <w:color w:val="FF0000"/>
        </w:rPr>
        <w:t xml:space="preserve">culture </w:t>
      </w:r>
      <w:r w:rsidRPr="00BC65A5">
        <w:rPr>
          <w:color w:val="FF0000"/>
        </w:rPr>
        <w:t xml:space="preserve">medium. They were then incubated in 100µL Binding Buffer with 10µL of </w:t>
      </w:r>
      <w:proofErr w:type="spellStart"/>
      <w:r w:rsidRPr="00BC65A5">
        <w:rPr>
          <w:color w:val="FF0000"/>
        </w:rPr>
        <w:t>Annexin</w:t>
      </w:r>
      <w:proofErr w:type="spellEnd"/>
      <w:r w:rsidRPr="00BC65A5">
        <w:rPr>
          <w:color w:val="FF0000"/>
        </w:rPr>
        <w:t xml:space="preserve"> V-FITC (</w:t>
      </w:r>
      <w:proofErr w:type="spellStart"/>
      <w:r w:rsidRPr="00BC65A5">
        <w:rPr>
          <w:color w:val="FF0000"/>
        </w:rPr>
        <w:t>Annexin</w:t>
      </w:r>
      <w:proofErr w:type="spellEnd"/>
      <w:r w:rsidRPr="00BC65A5">
        <w:rPr>
          <w:color w:val="FF0000"/>
        </w:rPr>
        <w:t xml:space="preserve"> V-FITC Kit (</w:t>
      </w:r>
      <w:proofErr w:type="spellStart"/>
      <w:r w:rsidRPr="00BC65A5">
        <w:rPr>
          <w:color w:val="FF0000"/>
        </w:rPr>
        <w:t>Miltenyi</w:t>
      </w:r>
      <w:proofErr w:type="spellEnd"/>
      <w:r w:rsidRPr="00BC65A5">
        <w:rPr>
          <w:color w:val="FF0000"/>
        </w:rPr>
        <w:t xml:space="preserve"> </w:t>
      </w:r>
      <w:proofErr w:type="spellStart"/>
      <w:r w:rsidRPr="00BC65A5">
        <w:rPr>
          <w:color w:val="FF0000"/>
        </w:rPr>
        <w:t>Biotec</w:t>
      </w:r>
      <w:proofErr w:type="spellEnd"/>
      <w:r w:rsidRPr="00BC65A5">
        <w:rPr>
          <w:color w:val="FF0000"/>
        </w:rPr>
        <w:t xml:space="preserve">)) for 15 minutes in the dark, at room temperature. Subsequently, the cells were washed twice with Binding Buffer and finally </w:t>
      </w:r>
      <w:proofErr w:type="spellStart"/>
      <w:r w:rsidRPr="00BC65A5">
        <w:rPr>
          <w:color w:val="FF0000"/>
        </w:rPr>
        <w:t>resuspended</w:t>
      </w:r>
      <w:proofErr w:type="spellEnd"/>
      <w:r w:rsidRPr="00BC65A5">
        <w:rPr>
          <w:color w:val="FF0000"/>
        </w:rPr>
        <w:t xml:space="preserve"> in 300µL Binding Buffer. </w:t>
      </w:r>
      <w:r w:rsidR="009D33D6">
        <w:rPr>
          <w:color w:val="FF0000"/>
        </w:rPr>
        <w:t>Three</w:t>
      </w:r>
      <w:r w:rsidRPr="00BC65A5">
        <w:rPr>
          <w:color w:val="FF0000"/>
        </w:rPr>
        <w:t xml:space="preserve"> microliters of </w:t>
      </w:r>
      <w:proofErr w:type="spellStart"/>
      <w:r w:rsidRPr="00BC65A5">
        <w:rPr>
          <w:color w:val="FF0000"/>
        </w:rPr>
        <w:t>P</w:t>
      </w:r>
      <w:r w:rsidR="008A556A">
        <w:rPr>
          <w:color w:val="FF0000"/>
        </w:rPr>
        <w:t>ropidium</w:t>
      </w:r>
      <w:proofErr w:type="spellEnd"/>
      <w:r w:rsidR="008A556A">
        <w:rPr>
          <w:color w:val="FF0000"/>
        </w:rPr>
        <w:t xml:space="preserve"> </w:t>
      </w:r>
      <w:r w:rsidRPr="00BC65A5">
        <w:rPr>
          <w:color w:val="FF0000"/>
        </w:rPr>
        <w:t>I</w:t>
      </w:r>
      <w:r w:rsidR="008A556A">
        <w:rPr>
          <w:color w:val="FF0000"/>
        </w:rPr>
        <w:t>odide</w:t>
      </w:r>
      <w:r w:rsidRPr="00BC65A5">
        <w:rPr>
          <w:color w:val="FF0000"/>
        </w:rPr>
        <w:t xml:space="preserve"> solution were added to the sample prior to analysis through flow cytometer. </w:t>
      </w:r>
    </w:p>
    <w:p w14:paraId="307BBD01" w14:textId="2FF200EC" w:rsidR="00421576" w:rsidRPr="00421576" w:rsidRDefault="00421576" w:rsidP="00421576">
      <w:pPr>
        <w:widowControl w:val="0"/>
        <w:autoSpaceDE w:val="0"/>
        <w:autoSpaceDN w:val="0"/>
        <w:adjustRightInd w:val="0"/>
        <w:spacing w:after="240" w:line="280" w:lineRule="atLeast"/>
        <w:rPr>
          <w:rFonts w:eastAsiaTheme="minorEastAsia" w:cs="Times Roman"/>
          <w:color w:val="FF0000"/>
          <w:lang w:val="fr-FR" w:eastAsia="ja-JP"/>
        </w:rPr>
      </w:pPr>
    </w:p>
    <w:p w14:paraId="536E2B99" w14:textId="77777777" w:rsidR="00CE76AA" w:rsidRDefault="00CE76AA" w:rsidP="00CE76AA">
      <w:pPr>
        <w:jc w:val="both"/>
        <w:rPr>
          <w:rFonts w:ascii="Arial" w:hAnsi="Arial"/>
          <w:b/>
          <w:bCs/>
          <w:i/>
          <w:color w:val="000000"/>
          <w:sz w:val="20"/>
          <w:szCs w:val="20"/>
        </w:rPr>
      </w:pPr>
    </w:p>
    <w:p w14:paraId="481A17B7" w14:textId="77777777" w:rsidR="00A1174B" w:rsidRDefault="00A1174B" w:rsidP="00A1174B">
      <w:pPr>
        <w:jc w:val="both"/>
        <w:rPr>
          <w:rFonts w:ascii="Arial" w:hAnsi="Arial"/>
          <w:b/>
          <w:bCs/>
          <w:i/>
          <w:color w:val="000000"/>
          <w:sz w:val="20"/>
          <w:szCs w:val="20"/>
        </w:rPr>
      </w:pPr>
      <w:r>
        <w:rPr>
          <w:rFonts w:ascii="Arial" w:hAnsi="Arial"/>
          <w:b/>
          <w:bCs/>
          <w:i/>
          <w:color w:val="000000"/>
          <w:sz w:val="20"/>
          <w:szCs w:val="20"/>
        </w:rPr>
        <w:t>Supplemental Table S1</w:t>
      </w:r>
      <w:r w:rsidRPr="00340FC5">
        <w:rPr>
          <w:rFonts w:ascii="Arial" w:hAnsi="Arial"/>
          <w:b/>
          <w:bCs/>
          <w:i/>
          <w:color w:val="000000"/>
          <w:sz w:val="20"/>
          <w:szCs w:val="20"/>
        </w:rPr>
        <w:t>: List of primers used in this study.</w:t>
      </w:r>
    </w:p>
    <w:p w14:paraId="2C0CAAE9" w14:textId="77777777" w:rsidR="00A1174B" w:rsidRPr="00F577AB" w:rsidRDefault="00A1174B" w:rsidP="00A1174B">
      <w:pPr>
        <w:jc w:val="both"/>
        <w:rPr>
          <w:rFonts w:ascii="Arial" w:hAnsi="Arial"/>
          <w:color w:val="000000"/>
          <w:sz w:val="20"/>
          <w:szCs w:val="20"/>
          <w:lang w:val="en-US"/>
        </w:rPr>
      </w:pPr>
    </w:p>
    <w:tbl>
      <w:tblPr>
        <w:tblStyle w:val="Grillemoyenne2-Accent3"/>
        <w:tblW w:w="9282" w:type="dxa"/>
        <w:tblCellMar>
          <w:left w:w="107" w:type="dxa"/>
        </w:tblCellMar>
        <w:tblLook w:val="04A0" w:firstRow="1" w:lastRow="0" w:firstColumn="1" w:lastColumn="0" w:noHBand="0" w:noVBand="1"/>
      </w:tblPr>
      <w:tblGrid>
        <w:gridCol w:w="1623"/>
        <w:gridCol w:w="3710"/>
        <w:gridCol w:w="3949"/>
      </w:tblGrid>
      <w:tr w:rsidR="00A1174B" w:rsidRPr="00E16D29" w14:paraId="7F3A8FBE" w14:textId="77777777" w:rsidTr="004C6F5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23"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7D0587E7" w14:textId="77777777" w:rsidR="00A1174B" w:rsidRPr="00E16D29" w:rsidRDefault="00A1174B" w:rsidP="004C6F54">
            <w:pPr>
              <w:jc w:val="both"/>
              <w:rPr>
                <w:rFonts w:ascii="Arial" w:hAnsi="Arial" w:cs="Arial"/>
                <w:sz w:val="20"/>
                <w:szCs w:val="20"/>
              </w:rPr>
            </w:pPr>
            <w:r w:rsidRPr="00E16D29">
              <w:rPr>
                <w:rFonts w:ascii="Arial" w:eastAsiaTheme="majorEastAsia" w:hAnsi="Arial" w:cs="Arial"/>
                <w:color w:val="000000" w:themeColor="text1"/>
                <w:sz w:val="20"/>
                <w:szCs w:val="20"/>
              </w:rPr>
              <w:t>Gene</w:t>
            </w:r>
          </w:p>
        </w:tc>
        <w:tc>
          <w:tcPr>
            <w:tcW w:w="3710"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583BB243" w14:textId="77777777" w:rsidR="00A1174B" w:rsidRPr="00E16D29" w:rsidRDefault="00A1174B" w:rsidP="004C6F54">
            <w:pPr>
              <w:jc w:val="both"/>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16D29">
              <w:rPr>
                <w:rFonts w:ascii="Arial" w:eastAsiaTheme="majorEastAsia" w:hAnsi="Arial" w:cs="Arial"/>
                <w:color w:val="000000" w:themeColor="text1"/>
                <w:sz w:val="20"/>
                <w:szCs w:val="20"/>
              </w:rPr>
              <w:t>Forward</w:t>
            </w:r>
          </w:p>
        </w:tc>
        <w:tc>
          <w:tcPr>
            <w:tcW w:w="3949"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05328C3C" w14:textId="77777777" w:rsidR="00A1174B" w:rsidRPr="00E16D29" w:rsidRDefault="00A1174B" w:rsidP="004C6F54">
            <w:pPr>
              <w:jc w:val="both"/>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16D29">
              <w:rPr>
                <w:rFonts w:ascii="Arial" w:eastAsiaTheme="majorEastAsia" w:hAnsi="Arial" w:cs="Arial"/>
                <w:color w:val="000000" w:themeColor="text1"/>
                <w:sz w:val="20"/>
                <w:szCs w:val="20"/>
              </w:rPr>
              <w:t>Reverse</w:t>
            </w:r>
          </w:p>
        </w:tc>
      </w:tr>
      <w:tr w:rsidR="00A1174B" w:rsidRPr="00E16D29" w14:paraId="32BAFC11" w14:textId="77777777" w:rsidTr="004C6F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3"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04A963D6" w14:textId="77777777" w:rsidR="00A1174B" w:rsidRPr="00E16D29" w:rsidRDefault="00A1174B" w:rsidP="004C6F54">
            <w:pPr>
              <w:spacing w:line="360" w:lineRule="auto"/>
              <w:jc w:val="both"/>
              <w:rPr>
                <w:rFonts w:ascii="Arial" w:hAnsi="Arial" w:cs="Arial"/>
                <w:sz w:val="20"/>
                <w:szCs w:val="20"/>
              </w:rPr>
            </w:pPr>
            <w:r w:rsidRPr="00E16D29">
              <w:rPr>
                <w:rFonts w:ascii="Arial" w:eastAsiaTheme="majorEastAsia" w:hAnsi="Arial" w:cs="Arial"/>
                <w:color w:val="000000" w:themeColor="text1"/>
                <w:sz w:val="20"/>
                <w:szCs w:val="20"/>
              </w:rPr>
              <w:t>ABL</w:t>
            </w:r>
          </w:p>
        </w:tc>
        <w:tc>
          <w:tcPr>
            <w:tcW w:w="3710" w:type="dxa"/>
            <w:tcBorders>
              <w:top w:val="single" w:sz="4" w:space="0" w:color="auto"/>
              <w:left w:val="single" w:sz="4" w:space="0" w:color="auto"/>
              <w:bottom w:val="single" w:sz="4" w:space="0" w:color="auto"/>
              <w:right w:val="single" w:sz="4" w:space="0" w:color="auto"/>
            </w:tcBorders>
            <w:shd w:val="clear" w:color="auto" w:fill="auto"/>
          </w:tcPr>
          <w:p w14:paraId="7167CD4D" w14:textId="77777777" w:rsidR="00A1174B" w:rsidRPr="00E16D29" w:rsidRDefault="00A1174B" w:rsidP="004C6F5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16D29">
              <w:rPr>
                <w:rFonts w:ascii="Arial" w:hAnsi="Arial" w:cs="Arial"/>
                <w:sz w:val="20"/>
                <w:szCs w:val="20"/>
              </w:rPr>
              <w:t>CCAAGAAGGGGCTGTCCT</w:t>
            </w:r>
          </w:p>
        </w:tc>
        <w:tc>
          <w:tcPr>
            <w:tcW w:w="3949" w:type="dxa"/>
            <w:tcBorders>
              <w:top w:val="single" w:sz="4" w:space="0" w:color="auto"/>
              <w:left w:val="single" w:sz="4" w:space="0" w:color="auto"/>
              <w:bottom w:val="single" w:sz="4" w:space="0" w:color="auto"/>
              <w:right w:val="single" w:sz="4" w:space="0" w:color="auto"/>
            </w:tcBorders>
            <w:shd w:val="clear" w:color="auto" w:fill="auto"/>
          </w:tcPr>
          <w:p w14:paraId="363BE488" w14:textId="77777777" w:rsidR="00A1174B" w:rsidRPr="00E16D29" w:rsidRDefault="00A1174B" w:rsidP="004C6F5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16D29">
              <w:rPr>
                <w:rFonts w:ascii="Arial" w:hAnsi="Arial" w:cs="Arial"/>
                <w:sz w:val="20"/>
                <w:szCs w:val="20"/>
              </w:rPr>
              <w:t>ATGCTACTGGCCGCTGAA</w:t>
            </w:r>
          </w:p>
        </w:tc>
      </w:tr>
      <w:tr w:rsidR="00A1174B" w:rsidRPr="00E16D29" w14:paraId="1CB6BBAC" w14:textId="77777777" w:rsidTr="004C6F54">
        <w:tc>
          <w:tcPr>
            <w:cnfStyle w:val="001000000000" w:firstRow="0" w:lastRow="0" w:firstColumn="1" w:lastColumn="0" w:oddVBand="0" w:evenVBand="0" w:oddHBand="0" w:evenHBand="0" w:firstRowFirstColumn="0" w:firstRowLastColumn="0" w:lastRowFirstColumn="0" w:lastRowLastColumn="0"/>
            <w:tcW w:w="1623"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4A64D6AA" w14:textId="77777777" w:rsidR="00A1174B" w:rsidRPr="00E16D29" w:rsidRDefault="00A1174B" w:rsidP="004C6F54">
            <w:pPr>
              <w:spacing w:line="360" w:lineRule="auto"/>
              <w:jc w:val="both"/>
              <w:rPr>
                <w:rFonts w:ascii="Arial" w:hAnsi="Arial" w:cs="Arial"/>
                <w:sz w:val="20"/>
                <w:szCs w:val="20"/>
              </w:rPr>
            </w:pPr>
            <w:r w:rsidRPr="00E16D29">
              <w:rPr>
                <w:rFonts w:ascii="Arial" w:eastAsiaTheme="majorEastAsia" w:hAnsi="Arial" w:cs="Arial"/>
                <w:color w:val="000000" w:themeColor="text1"/>
                <w:sz w:val="20"/>
                <w:szCs w:val="20"/>
              </w:rPr>
              <w:t>RUNX1</w:t>
            </w:r>
          </w:p>
        </w:tc>
        <w:tc>
          <w:tcPr>
            <w:tcW w:w="3710"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198C2455" w14:textId="77777777" w:rsidR="00A1174B" w:rsidRPr="00E16D29" w:rsidRDefault="00A1174B" w:rsidP="004C6F5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16D29">
              <w:rPr>
                <w:rFonts w:ascii="Arial" w:hAnsi="Arial" w:cs="Arial"/>
                <w:sz w:val="20"/>
                <w:szCs w:val="20"/>
              </w:rPr>
              <w:t>ACAAACCCACCGCAAGTC</w:t>
            </w:r>
          </w:p>
        </w:tc>
        <w:tc>
          <w:tcPr>
            <w:tcW w:w="3949"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305A8BEC" w14:textId="77777777" w:rsidR="00A1174B" w:rsidRPr="00E16D29" w:rsidRDefault="00A1174B" w:rsidP="004C6F5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16D29">
              <w:rPr>
                <w:rFonts w:ascii="Arial" w:hAnsi="Arial" w:cs="Arial"/>
                <w:sz w:val="20"/>
                <w:szCs w:val="20"/>
              </w:rPr>
              <w:t>CATCTAGTTTCTGCCGATGTCTT</w:t>
            </w:r>
          </w:p>
        </w:tc>
      </w:tr>
      <w:tr w:rsidR="00A1174B" w:rsidRPr="00E16D29" w14:paraId="3B8DB6CD" w14:textId="77777777" w:rsidTr="004C6F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3"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294A6E48" w14:textId="77777777" w:rsidR="00A1174B" w:rsidRPr="00E16D29" w:rsidRDefault="00A1174B" w:rsidP="004C6F54">
            <w:pPr>
              <w:spacing w:line="360" w:lineRule="auto"/>
              <w:jc w:val="both"/>
              <w:rPr>
                <w:rFonts w:ascii="Arial" w:hAnsi="Arial" w:cs="Arial"/>
                <w:sz w:val="20"/>
                <w:szCs w:val="20"/>
              </w:rPr>
            </w:pPr>
            <w:r w:rsidRPr="00E16D29">
              <w:rPr>
                <w:rFonts w:ascii="Arial" w:eastAsiaTheme="majorEastAsia" w:hAnsi="Arial" w:cs="Arial"/>
                <w:color w:val="000000" w:themeColor="text1"/>
                <w:sz w:val="20"/>
                <w:szCs w:val="20"/>
              </w:rPr>
              <w:t>CBFA2T3</w:t>
            </w:r>
          </w:p>
        </w:tc>
        <w:tc>
          <w:tcPr>
            <w:tcW w:w="3710" w:type="dxa"/>
            <w:tcBorders>
              <w:top w:val="single" w:sz="4" w:space="0" w:color="auto"/>
              <w:left w:val="single" w:sz="4" w:space="0" w:color="auto"/>
              <w:bottom w:val="single" w:sz="4" w:space="0" w:color="auto"/>
              <w:right w:val="single" w:sz="4" w:space="0" w:color="auto"/>
            </w:tcBorders>
            <w:shd w:val="clear" w:color="auto" w:fill="auto"/>
          </w:tcPr>
          <w:p w14:paraId="27758DDC" w14:textId="77777777" w:rsidR="00A1174B" w:rsidRPr="00E16D29" w:rsidRDefault="00A1174B" w:rsidP="004C6F5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16D29">
              <w:rPr>
                <w:rFonts w:ascii="Arial" w:hAnsi="Arial" w:cs="Arial"/>
                <w:sz w:val="20"/>
                <w:szCs w:val="20"/>
              </w:rPr>
              <w:t>TGAACTCGACATTGACGATCG</w:t>
            </w:r>
          </w:p>
        </w:tc>
        <w:tc>
          <w:tcPr>
            <w:tcW w:w="3949" w:type="dxa"/>
            <w:tcBorders>
              <w:top w:val="single" w:sz="4" w:space="0" w:color="auto"/>
              <w:left w:val="single" w:sz="4" w:space="0" w:color="auto"/>
              <w:bottom w:val="single" w:sz="4" w:space="0" w:color="auto"/>
              <w:right w:val="single" w:sz="4" w:space="0" w:color="auto"/>
            </w:tcBorders>
            <w:shd w:val="clear" w:color="auto" w:fill="auto"/>
          </w:tcPr>
          <w:p w14:paraId="63CFF242" w14:textId="77777777" w:rsidR="00A1174B" w:rsidRPr="00E16D29" w:rsidRDefault="00A1174B" w:rsidP="004C6F5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16D29">
              <w:rPr>
                <w:rFonts w:ascii="Arial" w:hAnsi="Arial" w:cs="Arial"/>
                <w:sz w:val="20"/>
                <w:szCs w:val="20"/>
              </w:rPr>
              <w:t>TCAGGAAGGGAATGACAAACG</w:t>
            </w:r>
          </w:p>
        </w:tc>
      </w:tr>
      <w:tr w:rsidR="00A1174B" w:rsidRPr="00E16D29" w14:paraId="65C7A920" w14:textId="77777777" w:rsidTr="004C6F54">
        <w:tc>
          <w:tcPr>
            <w:cnfStyle w:val="001000000000" w:firstRow="0" w:lastRow="0" w:firstColumn="1" w:lastColumn="0" w:oddVBand="0" w:evenVBand="0" w:oddHBand="0" w:evenHBand="0" w:firstRowFirstColumn="0" w:firstRowLastColumn="0" w:lastRowFirstColumn="0" w:lastRowLastColumn="0"/>
            <w:tcW w:w="1623"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46AAB4BB" w14:textId="77777777" w:rsidR="00A1174B" w:rsidRPr="00E16D29" w:rsidRDefault="00A1174B" w:rsidP="004C6F54">
            <w:pPr>
              <w:spacing w:line="360" w:lineRule="auto"/>
              <w:jc w:val="both"/>
              <w:rPr>
                <w:rFonts w:ascii="Arial" w:eastAsiaTheme="majorEastAsia" w:hAnsi="Arial" w:cs="Arial"/>
                <w:color w:val="000000" w:themeColor="text1"/>
                <w:sz w:val="20"/>
                <w:szCs w:val="20"/>
              </w:rPr>
            </w:pPr>
            <w:r w:rsidRPr="00E16D29">
              <w:rPr>
                <w:rFonts w:ascii="Arial" w:eastAsiaTheme="majorEastAsia" w:hAnsi="Arial" w:cs="Arial"/>
                <w:color w:val="000000" w:themeColor="text1"/>
                <w:sz w:val="20"/>
                <w:szCs w:val="20"/>
              </w:rPr>
              <w:t>KIT</w:t>
            </w:r>
          </w:p>
        </w:tc>
        <w:tc>
          <w:tcPr>
            <w:tcW w:w="3710" w:type="dxa"/>
            <w:tcBorders>
              <w:top w:val="single" w:sz="4" w:space="0" w:color="auto"/>
              <w:left w:val="single" w:sz="4" w:space="0" w:color="auto"/>
              <w:bottom w:val="single" w:sz="4" w:space="0" w:color="auto"/>
              <w:right w:val="single" w:sz="4" w:space="0" w:color="auto"/>
            </w:tcBorders>
            <w:shd w:val="clear" w:color="auto" w:fill="auto"/>
          </w:tcPr>
          <w:p w14:paraId="1DE4571B" w14:textId="77777777" w:rsidR="00A1174B" w:rsidRPr="00E16D29" w:rsidRDefault="00A1174B" w:rsidP="004C6F5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16D29">
              <w:rPr>
                <w:rFonts w:ascii="Arial" w:hAnsi="Arial" w:cs="Arial"/>
                <w:sz w:val="20"/>
                <w:szCs w:val="20"/>
              </w:rPr>
              <w:t>CAAGTCAGTGCTGTCGGAAA</w:t>
            </w:r>
          </w:p>
        </w:tc>
        <w:tc>
          <w:tcPr>
            <w:tcW w:w="3949" w:type="dxa"/>
            <w:tcBorders>
              <w:top w:val="single" w:sz="4" w:space="0" w:color="auto"/>
              <w:left w:val="single" w:sz="4" w:space="0" w:color="auto"/>
              <w:bottom w:val="single" w:sz="4" w:space="0" w:color="auto"/>
              <w:right w:val="single" w:sz="4" w:space="0" w:color="auto"/>
            </w:tcBorders>
            <w:shd w:val="clear" w:color="auto" w:fill="auto"/>
          </w:tcPr>
          <w:p w14:paraId="5BEE733C" w14:textId="77777777" w:rsidR="00A1174B" w:rsidRPr="00E16D29" w:rsidRDefault="00A1174B" w:rsidP="004C6F5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16D29">
              <w:rPr>
                <w:rFonts w:ascii="Arial" w:hAnsi="Arial" w:cs="Arial"/>
                <w:sz w:val="20"/>
                <w:szCs w:val="20"/>
              </w:rPr>
              <w:t>TGAATTCTTCCCCTTCCCTAA</w:t>
            </w:r>
          </w:p>
        </w:tc>
      </w:tr>
      <w:tr w:rsidR="00E16D29" w:rsidRPr="00E16D29" w14:paraId="2281BB5E" w14:textId="77777777" w:rsidTr="004C6F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3" w:type="dxa"/>
            <w:tcBorders>
              <w:top w:val="single" w:sz="4" w:space="0" w:color="auto"/>
              <w:left w:val="single" w:sz="4" w:space="0" w:color="auto"/>
              <w:bottom w:val="single" w:sz="4" w:space="0" w:color="auto"/>
              <w:right w:val="single" w:sz="4" w:space="0" w:color="auto"/>
            </w:tcBorders>
            <w:shd w:val="clear" w:color="auto" w:fill="auto"/>
            <w:tcMar>
              <w:left w:w="107" w:type="dxa"/>
            </w:tcMar>
          </w:tcPr>
          <w:p w14:paraId="77010AB1" w14:textId="1AB98FE1" w:rsidR="00E16D29" w:rsidRPr="00E16D29" w:rsidRDefault="00E16D29" w:rsidP="004C6F54">
            <w:pPr>
              <w:spacing w:line="360" w:lineRule="auto"/>
              <w:jc w:val="both"/>
              <w:rPr>
                <w:rFonts w:ascii="Arial" w:eastAsiaTheme="majorEastAsia" w:hAnsi="Arial" w:cs="Arial"/>
                <w:color w:val="FF0000"/>
                <w:sz w:val="20"/>
                <w:szCs w:val="20"/>
              </w:rPr>
            </w:pPr>
            <w:r w:rsidRPr="00E16D29">
              <w:rPr>
                <w:rFonts w:ascii="Arial" w:eastAsiaTheme="majorEastAsia" w:hAnsi="Arial" w:cs="Arial"/>
                <w:color w:val="FF0000"/>
                <w:sz w:val="20"/>
                <w:szCs w:val="20"/>
              </w:rPr>
              <w:t>RUNX1 promoter (ChIP-</w:t>
            </w:r>
            <w:r w:rsidR="00E80CD6">
              <w:rPr>
                <w:rFonts w:ascii="Arial" w:eastAsiaTheme="majorEastAsia" w:hAnsi="Arial" w:cs="Arial"/>
                <w:color w:val="FF0000"/>
                <w:sz w:val="20"/>
                <w:szCs w:val="20"/>
              </w:rPr>
              <w:t>q</w:t>
            </w:r>
            <w:r w:rsidRPr="00E16D29">
              <w:rPr>
                <w:rFonts w:ascii="Arial" w:eastAsiaTheme="majorEastAsia" w:hAnsi="Arial" w:cs="Arial"/>
                <w:color w:val="FF0000"/>
                <w:sz w:val="20"/>
                <w:szCs w:val="20"/>
              </w:rPr>
              <w:t>PCR)</w:t>
            </w:r>
          </w:p>
        </w:tc>
        <w:tc>
          <w:tcPr>
            <w:tcW w:w="3710" w:type="dxa"/>
            <w:tcBorders>
              <w:top w:val="single" w:sz="4" w:space="0" w:color="auto"/>
              <w:left w:val="single" w:sz="4" w:space="0" w:color="auto"/>
              <w:bottom w:val="single" w:sz="4" w:space="0" w:color="auto"/>
              <w:right w:val="single" w:sz="4" w:space="0" w:color="auto"/>
            </w:tcBorders>
            <w:shd w:val="clear" w:color="auto" w:fill="auto"/>
          </w:tcPr>
          <w:p w14:paraId="5B9E3871" w14:textId="77777777" w:rsidR="00E16D29" w:rsidRPr="00D33584" w:rsidRDefault="00E16D29" w:rsidP="00E16D29">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r w:rsidRPr="00D33584">
              <w:rPr>
                <w:rFonts w:ascii="Arial" w:hAnsi="Arial" w:cs="Arial"/>
                <w:color w:val="FF0000"/>
                <w:sz w:val="20"/>
                <w:szCs w:val="20"/>
              </w:rPr>
              <w:t>CCTGTGGTTTGCATTCAGTG</w:t>
            </w:r>
          </w:p>
          <w:p w14:paraId="7E041697" w14:textId="77777777" w:rsidR="00E16D29" w:rsidRPr="00D33584" w:rsidRDefault="00E16D29" w:rsidP="004C6F5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tc>
        <w:tc>
          <w:tcPr>
            <w:tcW w:w="3949" w:type="dxa"/>
            <w:tcBorders>
              <w:top w:val="single" w:sz="4" w:space="0" w:color="auto"/>
              <w:left w:val="single" w:sz="4" w:space="0" w:color="auto"/>
              <w:bottom w:val="single" w:sz="4" w:space="0" w:color="auto"/>
              <w:right w:val="single" w:sz="4" w:space="0" w:color="auto"/>
            </w:tcBorders>
            <w:shd w:val="clear" w:color="auto" w:fill="auto"/>
          </w:tcPr>
          <w:p w14:paraId="671D3E2E" w14:textId="77777777" w:rsidR="00E16D29" w:rsidRPr="00D33584" w:rsidRDefault="00E16D29" w:rsidP="00E16D29">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r w:rsidRPr="00D33584">
              <w:rPr>
                <w:rFonts w:ascii="Arial" w:hAnsi="Arial" w:cs="Arial"/>
                <w:color w:val="FF0000"/>
                <w:sz w:val="20"/>
                <w:szCs w:val="20"/>
              </w:rPr>
              <w:t>ATTGAGATGGGCTGTGGAAA</w:t>
            </w:r>
          </w:p>
          <w:p w14:paraId="7DE3AD71" w14:textId="77777777" w:rsidR="00E16D29" w:rsidRPr="00D33584" w:rsidRDefault="00E16D29" w:rsidP="004C6F54">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tc>
      </w:tr>
    </w:tbl>
    <w:p w14:paraId="37B012C8" w14:textId="77777777" w:rsidR="00A1174B" w:rsidRDefault="00A1174B" w:rsidP="00A1174B">
      <w:pPr>
        <w:spacing w:line="360" w:lineRule="auto"/>
        <w:jc w:val="both"/>
        <w:rPr>
          <w:rFonts w:ascii="Arial" w:hAnsi="Arial"/>
          <w:b/>
          <w:bCs/>
          <w:i/>
          <w:color w:val="000000"/>
          <w:sz w:val="20"/>
          <w:szCs w:val="20"/>
        </w:rPr>
      </w:pPr>
    </w:p>
    <w:p w14:paraId="78CD5A8B" w14:textId="77777777" w:rsidR="00A1174B" w:rsidRDefault="00A1174B" w:rsidP="0072761D">
      <w:pPr>
        <w:spacing w:line="360" w:lineRule="auto"/>
        <w:jc w:val="both"/>
        <w:rPr>
          <w:rFonts w:ascii="Arial" w:hAnsi="Arial"/>
          <w:b/>
          <w:bCs/>
          <w:i/>
          <w:color w:val="000000"/>
          <w:sz w:val="20"/>
          <w:szCs w:val="20"/>
        </w:rPr>
      </w:pPr>
    </w:p>
    <w:p w14:paraId="2C4AC027" w14:textId="419DA9B9" w:rsidR="0072761D" w:rsidRPr="00340FC5" w:rsidRDefault="00567387" w:rsidP="0072761D">
      <w:pPr>
        <w:spacing w:line="360" w:lineRule="auto"/>
        <w:jc w:val="both"/>
        <w:rPr>
          <w:rFonts w:ascii="Arial" w:hAnsi="Arial"/>
          <w:b/>
          <w:bCs/>
          <w:i/>
          <w:color w:val="000000"/>
          <w:sz w:val="20"/>
          <w:szCs w:val="20"/>
        </w:rPr>
      </w:pPr>
      <w:r>
        <w:rPr>
          <w:rFonts w:ascii="Arial" w:hAnsi="Arial"/>
          <w:b/>
          <w:bCs/>
          <w:i/>
          <w:color w:val="000000"/>
          <w:sz w:val="20"/>
          <w:szCs w:val="20"/>
        </w:rPr>
        <w:t>Supplemental Tab</w:t>
      </w:r>
      <w:r w:rsidR="00A1174B">
        <w:rPr>
          <w:rFonts w:ascii="Arial" w:hAnsi="Arial"/>
          <w:b/>
          <w:bCs/>
          <w:i/>
          <w:color w:val="000000"/>
          <w:sz w:val="20"/>
          <w:szCs w:val="20"/>
        </w:rPr>
        <w:t>le S2</w:t>
      </w:r>
      <w:r w:rsidR="0072761D" w:rsidRPr="00340FC5">
        <w:rPr>
          <w:rFonts w:ascii="Arial" w:hAnsi="Arial"/>
          <w:b/>
          <w:bCs/>
          <w:i/>
          <w:color w:val="000000"/>
          <w:sz w:val="20"/>
          <w:szCs w:val="20"/>
        </w:rPr>
        <w:t>: List of antibodies used.</w:t>
      </w:r>
    </w:p>
    <w:tbl>
      <w:tblPr>
        <w:tblW w:w="7182" w:type="dxa"/>
        <w:tblCellMar>
          <w:left w:w="107" w:type="dxa"/>
        </w:tblCellMar>
        <w:tblLook w:val="04A0" w:firstRow="1" w:lastRow="0" w:firstColumn="1" w:lastColumn="0" w:noHBand="0" w:noVBand="1"/>
      </w:tblPr>
      <w:tblGrid>
        <w:gridCol w:w="2394"/>
        <w:gridCol w:w="2394"/>
        <w:gridCol w:w="2394"/>
      </w:tblGrid>
      <w:tr w:rsidR="0072761D" w:rsidRPr="00340FC5" w14:paraId="3FE6A95D"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4ABA735B"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Antigen</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DE84611"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Reference</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02D4FC7B"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Uses</w:t>
            </w:r>
          </w:p>
        </w:tc>
      </w:tr>
      <w:tr w:rsidR="0072761D" w:rsidRPr="00340FC5" w14:paraId="63962210"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0EFC34D9" w14:textId="08327EB7" w:rsidR="0072761D" w:rsidRPr="000B6C67" w:rsidRDefault="0072761D" w:rsidP="00AE37F7">
            <w:pPr>
              <w:spacing w:after="0" w:line="360" w:lineRule="auto"/>
              <w:jc w:val="both"/>
              <w:rPr>
                <w:rFonts w:ascii="Arial" w:hAnsi="Arial" w:cs="Arial"/>
                <w:sz w:val="20"/>
                <w:szCs w:val="20"/>
                <w:lang w:eastAsia="fr-FR"/>
              </w:rPr>
            </w:pPr>
            <w:r w:rsidRPr="000B6C67">
              <w:rPr>
                <w:rFonts w:ascii="Arial" w:hAnsi="Arial" w:cs="Arial"/>
                <w:sz w:val="20"/>
                <w:szCs w:val="20"/>
                <w:lang w:eastAsia="fr-FR"/>
              </w:rPr>
              <w:t>CBFA2T3</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7C842E10"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Ab33072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75E815B8" w14:textId="1FCEA765"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 WB, Co-IP</w:t>
            </w:r>
            <w:r w:rsidR="00E4170E" w:rsidRPr="000B6C67">
              <w:rPr>
                <w:rFonts w:ascii="Arial" w:hAnsi="Arial" w:cs="Arial"/>
                <w:sz w:val="20"/>
                <w:szCs w:val="20"/>
                <w:lang w:eastAsia="fr-FR"/>
              </w:rPr>
              <w:t>, ChIP-Seq</w:t>
            </w:r>
          </w:p>
        </w:tc>
      </w:tr>
      <w:tr w:rsidR="0072761D" w:rsidRPr="00340FC5" w14:paraId="50E80823"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1A5A126"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CBFA2T3</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A23E069"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Ab167326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D64D90F"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 WB</w:t>
            </w:r>
          </w:p>
        </w:tc>
      </w:tr>
      <w:tr w:rsidR="0072761D" w:rsidRPr="00340FC5" w14:paraId="4B959D3B"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708D11EF"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CBFA2T3</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EF5FB40"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Ab234985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DB4C926" w14:textId="12CC705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WB</w:t>
            </w:r>
            <w:r w:rsidR="00AE37F7">
              <w:rPr>
                <w:rFonts w:ascii="Arial" w:hAnsi="Arial" w:cs="Arial"/>
                <w:sz w:val="20"/>
                <w:szCs w:val="20"/>
                <w:lang w:eastAsia="fr-FR"/>
              </w:rPr>
              <w:t xml:space="preserve">, </w:t>
            </w:r>
            <w:proofErr w:type="spellStart"/>
            <w:r w:rsidR="00AE37F7">
              <w:rPr>
                <w:rFonts w:ascii="Arial" w:hAnsi="Arial" w:cs="Arial"/>
                <w:sz w:val="20"/>
                <w:szCs w:val="20"/>
                <w:lang w:eastAsia="fr-FR"/>
              </w:rPr>
              <w:t>Chip-qPCR</w:t>
            </w:r>
            <w:proofErr w:type="spellEnd"/>
          </w:p>
        </w:tc>
      </w:tr>
      <w:tr w:rsidR="0072761D" w:rsidRPr="00340FC5" w14:paraId="3E9B6E99"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45BDC5F6"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ETV6</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C604CEE" w14:textId="77777777" w:rsidR="0072761D" w:rsidRPr="000B6C67" w:rsidRDefault="0072761D"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lang w:eastAsia="fr-FR"/>
              </w:rPr>
              <w:t>ab54705</w:t>
            </w:r>
            <w:proofErr w:type="gramEnd"/>
            <w:r w:rsidRPr="000B6C67">
              <w:rPr>
                <w:rFonts w:ascii="Arial" w:hAnsi="Arial" w:cs="Arial"/>
                <w:sz w:val="20"/>
                <w:szCs w:val="20"/>
                <w:lang w:eastAsia="fr-FR"/>
              </w:rPr>
              <w:t xml:space="preserve">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357402C7"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72761D" w:rsidRPr="00340FC5" w14:paraId="358F2EE5"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BEEC968"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ETV6</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42B19537" w14:textId="77777777" w:rsidR="0072761D" w:rsidRPr="000B6C67" w:rsidRDefault="0072761D"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lang w:eastAsia="fr-FR"/>
              </w:rPr>
              <w:t>sc11382</w:t>
            </w:r>
            <w:proofErr w:type="gramEnd"/>
            <w:r w:rsidRPr="000B6C67">
              <w:rPr>
                <w:rFonts w:ascii="Arial" w:hAnsi="Arial" w:cs="Arial"/>
                <w:sz w:val="20"/>
                <w:szCs w:val="20"/>
                <w:lang w:eastAsia="fr-FR"/>
              </w:rPr>
              <w:t xml:space="preserve"> (Santa Cruz biotechnology)</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31B63154"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72761D" w:rsidRPr="00340FC5" w14:paraId="5D92A4C6"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5106D6B1" w14:textId="77777777" w:rsidR="0072761D" w:rsidRPr="000B6C67" w:rsidRDefault="0072761D" w:rsidP="005F2B59">
            <w:pPr>
              <w:spacing w:after="0" w:line="360" w:lineRule="auto"/>
              <w:jc w:val="both"/>
              <w:rPr>
                <w:rFonts w:ascii="Arial" w:hAnsi="Arial" w:cs="Arial"/>
                <w:sz w:val="20"/>
                <w:szCs w:val="20"/>
                <w:lang w:eastAsia="fr-FR"/>
              </w:rPr>
            </w:pPr>
            <w:proofErr w:type="spellStart"/>
            <w:r w:rsidRPr="000B6C67">
              <w:rPr>
                <w:rFonts w:ascii="Arial" w:hAnsi="Arial" w:cs="Arial"/>
                <w:sz w:val="20"/>
                <w:szCs w:val="20"/>
                <w:lang w:eastAsia="fr-FR"/>
              </w:rPr>
              <w:t>Halotag</w:t>
            </w:r>
            <w:proofErr w:type="spellEnd"/>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0E67136E"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G9281 (</w:t>
            </w:r>
            <w:proofErr w:type="spellStart"/>
            <w:r w:rsidRPr="000B6C67">
              <w:rPr>
                <w:rFonts w:ascii="Arial" w:hAnsi="Arial" w:cs="Arial"/>
                <w:sz w:val="20"/>
                <w:szCs w:val="20"/>
                <w:lang w:eastAsia="fr-FR"/>
              </w:rPr>
              <w:t>Promega</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3610F3F"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Co-IP, WB</w:t>
            </w:r>
          </w:p>
        </w:tc>
      </w:tr>
      <w:tr w:rsidR="0072761D" w:rsidRPr="00340FC5" w14:paraId="38F2BC0D"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5DC8254E"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H3K4me1</w:t>
            </w:r>
          </w:p>
          <w:p w14:paraId="624C1852" w14:textId="77777777" w:rsidR="0072761D" w:rsidRPr="000B6C67" w:rsidRDefault="0072761D" w:rsidP="005F2B59">
            <w:pPr>
              <w:spacing w:after="0" w:line="360" w:lineRule="auto"/>
              <w:jc w:val="both"/>
              <w:rPr>
                <w:rFonts w:ascii="Arial" w:hAnsi="Arial" w:cs="Arial"/>
                <w:sz w:val="20"/>
                <w:szCs w:val="20"/>
                <w:lang w:eastAsia="fr-FR"/>
              </w:rPr>
            </w:pP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C4DECB7"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07-436 (Merck Millipore)</w:t>
            </w:r>
          </w:p>
          <w:p w14:paraId="747EE3AC" w14:textId="77777777" w:rsidR="0072761D" w:rsidRPr="000B6C67" w:rsidRDefault="0072761D" w:rsidP="005F2B59">
            <w:pPr>
              <w:spacing w:after="0" w:line="360" w:lineRule="auto"/>
              <w:jc w:val="both"/>
              <w:rPr>
                <w:rFonts w:ascii="Arial" w:hAnsi="Arial" w:cs="Arial"/>
                <w:sz w:val="20"/>
                <w:szCs w:val="20"/>
                <w:lang w:eastAsia="fr-FR"/>
              </w:rPr>
            </w:pP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42F12A5B"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ChIP-Seq</w:t>
            </w:r>
          </w:p>
        </w:tc>
      </w:tr>
      <w:tr w:rsidR="0072761D" w:rsidRPr="00340FC5" w14:paraId="270C06D7"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53251424"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H3k4me3</w:t>
            </w:r>
          </w:p>
          <w:p w14:paraId="5082859D" w14:textId="77777777" w:rsidR="0072761D" w:rsidRPr="000B6C67" w:rsidRDefault="0072761D" w:rsidP="005F2B59">
            <w:pPr>
              <w:spacing w:after="0" w:line="360" w:lineRule="auto"/>
              <w:jc w:val="both"/>
              <w:rPr>
                <w:rFonts w:ascii="Arial" w:hAnsi="Arial" w:cs="Arial"/>
                <w:sz w:val="20"/>
                <w:szCs w:val="20"/>
                <w:lang w:eastAsia="fr-FR"/>
              </w:rPr>
            </w:pP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3A4CBE63"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04-745 (Merck Millipore)</w:t>
            </w:r>
          </w:p>
          <w:p w14:paraId="2D30BA73" w14:textId="77777777" w:rsidR="0072761D" w:rsidRPr="000B6C67" w:rsidRDefault="0072761D" w:rsidP="005F2B59">
            <w:pPr>
              <w:spacing w:after="0" w:line="360" w:lineRule="auto"/>
              <w:jc w:val="both"/>
              <w:rPr>
                <w:rFonts w:ascii="Arial" w:hAnsi="Arial" w:cs="Arial"/>
                <w:sz w:val="20"/>
                <w:szCs w:val="20"/>
                <w:lang w:eastAsia="fr-FR"/>
              </w:rPr>
            </w:pP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416DA97D"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ChIP-Seq</w:t>
            </w:r>
          </w:p>
        </w:tc>
      </w:tr>
      <w:tr w:rsidR="0072761D" w:rsidRPr="00340FC5" w14:paraId="1458B2F1"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36F2533"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H3K27ac</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9F2C6C2" w14:textId="77777777" w:rsidR="0072761D" w:rsidRPr="000B6C67" w:rsidRDefault="0072761D"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lang w:eastAsia="fr-FR"/>
              </w:rPr>
              <w:t>ab4729</w:t>
            </w:r>
            <w:proofErr w:type="gramEnd"/>
            <w:r w:rsidRPr="000B6C67">
              <w:rPr>
                <w:rFonts w:ascii="Arial" w:hAnsi="Arial" w:cs="Arial"/>
                <w:sz w:val="20"/>
                <w:szCs w:val="20"/>
                <w:lang w:eastAsia="fr-FR"/>
              </w:rPr>
              <w:t xml:space="preserve">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1BFC0EA"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ChIP-Seq</w:t>
            </w:r>
          </w:p>
        </w:tc>
      </w:tr>
      <w:tr w:rsidR="0072761D" w:rsidRPr="00340FC5" w14:paraId="54EFF4B6"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9D58A8A"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HSC70</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00309273" w14:textId="77777777" w:rsidR="0072761D" w:rsidRPr="000B6C67" w:rsidRDefault="0072761D"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lang w:eastAsia="fr-FR"/>
              </w:rPr>
              <w:t>sc7298</w:t>
            </w:r>
            <w:proofErr w:type="gramEnd"/>
            <w:r w:rsidRPr="000B6C67">
              <w:rPr>
                <w:rFonts w:ascii="Arial" w:hAnsi="Arial" w:cs="Arial"/>
                <w:sz w:val="20"/>
                <w:szCs w:val="20"/>
                <w:lang w:eastAsia="fr-FR"/>
              </w:rPr>
              <w:t xml:space="preserve"> (Santa Cruz biotechnology)</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26EEFBC"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WB</w:t>
            </w:r>
          </w:p>
        </w:tc>
      </w:tr>
      <w:tr w:rsidR="0072761D" w:rsidRPr="00340FC5" w14:paraId="76D367FE"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48BC42F" w14:textId="77777777" w:rsidR="0072761D" w:rsidRPr="000B6C67" w:rsidRDefault="0072761D" w:rsidP="005F2B59">
            <w:pPr>
              <w:spacing w:after="0" w:line="360" w:lineRule="auto"/>
              <w:jc w:val="both"/>
              <w:rPr>
                <w:rFonts w:ascii="Arial" w:hAnsi="Arial" w:cs="Arial"/>
                <w:sz w:val="20"/>
                <w:szCs w:val="20"/>
                <w:lang w:eastAsia="fr-FR"/>
              </w:rPr>
            </w:pPr>
            <w:proofErr w:type="spellStart"/>
            <w:r w:rsidRPr="000B6C67">
              <w:rPr>
                <w:rFonts w:ascii="Arial" w:hAnsi="Arial" w:cs="Arial"/>
                <w:sz w:val="20"/>
                <w:szCs w:val="20"/>
                <w:lang w:eastAsia="fr-FR"/>
              </w:rPr>
              <w:t>Myc</w:t>
            </w:r>
            <w:proofErr w:type="spellEnd"/>
            <w:r w:rsidRPr="000B6C67">
              <w:rPr>
                <w:rFonts w:ascii="Arial" w:hAnsi="Arial" w:cs="Arial"/>
                <w:sz w:val="20"/>
                <w:szCs w:val="20"/>
                <w:lang w:eastAsia="fr-FR"/>
              </w:rPr>
              <w:t>-tag</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50F1FF49"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 xml:space="preserve">2278P (cell </w:t>
            </w:r>
            <w:proofErr w:type="spellStart"/>
            <w:r w:rsidRPr="000B6C67">
              <w:rPr>
                <w:rFonts w:ascii="Arial" w:hAnsi="Arial" w:cs="Arial"/>
                <w:sz w:val="20"/>
                <w:szCs w:val="20"/>
                <w:lang w:eastAsia="fr-FR"/>
              </w:rPr>
              <w:t>signaling</w:t>
            </w:r>
            <w:proofErr w:type="spellEnd"/>
            <w:r w:rsidRPr="000B6C67">
              <w:rPr>
                <w:rFonts w:ascii="Arial" w:hAnsi="Arial" w:cs="Arial"/>
                <w:sz w:val="20"/>
                <w:szCs w:val="20"/>
                <w:lang w:eastAsia="fr-FR"/>
              </w:rPr>
              <w:t xml:space="preserve"> technology)</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EDB86E8"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WB</w:t>
            </w:r>
          </w:p>
        </w:tc>
      </w:tr>
      <w:tr w:rsidR="0072761D" w:rsidRPr="00340FC5" w14:paraId="35219C5E"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74962E7" w14:textId="77777777" w:rsidR="0072761D" w:rsidRPr="000B6C67" w:rsidRDefault="0072761D" w:rsidP="005F2B59">
            <w:pPr>
              <w:spacing w:after="0" w:line="360" w:lineRule="auto"/>
              <w:jc w:val="both"/>
              <w:rPr>
                <w:rFonts w:ascii="Arial" w:hAnsi="Arial" w:cs="Arial"/>
                <w:sz w:val="20"/>
                <w:szCs w:val="20"/>
                <w:lang w:eastAsia="fr-FR"/>
              </w:rPr>
            </w:pPr>
            <w:proofErr w:type="spellStart"/>
            <w:r w:rsidRPr="000B6C67">
              <w:rPr>
                <w:rFonts w:ascii="Arial" w:hAnsi="Arial" w:cs="Arial"/>
                <w:sz w:val="20"/>
                <w:szCs w:val="20"/>
                <w:lang w:eastAsia="fr-FR"/>
              </w:rPr>
              <w:t>Myc</w:t>
            </w:r>
            <w:proofErr w:type="spellEnd"/>
            <w:r w:rsidRPr="000B6C67">
              <w:rPr>
                <w:rFonts w:ascii="Arial" w:hAnsi="Arial" w:cs="Arial"/>
                <w:sz w:val="20"/>
                <w:szCs w:val="20"/>
                <w:lang w:eastAsia="fr-FR"/>
              </w:rPr>
              <w:t>-tag</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4563F37C"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 xml:space="preserve">CST 71D10 (Cell </w:t>
            </w:r>
            <w:proofErr w:type="spellStart"/>
            <w:r w:rsidRPr="000B6C67">
              <w:rPr>
                <w:rFonts w:ascii="Arial" w:hAnsi="Arial" w:cs="Arial"/>
                <w:sz w:val="20"/>
                <w:szCs w:val="20"/>
                <w:lang w:eastAsia="fr-FR"/>
              </w:rPr>
              <w:t>Signaling</w:t>
            </w:r>
            <w:proofErr w:type="spellEnd"/>
            <w:r w:rsidRPr="000B6C67">
              <w:rPr>
                <w:rFonts w:ascii="Arial" w:hAnsi="Arial" w:cs="Arial"/>
                <w:sz w:val="20"/>
                <w:szCs w:val="20"/>
                <w:lang w:eastAsia="fr-FR"/>
              </w:rPr>
              <w:t xml:space="preserve"> Technology)</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680C566"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WB, PLA</w:t>
            </w:r>
          </w:p>
        </w:tc>
      </w:tr>
      <w:tr w:rsidR="0072761D" w:rsidRPr="00340FC5" w14:paraId="561125CA"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5789278"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RUNX1</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5D97FB01" w14:textId="77777777" w:rsidR="0072761D" w:rsidRPr="000B6C67" w:rsidRDefault="0072761D"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lang w:eastAsia="fr-FR"/>
              </w:rPr>
              <w:t>ab23980</w:t>
            </w:r>
            <w:proofErr w:type="gramEnd"/>
            <w:r w:rsidRPr="000B6C67">
              <w:rPr>
                <w:rFonts w:ascii="Arial" w:hAnsi="Arial" w:cs="Arial"/>
                <w:sz w:val="20"/>
                <w:szCs w:val="20"/>
                <w:lang w:eastAsia="fr-FR"/>
              </w:rPr>
              <w:t xml:space="preserve">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A854768" w14:textId="1433F47F" w:rsidR="0072761D" w:rsidRPr="000B6C67" w:rsidRDefault="00680D21"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 ChIP-</w:t>
            </w:r>
            <w:r w:rsidR="0072761D" w:rsidRPr="000B6C67">
              <w:rPr>
                <w:rFonts w:ascii="Arial" w:hAnsi="Arial" w:cs="Arial"/>
                <w:sz w:val="20"/>
                <w:szCs w:val="20"/>
                <w:lang w:eastAsia="fr-FR"/>
              </w:rPr>
              <w:t xml:space="preserve">Seq, </w:t>
            </w:r>
            <w:r w:rsidR="00AE37F7">
              <w:rPr>
                <w:rFonts w:ascii="Arial" w:hAnsi="Arial" w:cs="Arial"/>
                <w:sz w:val="20"/>
                <w:szCs w:val="20"/>
                <w:lang w:eastAsia="fr-FR"/>
              </w:rPr>
              <w:t xml:space="preserve">ChIP-qPCR, </w:t>
            </w:r>
            <w:r w:rsidR="0072761D" w:rsidRPr="000B6C67">
              <w:rPr>
                <w:rFonts w:ascii="Arial" w:hAnsi="Arial" w:cs="Arial"/>
                <w:sz w:val="20"/>
                <w:szCs w:val="20"/>
                <w:lang w:eastAsia="fr-FR"/>
              </w:rPr>
              <w:t>Co-IP, WB</w:t>
            </w:r>
          </w:p>
        </w:tc>
      </w:tr>
      <w:tr w:rsidR="0072761D" w:rsidRPr="00340FC5" w14:paraId="2BB422CC"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6AE39B62"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RUNX1</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38CCF91C"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Ab11035 (</w:t>
            </w:r>
            <w:proofErr w:type="spellStart"/>
            <w:r w:rsidRPr="000B6C67">
              <w:rPr>
                <w:rFonts w:ascii="Arial" w:hAnsi="Arial" w:cs="Arial"/>
                <w:sz w:val="20"/>
                <w:szCs w:val="20"/>
                <w:lang w:eastAsia="fr-FR"/>
              </w:rPr>
              <w:t>Abcam</w:t>
            </w:r>
            <w:proofErr w:type="spellEnd"/>
            <w:r w:rsidRPr="000B6C67">
              <w:rPr>
                <w:rFonts w:ascii="Arial" w:hAnsi="Arial" w:cs="Arial"/>
                <w:sz w:val="20"/>
                <w:szCs w:val="20"/>
                <w:lang w:eastAsia="fr-FR"/>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2A7D806A"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72761D" w:rsidRPr="00340FC5" w14:paraId="0E228189"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38A7C01B"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RUNX1</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681970A"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MABD169 (EMD Millipore)</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048C1C33"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72761D" w:rsidRPr="00340FC5" w14:paraId="4B82B756" w14:textId="77777777" w:rsidTr="008464DE">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5CD0104D"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Flag</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350E4845" w14:textId="77777777" w:rsidR="0072761D" w:rsidRPr="000B6C67" w:rsidRDefault="0072761D"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F1804 (Sigma)</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7FF740ED" w14:textId="0FA60D55" w:rsidR="0072761D" w:rsidRPr="000B6C67" w:rsidRDefault="00456FF1"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WB</w:t>
            </w:r>
          </w:p>
        </w:tc>
      </w:tr>
      <w:tr w:rsidR="00456FF1" w:rsidRPr="00340FC5" w14:paraId="13B40384" w14:textId="77777777" w:rsidTr="008464DE">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323D9F0D" w14:textId="29759C3C" w:rsidR="00456FF1" w:rsidRPr="000B6C67" w:rsidRDefault="00456FF1"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Flag</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010B86F3" w14:textId="7BF78D98" w:rsidR="00456FF1" w:rsidRPr="000B6C67" w:rsidRDefault="00456FF1" w:rsidP="005F2B59">
            <w:pPr>
              <w:spacing w:after="0" w:line="360" w:lineRule="auto"/>
              <w:jc w:val="both"/>
              <w:rPr>
                <w:rFonts w:ascii="Arial" w:hAnsi="Arial" w:cs="Arial"/>
                <w:sz w:val="20"/>
                <w:szCs w:val="20"/>
                <w:lang w:eastAsia="fr-FR"/>
              </w:rPr>
            </w:pPr>
            <w:r w:rsidRPr="000B6C67">
              <w:rPr>
                <w:rFonts w:ascii="Arial" w:hAnsi="Arial" w:cs="Arial"/>
                <w:sz w:val="20"/>
                <w:szCs w:val="20"/>
                <w:lang w:val="en-US"/>
              </w:rPr>
              <w:t>M8823, Sigma</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3244C7DC" w14:textId="29B89695" w:rsidR="00456FF1" w:rsidRPr="000B6C67" w:rsidRDefault="00456FF1"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Co-IP</w:t>
            </w:r>
          </w:p>
        </w:tc>
      </w:tr>
      <w:tr w:rsidR="008464DE" w:rsidRPr="00340FC5" w14:paraId="76D82931" w14:textId="77777777" w:rsidTr="008464DE">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38CCD15B" w14:textId="38EF29C7" w:rsidR="008464DE" w:rsidRPr="000B6C67" w:rsidRDefault="00D33EA4" w:rsidP="005F2B59">
            <w:pPr>
              <w:spacing w:after="0" w:line="360" w:lineRule="auto"/>
              <w:jc w:val="both"/>
              <w:rPr>
                <w:rFonts w:ascii="Arial" w:hAnsi="Arial" w:cs="Arial"/>
                <w:sz w:val="20"/>
                <w:szCs w:val="20"/>
                <w:lang w:eastAsia="fr-FR"/>
              </w:rPr>
            </w:pPr>
            <w:r w:rsidRPr="000B6C67">
              <w:rPr>
                <w:rFonts w:ascii="Arial" w:hAnsi="Arial" w:cs="Arial"/>
                <w:sz w:val="20"/>
                <w:szCs w:val="20"/>
              </w:rPr>
              <w:t>KAT3A/CBP</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24886807" w14:textId="0E90E1EA" w:rsidR="008464DE" w:rsidRPr="000B6C67" w:rsidRDefault="00D33EA4"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rPr>
              <w:t>ab2832</w:t>
            </w:r>
            <w:proofErr w:type="gramEnd"/>
            <w:r w:rsidRPr="000B6C67">
              <w:rPr>
                <w:rFonts w:ascii="Arial" w:hAnsi="Arial" w:cs="Arial"/>
                <w:sz w:val="20"/>
                <w:szCs w:val="20"/>
              </w:rPr>
              <w:t xml:space="preserve"> (</w:t>
            </w:r>
            <w:proofErr w:type="spellStart"/>
            <w:r w:rsidRPr="000B6C67">
              <w:rPr>
                <w:rFonts w:ascii="Arial" w:hAnsi="Arial" w:cs="Arial"/>
                <w:sz w:val="20"/>
                <w:szCs w:val="20"/>
              </w:rPr>
              <w:t>Abcam</w:t>
            </w:r>
            <w:proofErr w:type="spellEnd"/>
            <w:r w:rsidRPr="000B6C67">
              <w:rPr>
                <w:rFonts w:ascii="Arial" w:hAnsi="Arial" w:cs="Arial"/>
                <w:sz w:val="20"/>
                <w:szCs w:val="20"/>
              </w:rPr>
              <w:t>)</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200B9176" w14:textId="1F427156" w:rsidR="008464DE" w:rsidRPr="000B6C67" w:rsidRDefault="008464DE"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8464DE" w:rsidRPr="00340FC5" w14:paraId="0E103809" w14:textId="77777777" w:rsidTr="008464DE">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4D3FD527" w14:textId="5A970CE8" w:rsidR="008464DE" w:rsidRPr="000B6C67" w:rsidRDefault="00D33EA4" w:rsidP="005F2B59">
            <w:pPr>
              <w:spacing w:after="0" w:line="360" w:lineRule="auto"/>
              <w:jc w:val="both"/>
              <w:rPr>
                <w:rFonts w:ascii="Arial" w:hAnsi="Arial" w:cs="Arial"/>
                <w:sz w:val="20"/>
                <w:szCs w:val="20"/>
                <w:lang w:eastAsia="fr-FR"/>
              </w:rPr>
            </w:pPr>
            <w:r w:rsidRPr="000B6C67">
              <w:rPr>
                <w:rFonts w:ascii="Arial" w:hAnsi="Arial" w:cs="Arial"/>
                <w:sz w:val="20"/>
                <w:szCs w:val="20"/>
              </w:rPr>
              <w:t>KAT3B/EP300</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24E1272A" w14:textId="196C4A11" w:rsidR="008464DE" w:rsidRPr="000B6C67" w:rsidRDefault="00D33EA4" w:rsidP="005F2B59">
            <w:pPr>
              <w:spacing w:after="0" w:line="360" w:lineRule="auto"/>
              <w:jc w:val="both"/>
              <w:rPr>
                <w:rFonts w:ascii="Arial" w:hAnsi="Arial" w:cs="Arial"/>
                <w:sz w:val="20"/>
                <w:szCs w:val="20"/>
                <w:lang w:eastAsia="fr-FR"/>
              </w:rPr>
            </w:pPr>
            <w:proofErr w:type="gramStart"/>
            <w:r w:rsidRPr="000B6C67">
              <w:rPr>
                <w:rFonts w:ascii="Arial" w:hAnsi="Arial" w:cs="Arial"/>
                <w:sz w:val="20"/>
                <w:szCs w:val="20"/>
              </w:rPr>
              <w:t>ab54984</w:t>
            </w:r>
            <w:proofErr w:type="gramEnd"/>
            <w:r w:rsidRPr="000B6C67">
              <w:rPr>
                <w:rFonts w:ascii="Arial" w:hAnsi="Arial" w:cs="Arial"/>
                <w:sz w:val="20"/>
                <w:szCs w:val="20"/>
              </w:rPr>
              <w:t xml:space="preserve"> (</w:t>
            </w:r>
            <w:proofErr w:type="spellStart"/>
            <w:r w:rsidRPr="000B6C67">
              <w:rPr>
                <w:rFonts w:ascii="Arial" w:hAnsi="Arial" w:cs="Arial"/>
                <w:sz w:val="20"/>
                <w:szCs w:val="20"/>
              </w:rPr>
              <w:t>Abcam</w:t>
            </w:r>
            <w:proofErr w:type="spellEnd"/>
            <w:r w:rsidRPr="000B6C67">
              <w:rPr>
                <w:rFonts w:ascii="Arial" w:hAnsi="Arial" w:cs="Arial"/>
                <w:sz w:val="20"/>
                <w:szCs w:val="20"/>
              </w:rPr>
              <w:t>)</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6CA8429B" w14:textId="5302AF55" w:rsidR="008464DE" w:rsidRPr="000B6C67" w:rsidRDefault="008464DE"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8464DE" w:rsidRPr="00340FC5" w14:paraId="01848569" w14:textId="77777777" w:rsidTr="00C111B2">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48EDE5E3" w14:textId="1F37B42C" w:rsidR="008464DE" w:rsidRPr="000B6C67" w:rsidRDefault="00C111B2"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NCOR</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69990423" w14:textId="41DAF534" w:rsidR="008464DE" w:rsidRPr="000B6C67" w:rsidRDefault="00127262" w:rsidP="00127262">
            <w:pPr>
              <w:widowControl w:val="0"/>
              <w:autoSpaceDE w:val="0"/>
              <w:autoSpaceDN w:val="0"/>
              <w:adjustRightInd w:val="0"/>
              <w:spacing w:after="240" w:line="300" w:lineRule="atLeast"/>
              <w:rPr>
                <w:rFonts w:ascii="Arial" w:eastAsiaTheme="minorEastAsia" w:hAnsi="Arial" w:cs="Arial"/>
                <w:sz w:val="20"/>
                <w:szCs w:val="20"/>
                <w:lang w:val="fr-FR" w:eastAsia="ja-JP"/>
              </w:rPr>
            </w:pPr>
            <w:r w:rsidRPr="000B6C67">
              <w:rPr>
                <w:rFonts w:ascii="Arial" w:eastAsiaTheme="minorEastAsia" w:hAnsi="Arial" w:cs="Arial"/>
                <w:sz w:val="20"/>
                <w:szCs w:val="20"/>
                <w:lang w:val="fr-FR" w:eastAsia="ja-JP"/>
              </w:rPr>
              <w:t xml:space="preserve">ab24552 </w:t>
            </w:r>
            <w:r w:rsidRPr="000B6C67">
              <w:rPr>
                <w:rFonts w:ascii="Arial" w:hAnsi="Arial" w:cs="Arial"/>
                <w:sz w:val="20"/>
                <w:szCs w:val="20"/>
              </w:rPr>
              <w:t>(</w:t>
            </w:r>
            <w:proofErr w:type="spellStart"/>
            <w:r w:rsidRPr="000B6C67">
              <w:rPr>
                <w:rFonts w:ascii="Arial" w:hAnsi="Arial" w:cs="Arial"/>
                <w:sz w:val="20"/>
                <w:szCs w:val="20"/>
              </w:rPr>
              <w:t>Abcam</w:t>
            </w:r>
            <w:proofErr w:type="spellEnd"/>
            <w:r w:rsidRPr="000B6C67">
              <w:rPr>
                <w:rFonts w:ascii="Arial" w:hAnsi="Arial" w:cs="Arial"/>
                <w:sz w:val="20"/>
                <w:szCs w:val="20"/>
              </w:rPr>
              <w:t>)</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2E40A847" w14:textId="290D2779" w:rsidR="008464DE" w:rsidRPr="000B6C67" w:rsidRDefault="008464DE"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C111B2" w:rsidRPr="00340FC5" w14:paraId="15BD4F62" w14:textId="77777777" w:rsidTr="00C111B2">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4B3C0BFC" w14:textId="75AC703A" w:rsidR="00C111B2" w:rsidRPr="000B6C67" w:rsidRDefault="00C111B2"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HDAC</w:t>
            </w:r>
            <w:r w:rsidR="00271800" w:rsidRPr="000B6C67">
              <w:rPr>
                <w:rFonts w:ascii="Arial" w:hAnsi="Arial" w:cs="Arial"/>
                <w:sz w:val="20"/>
                <w:szCs w:val="20"/>
                <w:lang w:eastAsia="fr-FR"/>
              </w:rPr>
              <w:t>1</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59A492F2" w14:textId="108B0F69" w:rsidR="00C111B2" w:rsidRPr="000B6C67" w:rsidRDefault="00127262" w:rsidP="00127262">
            <w:pPr>
              <w:widowControl w:val="0"/>
              <w:autoSpaceDE w:val="0"/>
              <w:autoSpaceDN w:val="0"/>
              <w:adjustRightInd w:val="0"/>
              <w:spacing w:after="240" w:line="300" w:lineRule="atLeast"/>
              <w:rPr>
                <w:rFonts w:ascii="Arial" w:eastAsiaTheme="minorEastAsia" w:hAnsi="Arial" w:cs="Arial"/>
                <w:sz w:val="20"/>
                <w:szCs w:val="20"/>
                <w:lang w:val="fr-FR" w:eastAsia="ja-JP"/>
              </w:rPr>
            </w:pPr>
            <w:r w:rsidRPr="000B6C67">
              <w:rPr>
                <w:rFonts w:ascii="Arial" w:eastAsiaTheme="minorEastAsia" w:hAnsi="Arial" w:cs="Arial"/>
                <w:sz w:val="20"/>
                <w:szCs w:val="20"/>
                <w:lang w:val="fr-FR" w:eastAsia="ja-JP"/>
              </w:rPr>
              <w:t xml:space="preserve">ab46985 </w:t>
            </w:r>
            <w:r w:rsidRPr="000B6C67">
              <w:rPr>
                <w:rFonts w:ascii="Arial" w:hAnsi="Arial" w:cs="Arial"/>
                <w:sz w:val="20"/>
                <w:szCs w:val="20"/>
              </w:rPr>
              <w:t>(</w:t>
            </w:r>
            <w:proofErr w:type="spellStart"/>
            <w:r w:rsidRPr="000B6C67">
              <w:rPr>
                <w:rFonts w:ascii="Arial" w:hAnsi="Arial" w:cs="Arial"/>
                <w:sz w:val="20"/>
                <w:szCs w:val="20"/>
              </w:rPr>
              <w:t>Abcam</w:t>
            </w:r>
            <w:proofErr w:type="spellEnd"/>
            <w:r w:rsidRPr="000B6C67">
              <w:rPr>
                <w:rFonts w:ascii="Arial" w:hAnsi="Arial" w:cs="Arial"/>
                <w:sz w:val="20"/>
                <w:szCs w:val="20"/>
              </w:rPr>
              <w:t>)</w:t>
            </w:r>
          </w:p>
        </w:tc>
        <w:tc>
          <w:tcPr>
            <w:tcW w:w="2394" w:type="dxa"/>
            <w:tcBorders>
              <w:top w:val="single" w:sz="8" w:space="0" w:color="00000A"/>
              <w:left w:val="single" w:sz="8" w:space="0" w:color="00000A"/>
              <w:bottom w:val="single" w:sz="8" w:space="0" w:color="00000A"/>
              <w:right w:val="single" w:sz="8" w:space="0" w:color="00000A"/>
            </w:tcBorders>
            <w:shd w:val="clear" w:color="auto" w:fill="auto"/>
            <w:tcMar>
              <w:left w:w="107" w:type="dxa"/>
            </w:tcMar>
          </w:tcPr>
          <w:p w14:paraId="19A623EF" w14:textId="6C8C352C" w:rsidR="00C111B2" w:rsidRPr="000B6C67" w:rsidRDefault="00271800"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r w:rsidR="00C111B2" w:rsidRPr="00340FC5" w14:paraId="17ABD51E" w14:textId="77777777" w:rsidTr="005F2B59">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3B2F2A74" w14:textId="5BE310AF" w:rsidR="00C111B2" w:rsidRPr="000B6C67" w:rsidRDefault="00C111B2"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SIN3A</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B7C7238" w14:textId="12675AE5" w:rsidR="00C111B2" w:rsidRPr="000B6C67" w:rsidRDefault="00127262" w:rsidP="00127262">
            <w:pPr>
              <w:widowControl w:val="0"/>
              <w:autoSpaceDE w:val="0"/>
              <w:autoSpaceDN w:val="0"/>
              <w:adjustRightInd w:val="0"/>
              <w:spacing w:after="240" w:line="300" w:lineRule="atLeast"/>
              <w:rPr>
                <w:rFonts w:ascii="Arial" w:eastAsiaTheme="minorEastAsia" w:hAnsi="Arial" w:cs="Arial"/>
                <w:sz w:val="20"/>
                <w:szCs w:val="20"/>
                <w:lang w:val="fr-FR" w:eastAsia="ja-JP"/>
              </w:rPr>
            </w:pPr>
            <w:r w:rsidRPr="000B6C67">
              <w:rPr>
                <w:rFonts w:ascii="Arial" w:eastAsiaTheme="minorEastAsia" w:hAnsi="Arial" w:cs="Arial"/>
                <w:sz w:val="20"/>
                <w:szCs w:val="20"/>
                <w:lang w:val="fr-FR" w:eastAsia="ja-JP"/>
              </w:rPr>
              <w:t xml:space="preserve">ab3479 </w:t>
            </w:r>
            <w:r w:rsidRPr="000B6C67">
              <w:rPr>
                <w:rFonts w:ascii="Arial" w:hAnsi="Arial" w:cs="Arial"/>
                <w:sz w:val="20"/>
                <w:szCs w:val="20"/>
              </w:rPr>
              <w:t>(</w:t>
            </w:r>
            <w:proofErr w:type="spellStart"/>
            <w:r w:rsidRPr="000B6C67">
              <w:rPr>
                <w:rFonts w:ascii="Arial" w:hAnsi="Arial" w:cs="Arial"/>
                <w:sz w:val="20"/>
                <w:szCs w:val="20"/>
              </w:rPr>
              <w:t>Abcam</w:t>
            </w:r>
            <w:proofErr w:type="spellEnd"/>
            <w:r w:rsidRPr="000B6C67">
              <w:rPr>
                <w:rFonts w:ascii="Arial" w:hAnsi="Arial" w:cs="Arial"/>
                <w:sz w:val="20"/>
                <w:szCs w:val="20"/>
              </w:rPr>
              <w:t>)</w:t>
            </w:r>
          </w:p>
        </w:tc>
        <w:tc>
          <w:tcPr>
            <w:tcW w:w="2394" w:type="dxa"/>
            <w:tcBorders>
              <w:top w:val="single" w:sz="8" w:space="0" w:color="00000A"/>
              <w:left w:val="single" w:sz="8" w:space="0" w:color="00000A"/>
              <w:bottom w:val="single" w:sz="18" w:space="0" w:color="4F81BD"/>
              <w:right w:val="single" w:sz="8" w:space="0" w:color="00000A"/>
            </w:tcBorders>
            <w:shd w:val="clear" w:color="auto" w:fill="auto"/>
            <w:tcMar>
              <w:left w:w="107" w:type="dxa"/>
            </w:tcMar>
          </w:tcPr>
          <w:p w14:paraId="10368C2A" w14:textId="59E0D032" w:rsidR="00C111B2" w:rsidRPr="000B6C67" w:rsidRDefault="00271800" w:rsidP="005F2B59">
            <w:pPr>
              <w:spacing w:after="0" w:line="360" w:lineRule="auto"/>
              <w:jc w:val="both"/>
              <w:rPr>
                <w:rFonts w:ascii="Arial" w:hAnsi="Arial" w:cs="Arial"/>
                <w:sz w:val="20"/>
                <w:szCs w:val="20"/>
                <w:lang w:eastAsia="fr-FR"/>
              </w:rPr>
            </w:pPr>
            <w:r w:rsidRPr="000B6C67">
              <w:rPr>
                <w:rFonts w:ascii="Arial" w:hAnsi="Arial" w:cs="Arial"/>
                <w:sz w:val="20"/>
                <w:szCs w:val="20"/>
                <w:lang w:eastAsia="fr-FR"/>
              </w:rPr>
              <w:t>PLA</w:t>
            </w:r>
          </w:p>
        </w:tc>
      </w:tr>
    </w:tbl>
    <w:p w14:paraId="70C0462A" w14:textId="77777777" w:rsidR="0072761D" w:rsidRDefault="0072761D" w:rsidP="0072761D">
      <w:pPr>
        <w:rPr>
          <w:rFonts w:eastAsia="Times New Roman" w:cs="Times New Roman"/>
          <w:b/>
          <w:lang w:val="fr-FR" w:eastAsia="fr-FR"/>
        </w:rPr>
      </w:pPr>
    </w:p>
    <w:p w14:paraId="1B50B6FD" w14:textId="77777777" w:rsidR="0072761D" w:rsidRDefault="0072761D" w:rsidP="0072761D">
      <w:pPr>
        <w:rPr>
          <w:rFonts w:eastAsia="Times New Roman" w:cs="Times New Roman"/>
          <w:b/>
          <w:lang w:val="fr-FR" w:eastAsia="fr-FR"/>
        </w:rPr>
      </w:pPr>
    </w:p>
    <w:p w14:paraId="06088EB8" w14:textId="31FF1941" w:rsidR="003E4F78" w:rsidRDefault="003E4F78">
      <w:pPr>
        <w:rPr>
          <w:rFonts w:eastAsia="Times New Roman" w:cs="Times New Roman"/>
          <w:b/>
          <w:lang w:val="fr-FR" w:eastAsia="fr-FR"/>
        </w:rPr>
      </w:pPr>
    </w:p>
    <w:p w14:paraId="0E0C6741" w14:textId="0CE1F0EC" w:rsidR="005A7094" w:rsidRDefault="005A7094">
      <w:pPr>
        <w:rPr>
          <w:rFonts w:eastAsia="Times New Roman" w:cs="Times New Roman"/>
          <w:b/>
          <w:lang w:val="fr-FR" w:eastAsia="fr-FR"/>
        </w:rPr>
      </w:pPr>
      <w:r>
        <w:rPr>
          <w:rFonts w:eastAsia="Times New Roman" w:cs="Times New Roman"/>
          <w:b/>
          <w:lang w:val="fr-FR" w:eastAsia="fr-FR"/>
        </w:rPr>
        <w:t>REFERENCES FOR THE SUPPLEMENTAL INFORMATION</w:t>
      </w:r>
    </w:p>
    <w:p w14:paraId="35C4424A" w14:textId="77777777" w:rsidR="005C6D4F" w:rsidRDefault="005C6D4F">
      <w:pPr>
        <w:rPr>
          <w:rFonts w:eastAsia="Times New Roman" w:cs="Times New Roman"/>
          <w:b/>
          <w:lang w:val="fr-FR" w:eastAsia="fr-FR"/>
        </w:rPr>
      </w:pPr>
    </w:p>
    <w:p w14:paraId="22E6EA7B" w14:textId="77777777" w:rsidR="005C6D4F" w:rsidRPr="005C6D4F" w:rsidRDefault="005C6D4F" w:rsidP="005C6D4F">
      <w:pPr>
        <w:pStyle w:val="Bibliographie1"/>
        <w:rPr>
          <w:rFonts w:ascii="Cambria"/>
          <w:b w:val="0"/>
        </w:rPr>
      </w:pPr>
      <w:r w:rsidRPr="005C6D4F">
        <w:rPr>
          <w:b w:val="0"/>
        </w:rPr>
        <w:fldChar w:fldCharType="begin"/>
      </w:r>
      <w:r w:rsidRPr="005C6D4F">
        <w:rPr>
          <w:b w:val="0"/>
        </w:rPr>
        <w:instrText xml:space="preserve"> ADDIN ZOTERO_BIBL {"uncited":[],"omitted":[],"custom":[]} CSL_BIBLIOGRAPHY </w:instrText>
      </w:r>
      <w:r w:rsidRPr="005C6D4F">
        <w:rPr>
          <w:b w:val="0"/>
        </w:rPr>
        <w:fldChar w:fldCharType="separate"/>
      </w:r>
      <w:r w:rsidRPr="005C6D4F">
        <w:rPr>
          <w:rFonts w:ascii="Cambria"/>
          <w:b w:val="0"/>
        </w:rPr>
        <w:t xml:space="preserve">1. </w:t>
      </w:r>
      <w:r w:rsidRPr="005C6D4F">
        <w:rPr>
          <w:rFonts w:ascii="Cambria"/>
          <w:b w:val="0"/>
        </w:rPr>
        <w:tab/>
        <w:t>Fears S, Gavin M, Zhang DE, Hetherington C, Ben-David Y, Rowley JD, et al. Functional characterization of ETV6 and ETV6/CBFA2 in the regulation of the MCSFR proximal promoter. Proc Natl Acad Sci U S A. 4 mars 1997;94:1949</w:t>
      </w:r>
      <w:r w:rsidRPr="005C6D4F">
        <w:rPr>
          <w:rFonts w:ascii="Monaco" w:hAnsi="Monaco" w:cs="Monaco"/>
          <w:b w:val="0"/>
        </w:rPr>
        <w:t>‑</w:t>
      </w:r>
      <w:r w:rsidRPr="005C6D4F">
        <w:rPr>
          <w:rFonts w:ascii="Cambria"/>
          <w:b w:val="0"/>
        </w:rPr>
        <w:t xml:space="preserve">54. </w:t>
      </w:r>
    </w:p>
    <w:p w14:paraId="0FBE32D9" w14:textId="77777777" w:rsidR="005C6D4F" w:rsidRPr="005C6D4F" w:rsidRDefault="005C6D4F" w:rsidP="005C6D4F">
      <w:pPr>
        <w:pStyle w:val="Bibliographie1"/>
        <w:rPr>
          <w:rFonts w:ascii="Cambria"/>
          <w:b w:val="0"/>
        </w:rPr>
      </w:pPr>
      <w:r w:rsidRPr="005C6D4F">
        <w:rPr>
          <w:rFonts w:ascii="Cambria"/>
          <w:b w:val="0"/>
        </w:rPr>
        <w:t xml:space="preserve">2. </w:t>
      </w:r>
      <w:r w:rsidRPr="005C6D4F">
        <w:rPr>
          <w:rFonts w:ascii="Cambria"/>
          <w:b w:val="0"/>
        </w:rPr>
        <w:tab/>
        <w:t>Kumar R, Cheney KM, McKirdy R, Neilsen PM, Schulz RB, Lee J, et al. CBFA2T3-ZNF652 corepressor complex regulates transcription of the E-box gene HEB. J Biol Chem. 4 juill 2008;283(27):19026</w:t>
      </w:r>
      <w:r w:rsidRPr="005C6D4F">
        <w:rPr>
          <w:rFonts w:ascii="Monaco" w:hAnsi="Monaco" w:cs="Monaco"/>
          <w:b w:val="0"/>
        </w:rPr>
        <w:t>‑</w:t>
      </w:r>
      <w:r w:rsidRPr="005C6D4F">
        <w:rPr>
          <w:rFonts w:ascii="Cambria"/>
          <w:b w:val="0"/>
        </w:rPr>
        <w:t xml:space="preserve">38. </w:t>
      </w:r>
    </w:p>
    <w:p w14:paraId="0EB17139" w14:textId="77777777" w:rsidR="005C6D4F" w:rsidRPr="005C6D4F" w:rsidRDefault="005C6D4F" w:rsidP="005C6D4F">
      <w:pPr>
        <w:pStyle w:val="Bibliographie1"/>
        <w:rPr>
          <w:rFonts w:ascii="Cambria"/>
          <w:b w:val="0"/>
        </w:rPr>
      </w:pPr>
      <w:r w:rsidRPr="005C6D4F">
        <w:rPr>
          <w:rFonts w:ascii="Cambria"/>
          <w:b w:val="0"/>
        </w:rPr>
        <w:t xml:space="preserve">3. </w:t>
      </w:r>
      <w:r w:rsidRPr="005C6D4F">
        <w:rPr>
          <w:rFonts w:ascii="Cambria"/>
          <w:b w:val="0"/>
        </w:rPr>
        <w:tab/>
        <w:t>Debaize L, Jakobczyk H, Avner S, Gaudichon J, Rio A-G, Sérandour AA, et al. Interplay between transcription regulators RUNX1 and FUBP1 activates an enhancer of the oncogene c-KIT and amplifies cell proliferation. Nucleic Acids Res. 30 2018;46(21):11214</w:t>
      </w:r>
      <w:r w:rsidRPr="005C6D4F">
        <w:rPr>
          <w:rFonts w:ascii="Monaco" w:hAnsi="Monaco" w:cs="Monaco"/>
          <w:b w:val="0"/>
        </w:rPr>
        <w:t>‑</w:t>
      </w:r>
      <w:r w:rsidRPr="005C6D4F">
        <w:rPr>
          <w:rFonts w:ascii="Cambria"/>
          <w:b w:val="0"/>
        </w:rPr>
        <w:t xml:space="preserve">28. </w:t>
      </w:r>
    </w:p>
    <w:p w14:paraId="485148A3" w14:textId="77777777" w:rsidR="005C6D4F" w:rsidRPr="005C6D4F" w:rsidRDefault="005C6D4F" w:rsidP="005C6D4F">
      <w:pPr>
        <w:pStyle w:val="Bibliographie1"/>
        <w:rPr>
          <w:rFonts w:ascii="Cambria"/>
          <w:b w:val="0"/>
        </w:rPr>
      </w:pPr>
      <w:r w:rsidRPr="005C6D4F">
        <w:rPr>
          <w:rFonts w:ascii="Cambria"/>
          <w:b w:val="0"/>
        </w:rPr>
        <w:t xml:space="preserve">4. </w:t>
      </w:r>
      <w:r w:rsidRPr="005C6D4F">
        <w:rPr>
          <w:rFonts w:ascii="Cambria"/>
          <w:b w:val="0"/>
        </w:rPr>
        <w:tab/>
        <w:t xml:space="preserve">Debaize L, Jakobczyk H, Rio A-G, Gandemer V, Troadec M-B. Optimization of proximity ligation assay (PLA) for detection of protein interactions and fusion proteins in non-adherent cells: application to pre-B lymphocytes. Mol Cytogenet. 2017;10:27. </w:t>
      </w:r>
    </w:p>
    <w:p w14:paraId="715C6024" w14:textId="77777777" w:rsidR="005C6D4F" w:rsidRPr="005C6D4F" w:rsidRDefault="005C6D4F" w:rsidP="005C6D4F">
      <w:pPr>
        <w:pStyle w:val="Bibliographie1"/>
        <w:rPr>
          <w:rFonts w:ascii="Cambria"/>
          <w:b w:val="0"/>
        </w:rPr>
      </w:pPr>
      <w:r w:rsidRPr="005C6D4F">
        <w:rPr>
          <w:rFonts w:ascii="Cambria"/>
          <w:b w:val="0"/>
        </w:rPr>
        <w:t xml:space="preserve">5. </w:t>
      </w:r>
      <w:r w:rsidRPr="005C6D4F">
        <w:rPr>
          <w:rFonts w:ascii="Cambria"/>
          <w:b w:val="0"/>
        </w:rPr>
        <w:tab/>
        <w:t xml:space="preserve">McLeay RC, Bailey TL. Motif Enrichment Analysis: a unified framework and an evaluation on ChIP data. BMC Bioinformatics. 1 avr 2010;11:165. </w:t>
      </w:r>
    </w:p>
    <w:p w14:paraId="7FE1377D" w14:textId="77777777" w:rsidR="005C6D4F" w:rsidRPr="005C6D4F" w:rsidRDefault="005C6D4F" w:rsidP="005C6D4F">
      <w:pPr>
        <w:pStyle w:val="Bibliographie1"/>
        <w:rPr>
          <w:rFonts w:ascii="Cambria"/>
          <w:b w:val="0"/>
        </w:rPr>
      </w:pPr>
      <w:r w:rsidRPr="005C6D4F">
        <w:rPr>
          <w:rFonts w:ascii="Cambria"/>
          <w:b w:val="0"/>
        </w:rPr>
        <w:t xml:space="preserve">6. </w:t>
      </w:r>
      <w:r w:rsidRPr="005C6D4F">
        <w:rPr>
          <w:rFonts w:ascii="Cambria"/>
          <w:b w:val="0"/>
        </w:rPr>
        <w:tab/>
        <w:t>Nicol JW, Helt GA, Blanchard SG, Raja A, Loraine AE. The Integrated Genome Browser: free software for distribution and exploration of genome-scale datasets. Bioinformatics. 15 oct 2009;25(20):2730</w:t>
      </w:r>
      <w:r w:rsidRPr="005C6D4F">
        <w:rPr>
          <w:rFonts w:ascii="Monaco" w:hAnsi="Monaco" w:cs="Monaco"/>
          <w:b w:val="0"/>
        </w:rPr>
        <w:t>‑</w:t>
      </w:r>
      <w:r w:rsidRPr="005C6D4F">
        <w:rPr>
          <w:rFonts w:ascii="Cambria"/>
          <w:b w:val="0"/>
        </w:rPr>
        <w:t xml:space="preserve">1. </w:t>
      </w:r>
    </w:p>
    <w:p w14:paraId="7E1AC4B2" w14:textId="77777777" w:rsidR="005C6D4F" w:rsidRPr="005C6D4F" w:rsidRDefault="005C6D4F" w:rsidP="005C6D4F">
      <w:pPr>
        <w:pStyle w:val="Bibliographie1"/>
        <w:rPr>
          <w:rFonts w:ascii="Cambria"/>
          <w:b w:val="0"/>
        </w:rPr>
      </w:pPr>
      <w:r w:rsidRPr="005C6D4F">
        <w:rPr>
          <w:rFonts w:ascii="Cambria"/>
          <w:b w:val="0"/>
        </w:rPr>
        <w:t xml:space="preserve">7. </w:t>
      </w:r>
      <w:r w:rsidRPr="005C6D4F">
        <w:rPr>
          <w:rFonts w:ascii="Cambria"/>
          <w:b w:val="0"/>
        </w:rPr>
        <w:tab/>
        <w:t>Arnaud M-P, Vallée A, Robert G, Bonneau J, Leroy C, Varin-Blank N, et al. CD9, a key actor in the dissemination of lymphoblastic leukemia, modulating CXCR4-mediated migration via RAC1 signaling. Blood. 8 oct 2015;126(15):1802</w:t>
      </w:r>
      <w:r w:rsidRPr="005C6D4F">
        <w:rPr>
          <w:rFonts w:ascii="Monaco" w:hAnsi="Monaco" w:cs="Monaco"/>
          <w:b w:val="0"/>
        </w:rPr>
        <w:t>‑</w:t>
      </w:r>
      <w:r w:rsidRPr="005C6D4F">
        <w:rPr>
          <w:rFonts w:ascii="Cambria"/>
          <w:b w:val="0"/>
        </w:rPr>
        <w:t xml:space="preserve">12. </w:t>
      </w:r>
    </w:p>
    <w:p w14:paraId="63F8DE78" w14:textId="77777777" w:rsidR="005C6D4F" w:rsidRPr="005C6D4F" w:rsidRDefault="005C6D4F" w:rsidP="005C6D4F">
      <w:pPr>
        <w:pStyle w:val="Bibliographie1"/>
        <w:rPr>
          <w:rFonts w:ascii="Cambria"/>
          <w:b w:val="0"/>
        </w:rPr>
      </w:pPr>
      <w:r w:rsidRPr="005C6D4F">
        <w:rPr>
          <w:rFonts w:ascii="Cambria"/>
          <w:b w:val="0"/>
        </w:rPr>
        <w:t xml:space="preserve">8. </w:t>
      </w:r>
      <w:r w:rsidRPr="005C6D4F">
        <w:rPr>
          <w:rFonts w:ascii="Cambria"/>
          <w:b w:val="0"/>
        </w:rPr>
        <w:tab/>
        <w:t>Zhou X, Edmonson MN, Wilkinson MR, Patel A, Wu G, Liu Y, et al. Exploring genomic alteration in pediatric cancer using ProteinPaint. Nat Genet. janv 2016;48(1):4</w:t>
      </w:r>
      <w:r w:rsidRPr="005C6D4F">
        <w:rPr>
          <w:rFonts w:ascii="Monaco" w:hAnsi="Monaco" w:cs="Monaco"/>
          <w:b w:val="0"/>
        </w:rPr>
        <w:t>‑</w:t>
      </w:r>
      <w:r w:rsidRPr="005C6D4F">
        <w:rPr>
          <w:rFonts w:ascii="Cambria"/>
          <w:b w:val="0"/>
        </w:rPr>
        <w:t xml:space="preserve">6. </w:t>
      </w:r>
    </w:p>
    <w:p w14:paraId="452FE16E" w14:textId="68B7BC17" w:rsidR="005C6D4F" w:rsidRPr="00CE76AA" w:rsidRDefault="005C6D4F">
      <w:pPr>
        <w:rPr>
          <w:rFonts w:eastAsia="Times New Roman" w:cs="Times New Roman"/>
          <w:b/>
          <w:lang w:val="fr-FR" w:eastAsia="fr-FR"/>
        </w:rPr>
      </w:pPr>
      <w:r w:rsidRPr="005C6D4F">
        <w:rPr>
          <w:rFonts w:eastAsia="Times New Roman" w:cs="Times New Roman"/>
          <w:lang w:val="fr-FR" w:eastAsia="fr-FR"/>
        </w:rPr>
        <w:fldChar w:fldCharType="end"/>
      </w:r>
    </w:p>
    <w:sectPr w:rsidR="005C6D4F" w:rsidRPr="00CE76AA" w:rsidSect="001C0C6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CA073" w14:textId="77777777" w:rsidR="00E80CD6" w:rsidRDefault="00E80CD6" w:rsidP="00E80CD6">
      <w:pPr>
        <w:spacing w:after="0"/>
      </w:pPr>
      <w:r>
        <w:separator/>
      </w:r>
    </w:p>
  </w:endnote>
  <w:endnote w:type="continuationSeparator" w:id="0">
    <w:p w14:paraId="2B79D4D0" w14:textId="77777777" w:rsidR="00E80CD6" w:rsidRDefault="00E80CD6" w:rsidP="00E80C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altName w:val="Times Roman"/>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modern"/>
    <w:pitch w:val="fixed"/>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宋体">
    <w:charset w:val="50"/>
    <w:family w:val="auto"/>
    <w:pitch w:val="variable"/>
    <w:sig w:usb0="00000001" w:usb1="080E0000" w:usb2="00000010" w:usb3="00000000" w:csb0="00040000" w:csb1="00000000"/>
  </w:font>
  <w:font w:name="Cambria Math">
    <w:panose1 w:val="02040503050406030204"/>
    <w:charset w:val="00"/>
    <w:family w:val="auto"/>
    <w:pitch w:val="variable"/>
    <w:sig w:usb0="E00002FF" w:usb1="420024FF" w:usb2="00000000" w:usb3="00000000" w:csb0="0000019F" w:csb1="00000000"/>
  </w:font>
  <w:font w:name="Times Roman">
    <w:panose1 w:val="00000500000000020000"/>
    <w:charset w:val="00"/>
    <w:family w:val="auto"/>
    <w:pitch w:val="variable"/>
    <w:sig w:usb0="E00002FF" w:usb1="5000205A" w:usb2="00000000" w:usb3="00000000" w:csb0="0000019F" w:csb1="00000000"/>
  </w:font>
  <w:font w:name="ＭＳ ゴシック">
    <w:charset w:val="4E"/>
    <w:family w:val="auto"/>
    <w:pitch w:val="variable"/>
    <w:sig w:usb0="E00002FF" w:usb1="6AC7FDFB" w:usb2="00000012" w:usb3="00000000" w:csb0="0002009F" w:csb1="00000000"/>
  </w:font>
  <w:font w:name="Monaco">
    <w:panose1 w:val="02000500000000000000"/>
    <w:charset w:val="00"/>
    <w:family w:val="auto"/>
    <w:pitch w:val="variable"/>
    <w:sig w:usb0="A00002FF" w:usb1="500039FB" w:usb2="00000000" w:usb3="00000000" w:csb0="00000197"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1298E" w14:textId="77777777" w:rsidR="00E80CD6" w:rsidRDefault="00E80CD6" w:rsidP="00E80CD6">
      <w:pPr>
        <w:spacing w:after="0"/>
      </w:pPr>
      <w:r>
        <w:separator/>
      </w:r>
    </w:p>
  </w:footnote>
  <w:footnote w:type="continuationSeparator" w:id="0">
    <w:p w14:paraId="11B86DDA" w14:textId="77777777" w:rsidR="00E80CD6" w:rsidRDefault="00E80CD6" w:rsidP="00E80CD6">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61D"/>
    <w:rsid w:val="000232DD"/>
    <w:rsid w:val="00030B3C"/>
    <w:rsid w:val="00053B77"/>
    <w:rsid w:val="000A2F97"/>
    <w:rsid w:val="000B6C67"/>
    <w:rsid w:val="000D00F8"/>
    <w:rsid w:val="000F5CF1"/>
    <w:rsid w:val="00127262"/>
    <w:rsid w:val="00140B3F"/>
    <w:rsid w:val="00157A09"/>
    <w:rsid w:val="00162861"/>
    <w:rsid w:val="001B0439"/>
    <w:rsid w:val="001C0C62"/>
    <w:rsid w:val="001D5987"/>
    <w:rsid w:val="00220F70"/>
    <w:rsid w:val="00233D5E"/>
    <w:rsid w:val="002342DD"/>
    <w:rsid w:val="00271800"/>
    <w:rsid w:val="00280320"/>
    <w:rsid w:val="002862EE"/>
    <w:rsid w:val="00294E6B"/>
    <w:rsid w:val="002D1069"/>
    <w:rsid w:val="002D27B9"/>
    <w:rsid w:val="002E3287"/>
    <w:rsid w:val="002E68FD"/>
    <w:rsid w:val="002E71CD"/>
    <w:rsid w:val="0030241A"/>
    <w:rsid w:val="00315669"/>
    <w:rsid w:val="0032750B"/>
    <w:rsid w:val="003330CB"/>
    <w:rsid w:val="0035056F"/>
    <w:rsid w:val="003E4F78"/>
    <w:rsid w:val="00421576"/>
    <w:rsid w:val="00456FF1"/>
    <w:rsid w:val="004C4FFA"/>
    <w:rsid w:val="004C6F54"/>
    <w:rsid w:val="004D244B"/>
    <w:rsid w:val="004E279C"/>
    <w:rsid w:val="004E4634"/>
    <w:rsid w:val="004F222D"/>
    <w:rsid w:val="005307DA"/>
    <w:rsid w:val="005600CE"/>
    <w:rsid w:val="00560742"/>
    <w:rsid w:val="00560D8F"/>
    <w:rsid w:val="00567387"/>
    <w:rsid w:val="005A7094"/>
    <w:rsid w:val="005B7CE3"/>
    <w:rsid w:val="005C6D4F"/>
    <w:rsid w:val="005E5470"/>
    <w:rsid w:val="005F1EF2"/>
    <w:rsid w:val="005F22FA"/>
    <w:rsid w:val="005F2B59"/>
    <w:rsid w:val="0062629D"/>
    <w:rsid w:val="00680D21"/>
    <w:rsid w:val="00690227"/>
    <w:rsid w:val="006C6AE4"/>
    <w:rsid w:val="0070235C"/>
    <w:rsid w:val="0072761D"/>
    <w:rsid w:val="0075505F"/>
    <w:rsid w:val="007D6948"/>
    <w:rsid w:val="007F54C5"/>
    <w:rsid w:val="008074F2"/>
    <w:rsid w:val="0082393E"/>
    <w:rsid w:val="00836D21"/>
    <w:rsid w:val="00844F00"/>
    <w:rsid w:val="008464DE"/>
    <w:rsid w:val="008A556A"/>
    <w:rsid w:val="00952DD1"/>
    <w:rsid w:val="00960170"/>
    <w:rsid w:val="00976135"/>
    <w:rsid w:val="00980A5C"/>
    <w:rsid w:val="009B373B"/>
    <w:rsid w:val="009D33D6"/>
    <w:rsid w:val="009E6907"/>
    <w:rsid w:val="00A1174B"/>
    <w:rsid w:val="00A20334"/>
    <w:rsid w:val="00A6108E"/>
    <w:rsid w:val="00AE37F7"/>
    <w:rsid w:val="00B3563B"/>
    <w:rsid w:val="00B708E9"/>
    <w:rsid w:val="00BC65A5"/>
    <w:rsid w:val="00C111B2"/>
    <w:rsid w:val="00CA1A5E"/>
    <w:rsid w:val="00CE76AA"/>
    <w:rsid w:val="00D2728D"/>
    <w:rsid w:val="00D33584"/>
    <w:rsid w:val="00D33EA4"/>
    <w:rsid w:val="00D57F8B"/>
    <w:rsid w:val="00DA0872"/>
    <w:rsid w:val="00DA106E"/>
    <w:rsid w:val="00DB256B"/>
    <w:rsid w:val="00DD0877"/>
    <w:rsid w:val="00DD09BB"/>
    <w:rsid w:val="00DD4985"/>
    <w:rsid w:val="00E16D29"/>
    <w:rsid w:val="00E24AE3"/>
    <w:rsid w:val="00E4170E"/>
    <w:rsid w:val="00E80CD6"/>
    <w:rsid w:val="00F963FA"/>
    <w:rsid w:val="00FC677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EA38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61D"/>
    <w:pPr>
      <w:spacing w:after="200"/>
    </w:pPr>
    <w:rPr>
      <w:rFonts w:asciiTheme="minorHAnsi" w:eastAsiaTheme="minorHAnsi" w:hAnsiTheme="minorHAnsi" w:cstheme="minorBidi"/>
      <w:sz w:val="24"/>
      <w:szCs w:val="24"/>
      <w:lang w:val="en-GB" w:eastAsia="en-US"/>
    </w:rPr>
  </w:style>
  <w:style w:type="paragraph" w:styleId="Titre1">
    <w:name w:val="heading 1"/>
    <w:basedOn w:val="Normal"/>
    <w:link w:val="Titre1Car"/>
    <w:uiPriority w:val="9"/>
    <w:rsid w:val="0072761D"/>
    <w:pPr>
      <w:spacing w:beforeLines="1" w:afterLines="1"/>
      <w:outlineLvl w:val="0"/>
    </w:pPr>
    <w:rPr>
      <w:rFonts w:ascii="Times" w:hAnsi="Times"/>
      <w:b/>
      <w:kern w:val="36"/>
      <w:sz w:val="48"/>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761D"/>
    <w:rPr>
      <w:rFonts w:ascii="Times" w:eastAsiaTheme="minorHAnsi" w:hAnsi="Times" w:cstheme="minorBidi"/>
      <w:b/>
      <w:kern w:val="36"/>
      <w:sz w:val="48"/>
      <w:lang w:eastAsia="fr-FR"/>
    </w:rPr>
  </w:style>
  <w:style w:type="character" w:styleId="Marquedannotation">
    <w:name w:val="annotation reference"/>
    <w:basedOn w:val="Policepardfaut"/>
    <w:uiPriority w:val="99"/>
    <w:semiHidden/>
    <w:unhideWhenUsed/>
    <w:rsid w:val="0072761D"/>
    <w:rPr>
      <w:sz w:val="18"/>
      <w:szCs w:val="18"/>
    </w:rPr>
  </w:style>
  <w:style w:type="paragraph" w:styleId="Commentaire">
    <w:name w:val="annotation text"/>
    <w:basedOn w:val="Normal"/>
    <w:link w:val="CommentaireCar"/>
    <w:uiPriority w:val="99"/>
    <w:unhideWhenUsed/>
    <w:rsid w:val="0072761D"/>
    <w:pPr>
      <w:spacing w:after="160" w:line="360" w:lineRule="auto"/>
      <w:jc w:val="both"/>
    </w:pPr>
    <w:rPr>
      <w:rFonts w:ascii="Times New Roman" w:hAnsi="Times New Roman"/>
      <w:lang w:val="fr-FR"/>
    </w:rPr>
  </w:style>
  <w:style w:type="character" w:customStyle="1" w:styleId="CommentaireCar">
    <w:name w:val="Commentaire Car"/>
    <w:basedOn w:val="Policepardfaut"/>
    <w:link w:val="Commentaire"/>
    <w:uiPriority w:val="99"/>
    <w:rsid w:val="0072761D"/>
    <w:rPr>
      <w:rFonts w:eastAsiaTheme="minorHAnsi" w:cstheme="minorBidi"/>
      <w:sz w:val="24"/>
      <w:szCs w:val="24"/>
      <w:lang w:eastAsia="en-US"/>
    </w:rPr>
  </w:style>
  <w:style w:type="table" w:styleId="Grillemoyenne2-Accent3">
    <w:name w:val="Medium Grid 2 Accent 3"/>
    <w:basedOn w:val="TableauNormal"/>
    <w:uiPriority w:val="68"/>
    <w:rsid w:val="0072761D"/>
    <w:rPr>
      <w:rFonts w:ascii="Calibri" w:eastAsia="MS Gothic" w:hAnsi="Calibri"/>
      <w:color w:val="000000"/>
      <w:sz w:val="22"/>
      <w:szCs w:val="22"/>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Textedebulles">
    <w:name w:val="Balloon Text"/>
    <w:basedOn w:val="Normal"/>
    <w:link w:val="TextedebullesCar"/>
    <w:uiPriority w:val="99"/>
    <w:semiHidden/>
    <w:unhideWhenUsed/>
    <w:rsid w:val="0072761D"/>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2761D"/>
    <w:rPr>
      <w:rFonts w:ascii="Lucida Grande" w:eastAsiaTheme="minorHAnsi" w:hAnsi="Lucida Grande" w:cs="Lucida Grande"/>
      <w:sz w:val="18"/>
      <w:szCs w:val="18"/>
      <w:lang w:val="en-GB" w:eastAsia="en-US"/>
    </w:rPr>
  </w:style>
  <w:style w:type="paragraph" w:customStyle="1" w:styleId="Bibliographie1">
    <w:name w:val="Bibliographie1"/>
    <w:basedOn w:val="Normal"/>
    <w:rsid w:val="005C6D4F"/>
    <w:pPr>
      <w:tabs>
        <w:tab w:val="left" w:pos="380"/>
      </w:tabs>
      <w:spacing w:after="240"/>
      <w:ind w:left="384" w:hanging="384"/>
    </w:pPr>
    <w:rPr>
      <w:rFonts w:eastAsia="Times New Roman" w:cs="Times New Roman"/>
      <w:b/>
      <w:lang w:val="fr-FR" w:eastAsia="fr-FR"/>
    </w:rPr>
  </w:style>
  <w:style w:type="paragraph" w:styleId="Objetducommentaire">
    <w:name w:val="annotation subject"/>
    <w:basedOn w:val="Commentaire"/>
    <w:next w:val="Commentaire"/>
    <w:link w:val="ObjetducommentaireCar"/>
    <w:uiPriority w:val="99"/>
    <w:semiHidden/>
    <w:unhideWhenUsed/>
    <w:rsid w:val="00E24AE3"/>
    <w:pPr>
      <w:spacing w:after="200" w:line="240" w:lineRule="auto"/>
      <w:jc w:val="left"/>
    </w:pPr>
    <w:rPr>
      <w:rFonts w:asciiTheme="minorHAnsi" w:hAnsiTheme="minorHAnsi"/>
      <w:b/>
      <w:bCs/>
      <w:sz w:val="20"/>
      <w:szCs w:val="20"/>
      <w:lang w:val="en-GB"/>
    </w:rPr>
  </w:style>
  <w:style w:type="character" w:customStyle="1" w:styleId="ObjetducommentaireCar">
    <w:name w:val="Objet du commentaire Car"/>
    <w:basedOn w:val="CommentaireCar"/>
    <w:link w:val="Objetducommentaire"/>
    <w:uiPriority w:val="99"/>
    <w:semiHidden/>
    <w:rsid w:val="00E24AE3"/>
    <w:rPr>
      <w:rFonts w:asciiTheme="minorHAnsi" w:eastAsiaTheme="minorHAnsi" w:hAnsiTheme="minorHAnsi" w:cstheme="minorBidi"/>
      <w:b/>
      <w:bCs/>
      <w:sz w:val="24"/>
      <w:szCs w:val="24"/>
      <w:lang w:val="en-GB" w:eastAsia="en-US"/>
    </w:rPr>
  </w:style>
  <w:style w:type="paragraph" w:styleId="En-tte">
    <w:name w:val="header"/>
    <w:basedOn w:val="Normal"/>
    <w:link w:val="En-tteCar"/>
    <w:uiPriority w:val="99"/>
    <w:unhideWhenUsed/>
    <w:rsid w:val="00E80CD6"/>
    <w:pPr>
      <w:tabs>
        <w:tab w:val="center" w:pos="4536"/>
        <w:tab w:val="right" w:pos="9072"/>
      </w:tabs>
      <w:spacing w:after="0"/>
    </w:pPr>
  </w:style>
  <w:style w:type="character" w:customStyle="1" w:styleId="En-tteCar">
    <w:name w:val="En-tête Car"/>
    <w:basedOn w:val="Policepardfaut"/>
    <w:link w:val="En-tte"/>
    <w:uiPriority w:val="99"/>
    <w:rsid w:val="00E80CD6"/>
    <w:rPr>
      <w:rFonts w:asciiTheme="minorHAnsi" w:eastAsiaTheme="minorHAnsi" w:hAnsiTheme="minorHAnsi" w:cstheme="minorBidi"/>
      <w:sz w:val="24"/>
      <w:szCs w:val="24"/>
      <w:lang w:val="en-GB" w:eastAsia="en-US"/>
    </w:rPr>
  </w:style>
  <w:style w:type="paragraph" w:styleId="Pieddepage">
    <w:name w:val="footer"/>
    <w:basedOn w:val="Normal"/>
    <w:link w:val="PieddepageCar"/>
    <w:uiPriority w:val="99"/>
    <w:unhideWhenUsed/>
    <w:rsid w:val="00E80CD6"/>
    <w:pPr>
      <w:tabs>
        <w:tab w:val="center" w:pos="4536"/>
        <w:tab w:val="right" w:pos="9072"/>
      </w:tabs>
      <w:spacing w:after="0"/>
    </w:pPr>
  </w:style>
  <w:style w:type="character" w:customStyle="1" w:styleId="PieddepageCar">
    <w:name w:val="Pied de page Car"/>
    <w:basedOn w:val="Policepardfaut"/>
    <w:link w:val="Pieddepage"/>
    <w:uiPriority w:val="99"/>
    <w:rsid w:val="00E80CD6"/>
    <w:rPr>
      <w:rFonts w:asciiTheme="minorHAnsi" w:eastAsiaTheme="minorHAnsi" w:hAnsiTheme="minorHAnsi" w:cstheme="minorBidi"/>
      <w:sz w:val="24"/>
      <w:szCs w:val="24"/>
      <w:lang w:val="en-GB" w:eastAsia="en-US"/>
    </w:rPr>
  </w:style>
  <w:style w:type="character" w:styleId="Textedelespacerserv">
    <w:name w:val="Placeholder Text"/>
    <w:basedOn w:val="Policepardfaut"/>
    <w:uiPriority w:val="99"/>
    <w:semiHidden/>
    <w:rsid w:val="009D33D6"/>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61D"/>
    <w:pPr>
      <w:spacing w:after="200"/>
    </w:pPr>
    <w:rPr>
      <w:rFonts w:asciiTheme="minorHAnsi" w:eastAsiaTheme="minorHAnsi" w:hAnsiTheme="minorHAnsi" w:cstheme="minorBidi"/>
      <w:sz w:val="24"/>
      <w:szCs w:val="24"/>
      <w:lang w:val="en-GB" w:eastAsia="en-US"/>
    </w:rPr>
  </w:style>
  <w:style w:type="paragraph" w:styleId="Titre1">
    <w:name w:val="heading 1"/>
    <w:basedOn w:val="Normal"/>
    <w:link w:val="Titre1Car"/>
    <w:uiPriority w:val="9"/>
    <w:rsid w:val="0072761D"/>
    <w:pPr>
      <w:spacing w:beforeLines="1" w:afterLines="1"/>
      <w:outlineLvl w:val="0"/>
    </w:pPr>
    <w:rPr>
      <w:rFonts w:ascii="Times" w:hAnsi="Times"/>
      <w:b/>
      <w:kern w:val="36"/>
      <w:sz w:val="48"/>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761D"/>
    <w:rPr>
      <w:rFonts w:ascii="Times" w:eastAsiaTheme="minorHAnsi" w:hAnsi="Times" w:cstheme="minorBidi"/>
      <w:b/>
      <w:kern w:val="36"/>
      <w:sz w:val="48"/>
      <w:lang w:eastAsia="fr-FR"/>
    </w:rPr>
  </w:style>
  <w:style w:type="character" w:styleId="Marquedannotation">
    <w:name w:val="annotation reference"/>
    <w:basedOn w:val="Policepardfaut"/>
    <w:uiPriority w:val="99"/>
    <w:semiHidden/>
    <w:unhideWhenUsed/>
    <w:rsid w:val="0072761D"/>
    <w:rPr>
      <w:sz w:val="18"/>
      <w:szCs w:val="18"/>
    </w:rPr>
  </w:style>
  <w:style w:type="paragraph" w:styleId="Commentaire">
    <w:name w:val="annotation text"/>
    <w:basedOn w:val="Normal"/>
    <w:link w:val="CommentaireCar"/>
    <w:uiPriority w:val="99"/>
    <w:unhideWhenUsed/>
    <w:rsid w:val="0072761D"/>
    <w:pPr>
      <w:spacing w:after="160" w:line="360" w:lineRule="auto"/>
      <w:jc w:val="both"/>
    </w:pPr>
    <w:rPr>
      <w:rFonts w:ascii="Times New Roman" w:hAnsi="Times New Roman"/>
      <w:lang w:val="fr-FR"/>
    </w:rPr>
  </w:style>
  <w:style w:type="character" w:customStyle="1" w:styleId="CommentaireCar">
    <w:name w:val="Commentaire Car"/>
    <w:basedOn w:val="Policepardfaut"/>
    <w:link w:val="Commentaire"/>
    <w:uiPriority w:val="99"/>
    <w:rsid w:val="0072761D"/>
    <w:rPr>
      <w:rFonts w:eastAsiaTheme="minorHAnsi" w:cstheme="minorBidi"/>
      <w:sz w:val="24"/>
      <w:szCs w:val="24"/>
      <w:lang w:eastAsia="en-US"/>
    </w:rPr>
  </w:style>
  <w:style w:type="table" w:styleId="Grillemoyenne2-Accent3">
    <w:name w:val="Medium Grid 2 Accent 3"/>
    <w:basedOn w:val="TableauNormal"/>
    <w:uiPriority w:val="68"/>
    <w:rsid w:val="0072761D"/>
    <w:rPr>
      <w:rFonts w:ascii="Calibri" w:eastAsia="MS Gothic" w:hAnsi="Calibri"/>
      <w:color w:val="000000"/>
      <w:sz w:val="22"/>
      <w:szCs w:val="22"/>
      <w:lang w:eastAsia="fr-F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Textedebulles">
    <w:name w:val="Balloon Text"/>
    <w:basedOn w:val="Normal"/>
    <w:link w:val="TextedebullesCar"/>
    <w:uiPriority w:val="99"/>
    <w:semiHidden/>
    <w:unhideWhenUsed/>
    <w:rsid w:val="0072761D"/>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2761D"/>
    <w:rPr>
      <w:rFonts w:ascii="Lucida Grande" w:eastAsiaTheme="minorHAnsi" w:hAnsi="Lucida Grande" w:cs="Lucida Grande"/>
      <w:sz w:val="18"/>
      <w:szCs w:val="18"/>
      <w:lang w:val="en-GB" w:eastAsia="en-US"/>
    </w:rPr>
  </w:style>
  <w:style w:type="paragraph" w:customStyle="1" w:styleId="Bibliographie1">
    <w:name w:val="Bibliographie1"/>
    <w:basedOn w:val="Normal"/>
    <w:rsid w:val="005C6D4F"/>
    <w:pPr>
      <w:tabs>
        <w:tab w:val="left" w:pos="380"/>
      </w:tabs>
      <w:spacing w:after="240"/>
      <w:ind w:left="384" w:hanging="384"/>
    </w:pPr>
    <w:rPr>
      <w:rFonts w:eastAsia="Times New Roman" w:cs="Times New Roman"/>
      <w:b/>
      <w:lang w:val="fr-FR" w:eastAsia="fr-FR"/>
    </w:rPr>
  </w:style>
  <w:style w:type="paragraph" w:styleId="Objetducommentaire">
    <w:name w:val="annotation subject"/>
    <w:basedOn w:val="Commentaire"/>
    <w:next w:val="Commentaire"/>
    <w:link w:val="ObjetducommentaireCar"/>
    <w:uiPriority w:val="99"/>
    <w:semiHidden/>
    <w:unhideWhenUsed/>
    <w:rsid w:val="00E24AE3"/>
    <w:pPr>
      <w:spacing w:after="200" w:line="240" w:lineRule="auto"/>
      <w:jc w:val="left"/>
    </w:pPr>
    <w:rPr>
      <w:rFonts w:asciiTheme="minorHAnsi" w:hAnsiTheme="minorHAnsi"/>
      <w:b/>
      <w:bCs/>
      <w:sz w:val="20"/>
      <w:szCs w:val="20"/>
      <w:lang w:val="en-GB"/>
    </w:rPr>
  </w:style>
  <w:style w:type="character" w:customStyle="1" w:styleId="ObjetducommentaireCar">
    <w:name w:val="Objet du commentaire Car"/>
    <w:basedOn w:val="CommentaireCar"/>
    <w:link w:val="Objetducommentaire"/>
    <w:uiPriority w:val="99"/>
    <w:semiHidden/>
    <w:rsid w:val="00E24AE3"/>
    <w:rPr>
      <w:rFonts w:asciiTheme="minorHAnsi" w:eastAsiaTheme="minorHAnsi" w:hAnsiTheme="minorHAnsi" w:cstheme="minorBidi"/>
      <w:b/>
      <w:bCs/>
      <w:sz w:val="24"/>
      <w:szCs w:val="24"/>
      <w:lang w:val="en-GB" w:eastAsia="en-US"/>
    </w:rPr>
  </w:style>
  <w:style w:type="paragraph" w:styleId="En-tte">
    <w:name w:val="header"/>
    <w:basedOn w:val="Normal"/>
    <w:link w:val="En-tteCar"/>
    <w:uiPriority w:val="99"/>
    <w:unhideWhenUsed/>
    <w:rsid w:val="00E80CD6"/>
    <w:pPr>
      <w:tabs>
        <w:tab w:val="center" w:pos="4536"/>
        <w:tab w:val="right" w:pos="9072"/>
      </w:tabs>
      <w:spacing w:after="0"/>
    </w:pPr>
  </w:style>
  <w:style w:type="character" w:customStyle="1" w:styleId="En-tteCar">
    <w:name w:val="En-tête Car"/>
    <w:basedOn w:val="Policepardfaut"/>
    <w:link w:val="En-tte"/>
    <w:uiPriority w:val="99"/>
    <w:rsid w:val="00E80CD6"/>
    <w:rPr>
      <w:rFonts w:asciiTheme="minorHAnsi" w:eastAsiaTheme="minorHAnsi" w:hAnsiTheme="minorHAnsi" w:cstheme="minorBidi"/>
      <w:sz w:val="24"/>
      <w:szCs w:val="24"/>
      <w:lang w:val="en-GB" w:eastAsia="en-US"/>
    </w:rPr>
  </w:style>
  <w:style w:type="paragraph" w:styleId="Pieddepage">
    <w:name w:val="footer"/>
    <w:basedOn w:val="Normal"/>
    <w:link w:val="PieddepageCar"/>
    <w:uiPriority w:val="99"/>
    <w:unhideWhenUsed/>
    <w:rsid w:val="00E80CD6"/>
    <w:pPr>
      <w:tabs>
        <w:tab w:val="center" w:pos="4536"/>
        <w:tab w:val="right" w:pos="9072"/>
      </w:tabs>
      <w:spacing w:after="0"/>
    </w:pPr>
  </w:style>
  <w:style w:type="character" w:customStyle="1" w:styleId="PieddepageCar">
    <w:name w:val="Pied de page Car"/>
    <w:basedOn w:val="Policepardfaut"/>
    <w:link w:val="Pieddepage"/>
    <w:uiPriority w:val="99"/>
    <w:rsid w:val="00E80CD6"/>
    <w:rPr>
      <w:rFonts w:asciiTheme="minorHAnsi" w:eastAsiaTheme="minorHAnsi" w:hAnsiTheme="minorHAnsi" w:cstheme="minorBidi"/>
      <w:sz w:val="24"/>
      <w:szCs w:val="24"/>
      <w:lang w:val="en-GB" w:eastAsia="en-US"/>
    </w:rPr>
  </w:style>
  <w:style w:type="character" w:styleId="Textedelespacerserv">
    <w:name w:val="Placeholder Text"/>
    <w:basedOn w:val="Policepardfaut"/>
    <w:uiPriority w:val="99"/>
    <w:semiHidden/>
    <w:rsid w:val="009D33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6036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5637</Words>
  <Characters>31009</Characters>
  <Application>Microsoft Macintosh Word</Application>
  <DocSecurity>0</DocSecurity>
  <Lines>258</Lines>
  <Paragraphs>73</Paragraphs>
  <ScaleCrop>false</ScaleCrop>
  <Company/>
  <LinksUpToDate>false</LinksUpToDate>
  <CharactersWithSpaces>36573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Marie-Bérengère Troadec</dc:creator>
  <cp:keywords/>
  <dc:description/>
  <cp:lastModifiedBy>Marie-Bérengère Troadec</cp:lastModifiedBy>
  <cp:revision>68</cp:revision>
  <cp:lastPrinted>2020-08-21T13:30:00Z</cp:lastPrinted>
  <dcterms:created xsi:type="dcterms:W3CDTF">2020-06-18T15:38:00Z</dcterms:created>
  <dcterms:modified xsi:type="dcterms:W3CDTF">2021-02-22T09:47:00Z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id="7VLsj70W"/&gt;&lt;style id="http://www.zotero.org/styles/vancouver" locale="fr-FR" hasBibliography="1" bibliographyStyleHasBeenSet="1"/&gt;&lt;prefs&gt;&lt;pref name="fieldType" value="Field"/&gt;&lt;pref name="delayCit</vt:lpwstr>
  </property>
  <property fmtid="{D5CDD505-2E9C-101B-9397-08002B2CF9AE}" pid="3" name="ZOTERO_PREF_2">
    <vt:lpwstr>ationUpdates" value="true"/&gt;&lt;pref name="dontAskDelayCitationUpdates" value="true"/&gt;&lt;/prefs&gt;&lt;/data&gt;</vt:lpwstr>
  </property>
</Properties>
</file>