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Additional file 2</w:t>
      </w:r>
    </w:p>
    <w:p>
      <w:pPr>
        <w:rPr>
          <w:rFonts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Materials and Methods</w:t>
      </w:r>
    </w:p>
    <w:p>
      <w:pPr>
        <w:rPr>
          <w:rFonts w:ascii="Times New Roman" w:hAnsi="Times New Roman"/>
          <w:b/>
          <w:bCs/>
          <w:i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i/>
          <w:color w:val="000000" w:themeColor="text1"/>
          <w14:textFill>
            <w14:solidFill>
              <w14:schemeClr w14:val="tx1"/>
            </w14:solidFill>
          </w14:textFill>
        </w:rPr>
        <w:t>Cell culture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OLE_LINK11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Human m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ultiple myeloma cell lines </w:t>
      </w:r>
      <w:bookmarkEnd w:id="0"/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ARP1 and H929 </w:t>
      </w:r>
      <w:bookmarkStart w:id="1" w:name="OLE_LINK30"/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from ATCC were cultured in RPMI 1640 Medium (BI,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Israel) with 10% fetal bovine serum (BI,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Israel) 100 U/mL penicillin and 100 mg/m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L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streptomycin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(YEASEN, China)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. HEK293T 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cells 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were cultured in Dulbecco’s Modified Essential Medium (BI</w:t>
      </w:r>
      <w:r>
        <w:rPr>
          <w:rFonts w:hint="eastAsia"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Israel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with 10% ES-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fetal bovine serum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(BI, Israel)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and 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100 U/m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L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penicillin and 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100 mg/m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L streptomycin (YEASEN, China)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.</w:t>
      </w:r>
      <w:bookmarkEnd w:id="1"/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All 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cells were cultured in a </w:t>
      </w:r>
      <w:bookmarkStart w:id="2" w:name="OLE_LINK8"/>
      <w:bookmarkStart w:id="3" w:name="OLE_LINK9"/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humidified </w:t>
      </w:r>
      <w:bookmarkEnd w:id="2"/>
      <w:bookmarkEnd w:id="3"/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atmosphere of 5 % CO</w:t>
      </w:r>
      <w:r>
        <w:rPr>
          <w:rFonts w:ascii="Times New Roman" w:hAnsi="Times New Roman"/>
          <w:bCs/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at 37</w:t>
      </w:r>
      <w:r>
        <w:rPr>
          <w:rFonts w:hint="eastAsia"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℃. 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bookmarkStart w:id="4" w:name="OLE_LINK14"/>
      <w:bookmarkStart w:id="5" w:name="OLE_LINK15"/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i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Generation of stable cell lines knockdown/overexpressed </w:t>
      </w:r>
      <w:bookmarkEnd w:id="4"/>
      <w:bookmarkEnd w:id="5"/>
      <w:r>
        <w:rPr>
          <w:rFonts w:ascii="Times New Roman" w:hAnsi="Times New Roman"/>
          <w:b/>
          <w:bCs/>
          <w:i/>
          <w:color w:val="000000" w:themeColor="text1"/>
          <w14:textFill>
            <w14:solidFill>
              <w14:schemeClr w14:val="tx1"/>
            </w14:solidFill>
          </w14:textFill>
        </w:rPr>
        <w:t xml:space="preserve">HNRNPA2B1 and ILF3 </w:t>
      </w:r>
    </w:p>
    <w:p>
      <w:pPr>
        <w:autoSpaceDE w:val="0"/>
        <w:autoSpaceDN w:val="0"/>
        <w:adjustRightInd w:val="0"/>
        <w:spacing w:line="360" w:lineRule="auto"/>
        <w:jc w:val="distribute"/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ascii="Times New Roman" w:hAnsi="Times New Roman"/>
          <w:bCs/>
          <w:i/>
          <w:color w:val="000000" w:themeColor="text1"/>
          <w14:textFill>
            <w14:solidFill>
              <w14:schemeClr w14:val="tx1"/>
            </w14:solidFill>
          </w14:textFill>
        </w:rPr>
        <w:t>HNRNPA2B1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over-expression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plasmid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w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as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purchased from </w:t>
      </w:r>
      <w:bookmarkStart w:id="6" w:name="OLE_LINK12"/>
      <w:bookmarkStart w:id="7" w:name="OLE_LINK13"/>
      <w:bookmarkStart w:id="8" w:name="OLE_LINK10"/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TranSheep </w:t>
      </w:r>
      <w:bookmarkEnd w:id="6"/>
      <w:bookmarkEnd w:id="7"/>
      <w:bookmarkEnd w:id="8"/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Bio-Tech Co., Ltd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(Shanghai,China).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The short hairpin RNAs (shRNAs) targeting site of human </w:t>
      </w:r>
      <w:r>
        <w:rPr>
          <w:rFonts w:ascii="Times New Roman" w:hAnsi="Times New Roman"/>
          <w:bCs/>
          <w:i/>
          <w:color w:val="000000" w:themeColor="text1"/>
          <w14:textFill>
            <w14:solidFill>
              <w14:schemeClr w14:val="tx1"/>
            </w14:solidFill>
          </w14:textFill>
        </w:rPr>
        <w:t>HNRNPA2B1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mRNA sequence w</w:t>
      </w:r>
      <w:r>
        <w:rPr>
          <w:rFonts w:ascii="Times New Roman" w:hAnsi="Times New Roman"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as designed by RNAi online design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tools</w:t>
      </w:r>
      <w:r>
        <w:rPr>
          <w:rFonts w:hint="eastAsia"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(TGCTGT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 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TGACAGTGAGCGC</w:t>
      </w:r>
      <w:r>
        <w:rPr>
          <w:rFonts w:ascii="Times New Roman" w:hAnsi="Times New Roman"/>
          <w:bCs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GGAAATTATGGAAGTGGAAAT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TAGTGAA</w:t>
      </w:r>
      <w:r>
        <w:rPr>
          <w:rFonts w:hint="eastAsia"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GCCACAGAT</w:t>
      </w:r>
    </w:p>
    <w:p>
      <w:pPr>
        <w:spacing w:line="360" w:lineRule="auto"/>
        <w:jc w:val="distribute"/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GTAATTTCCACTTCCATAATTTCCTTGCCTACTGCCTCGGA)</w:t>
      </w:r>
      <w:r>
        <w:rPr>
          <w:rFonts w:hint="eastAsia"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 xml:space="preserve">and synthesized </w:t>
      </w:r>
      <w:r>
        <w:rPr>
          <w:rFonts w:hint="default" w:ascii="Times New Roman" w:hAnsi="Times New Roman" w:cs="Times New Roman"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 xml:space="preserve">by Genscript </w:t>
      </w:r>
      <w:r>
        <w:rPr>
          <w:rFonts w:hint="default" w:ascii="Times New Roman" w:hAnsi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Co.,</w:t>
      </w:r>
      <w:r>
        <w:rPr>
          <w:rFonts w:hint="default" w:ascii="Times New Roman" w:hAnsi="Times New Roman" w:cs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Ltd</w:t>
      </w:r>
      <w:r>
        <w:rPr>
          <w:rFonts w:hint="default" w:ascii="Times New Roman" w:hAnsi="Times New Roman" w:cs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(</w:t>
      </w:r>
      <w:bookmarkStart w:id="9" w:name="OLE_LINK3"/>
      <w:bookmarkStart w:id="10" w:name="OLE_LINK4"/>
      <w:r>
        <w:rPr>
          <w:rFonts w:hint="default" w:ascii="Times New Roman" w:hAnsi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Nanjing, China</w:t>
      </w:r>
      <w:bookmarkEnd w:id="9"/>
      <w:bookmarkEnd w:id="10"/>
      <w:r>
        <w:rPr>
          <w:rFonts w:hint="default" w:ascii="Times New Roman" w:hAnsi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). The </w:t>
      </w:r>
      <w:bookmarkStart w:id="11" w:name="OLE_LINK16"/>
      <w:bookmarkStart w:id="12" w:name="OLE_LINK22"/>
      <w:bookmarkStart w:id="13" w:name="OLE_LINK17"/>
      <w:r>
        <w:rPr>
          <w:rFonts w:hint="default" w:ascii="Times New Roman" w:hAnsi="Times New Roman" w:cs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oligonucleotides </w:t>
      </w:r>
      <w:bookmarkEnd w:id="11"/>
      <w:bookmarkEnd w:id="12"/>
      <w:bookmarkEnd w:id="13"/>
      <w:r>
        <w:rPr>
          <w:rFonts w:hint="default" w:ascii="Times New Roman" w:hAnsi="Times New Roman" w:cs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were inserted into pTRIPZ </w:t>
      </w:r>
      <w:bookmarkStart w:id="14" w:name="OLE_LINK23"/>
      <w:bookmarkStart w:id="15" w:name="OLE_LINK24"/>
      <w:r>
        <w:rPr>
          <w:rFonts w:hint="default" w:ascii="Times New Roman" w:hAnsi="Times New Roman" w:cs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vector </w:t>
      </w:r>
      <w:bookmarkEnd w:id="14"/>
      <w:bookmarkEnd w:id="15"/>
      <w:r>
        <w:rPr>
          <w:rFonts w:hint="default" w:ascii="Times New Roman" w:hAnsi="Times New Roman" w:cs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according to the instruction of manufacturer. The</w:t>
      </w:r>
      <w:r>
        <w:rPr>
          <w:rFonts w:hint="default" w:ascii="Times New Roman" w:hAnsi="Times New Roman" w:cs="Times New Roman"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ILF3</w:t>
      </w:r>
      <w:r>
        <w:rPr>
          <w:rFonts w:hint="default" w:ascii="Times New Roman" w:hAnsi="Times New Roman" w:cs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-shRNA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(CCGG</w:t>
      </w:r>
      <w:r>
        <w:rPr>
          <w:rFonts w:ascii="Times New Roman" w:hAnsi="Times New Roman"/>
          <w:bCs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CCTTCCAAGATGCCCAAGAAAC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TCGAGTTTCTTGGGCATC</w:t>
      </w:r>
      <w:r>
        <w:rPr>
          <w:rFonts w:hint="eastAsia"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TTGGAA</w:t>
      </w:r>
    </w:p>
    <w:p>
      <w:pPr>
        <w:spacing w:line="360" w:lineRule="auto"/>
        <w:jc w:val="both"/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GGTTTTTG) 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was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purchased from </w:t>
      </w:r>
      <w:bookmarkStart w:id="16" w:name="OLE_LINK18"/>
      <w:bookmarkStart w:id="17" w:name="OLE_LINK19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Genebay</w:t>
      </w:r>
      <w:bookmarkEnd w:id="16"/>
      <w:bookmarkEnd w:id="17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Co., Ltd</w:t>
      </w:r>
      <w:r>
        <w:rPr>
          <w:rFonts w:ascii="Times New Roman" w:hAnsi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(Nanjing, China)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. Lentiviral vectors were co-transfected into HEK293T cells with packaging vectors psPAX2 and pMD2.G</w:t>
      </w:r>
      <w:r>
        <w:rPr>
          <w:rFonts w:ascii="Times New Roman" w:hAnsi="Times New Roman" w:eastAsia="AdvOT596495f2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using Liposomal Transfection Reagent (YEASEN</w:t>
      </w:r>
      <w:r>
        <w:rPr>
          <w:rFonts w:ascii="Times New Roman" w:hAnsi="Times New Roman"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Shanghai).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Lentivirus </w:t>
      </w:r>
      <w:bookmarkStart w:id="18" w:name="OLE_LINK21"/>
      <w:bookmarkStart w:id="19" w:name="OLE_LINK20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particles </w:t>
      </w:r>
      <w:bookmarkEnd w:id="18"/>
      <w:bookmarkEnd w:id="19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were harvested at 48 h after transfection and transduced into MM cells. </w:t>
      </w:r>
      <w:bookmarkStart w:id="20" w:name="OLE_LINK29"/>
      <w:bookmarkStart w:id="21" w:name="OLE_LINK28"/>
      <w:bookmarkStart w:id="22" w:name="OLE_LINK31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And transduced MM cells were 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sort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ed with puromycin (2 μg/mL; </w:t>
      </w:r>
      <w:r>
        <w:rPr>
          <w:rFonts w:ascii="Times New Roman" w:hAnsi="Times New Roman" w:eastAsia="AdvOT596495f2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MCE, USA)</w:t>
      </w:r>
      <w:bookmarkEnd w:id="20"/>
      <w:bookmarkEnd w:id="21"/>
      <w:bookmarkEnd w:id="22"/>
      <w:r>
        <w:rPr>
          <w:rFonts w:hint="eastAsia" w:ascii="Times New Roman" w:hAnsi="Times New Roman" w:eastAsia="AdvOT596495f2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 xml:space="preserve">. </w:t>
      </w:r>
      <w:bookmarkStart w:id="23" w:name="OLE_LINK42"/>
      <w:bookmarkStart w:id="24" w:name="OLE_LINK41"/>
      <w:bookmarkStart w:id="25" w:name="OLE_LINK26"/>
      <w:bookmarkStart w:id="26" w:name="OLE_LINK27"/>
      <w:bookmarkStart w:id="27" w:name="OLE_LINK25"/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oxycycline</w:t>
      </w:r>
      <w:bookmarkEnd w:id="23"/>
      <w:bookmarkEnd w:id="24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(</w:t>
      </w:r>
      <w:bookmarkEnd w:id="25"/>
      <w:bookmarkEnd w:id="26"/>
      <w:bookmarkEnd w:id="27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Beyoyime, China) 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was used to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induce shRNA expression.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RNA interference</w:t>
      </w:r>
    </w:p>
    <w:p>
      <w:pPr>
        <w:autoSpaceDE w:val="0"/>
        <w:autoSpaceDN w:val="0"/>
        <w:adjustRightInd w:val="0"/>
        <w:spacing w:line="360" w:lineRule="auto"/>
        <w:jc w:val="distribute"/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Small interfering RNAs (siRNA) induce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i/>
          <w:i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AKT3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gene silencing </w:t>
      </w:r>
      <w:r>
        <w:rPr>
          <w:rFonts w:ascii="Times New Roman" w:hAnsi="Times New Roman"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by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targeting </w:t>
      </w:r>
      <w:r>
        <w:rPr>
          <w:rFonts w:ascii="Times New Roman" w:hAnsi="Times New Roman"/>
          <w:bCs/>
          <w:i/>
          <w:i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AKT3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mRNA and negative control RNAs (siNC) purchased from GenePharma Company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(Shanghai, China). </w:t>
      </w:r>
      <w:bookmarkStart w:id="28" w:name="OLE_LINK32"/>
      <w:bookmarkStart w:id="29" w:name="OLE_LINK33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Electroporation </w:t>
      </w:r>
      <w:bookmarkEnd w:id="28"/>
      <w:bookmarkEnd w:id="29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method was used to deliver siRNA into the cells using the BTX Gemini SC (USA) device in accordance with optimization of electroporation parameters. Western Blotting was 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performed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to assess protein 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expression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to ensure efficient knockdown. </w:t>
      </w:r>
    </w:p>
    <w:p>
      <w:pPr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Western Blotting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Cells were lysed in appropriate </w:t>
      </w:r>
      <w:bookmarkStart w:id="30" w:name="OLE_LINK35"/>
      <w:bookmarkStart w:id="31" w:name="OLE_LINK34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radioimmunoprecipitation </w:t>
      </w:r>
      <w:bookmarkEnd w:id="30"/>
      <w:bookmarkEnd w:id="31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assay (RIPA) buffer (0.1% SDS, 1% NP-40, 50 mM HEPES, pH 7.4, 2 mM EDTA, 100 mM NaCl, 5 mM sodium orthovanadate, 40 μM p-nitrophenyl phosphate) mixed with 1% Protease inhibitor cocktail (Pierce Biotechnology, Rockford, IL, USA) for 15 min on ice. Cell lysates were </w:t>
      </w:r>
      <w:bookmarkStart w:id="32" w:name="OLE_LINK37"/>
      <w:bookmarkStart w:id="33" w:name="OLE_LINK36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centrifuged </w:t>
      </w:r>
      <w:bookmarkEnd w:id="32"/>
      <w:bookmarkEnd w:id="33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at 12,000 rpm for 15 min at 4°C. The supernatant was collected and protein was quantified using a Bicinchoninic Acid (BCA) Protein Assay Kit (YEASEN, Shanghai). Proteins were separated in 12% SDS-PAGE gel and transferred to 0.45 μm PVDF membranes (Millipore, Billerica, MA, USA). 5% 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non-fat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milk dissolved in TBST buffer was used to block 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the membranes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for 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h at room temperature.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Then the membranes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w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ere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incubated 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in t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he primary antibodies at 4°C overnight. Membranes were rinsed with TBST buffer and corresponding secondary antibodies incubated at room temperature for 1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h. </w:t>
      </w:r>
      <w:bookmarkStart w:id="34" w:name="OLE_LINK38"/>
      <w:bookmarkStart w:id="35" w:name="OLE_LINK39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Chemiluminescent </w:t>
      </w:r>
      <w:bookmarkEnd w:id="34"/>
      <w:bookmarkEnd w:id="35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detection was performed with the ECL kit (Thermo Fisher Scientifific, USA). Antibodies were as follows: HNRNPA2B1 (1:1000; Proteintech, China), ILF3 (1:1000; Proteintech, China), AKT3 (1:1000; Cell Signaling Technology; USA), β-A</w:t>
      </w:r>
      <w:r>
        <w:rPr>
          <w:rFonts w:ascii="Times New Roman" w:hAnsi="Times New Roman"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ctin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(1:1000; Proteintech, China), PARP (1:1000; Cell Signaling Technology, USA), C</w:t>
      </w:r>
      <w:r>
        <w:rPr>
          <w:rFonts w:ascii="Times New Roman" w:hAnsi="Times New Roman"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asepase 3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(1:1000; Cell Signaling Technology, USA), Cleaved C</w:t>
      </w:r>
      <w:r>
        <w:rPr>
          <w:rFonts w:ascii="Times New Roman" w:hAnsi="Times New Roman"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asepase 3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(1:1000; Cell Signaling Technology, USA).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RT-qPCR</w:t>
      </w:r>
    </w:p>
    <w:p>
      <w:pPr>
        <w:spacing w:line="360" w:lineRule="auto"/>
        <w:jc w:val="distribute"/>
        <w:rPr>
          <w:rFonts w:ascii="Times New Roman" w:hAnsi="Times New Roman" w:eastAsia="AdvOT863180fb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dvOT863180fb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Total RNA was isolated from MM cells using Trizol reagent (YEASEN, Shanghai).</w:t>
      </w:r>
    </w:p>
    <w:p>
      <w:pPr>
        <w:spacing w:line="360" w:lineRule="auto"/>
        <w:jc w:val="both"/>
        <w:rPr>
          <w:rFonts w:eastAsia="AdvOT863180fb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dvOT863180fb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500 ng of purified RNA </w:t>
      </w:r>
      <w:r>
        <w:rPr>
          <w:rFonts w:ascii="Times New Roman" w:hAnsi="Times New Roman" w:eastAsia="AdvOT863180fb"/>
          <w:color w:val="000000" w:themeColor="text1"/>
          <w:lang w:eastAsia="zh-Hans" w:bidi="ar"/>
          <w14:textFill>
            <w14:solidFill>
              <w14:schemeClr w14:val="tx1"/>
            </w14:solidFill>
          </w14:textFill>
        </w:rPr>
        <w:t>w</w:t>
      </w:r>
      <w:r>
        <w:rPr>
          <w:rFonts w:hint="eastAsia" w:ascii="Times New Roman" w:hAnsi="Times New Roman" w:eastAsia="AdvOT863180fb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as</w:t>
      </w:r>
      <w:r>
        <w:rPr>
          <w:rFonts w:ascii="Times New Roman" w:hAnsi="Times New Roman" w:eastAsia="AdvOT863180fb"/>
          <w:color w:val="000000" w:themeColor="text1"/>
          <w:lang w:eastAsia="zh-Hans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AdvOT863180fb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reverse </w:t>
      </w:r>
      <w:r>
        <w:rPr>
          <w:rFonts w:ascii="Times New Roman" w:hAnsi="Times New Roman" w:eastAsia="AdvOTb319c559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transcribed </w:t>
      </w:r>
      <w:r>
        <w:rPr>
          <w:rFonts w:ascii="Times New Roman" w:hAnsi="Times New Roman" w:eastAsia="AdvOT863180fb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using the Hifair 1st Strand cDNA Synthesis SuperMix for qPCR (gDNA digester plus) (YEASEN, Shanghai). PCR samples were </w:t>
      </w:r>
      <w:r>
        <w:rPr>
          <w:rFonts w:ascii="Times New Roman" w:hAnsi="Times New Roman" w:eastAsia="AdvOT863180fb"/>
          <w:color w:val="000000" w:themeColor="text1"/>
          <w:lang w:eastAsia="zh-Hans" w:bidi="ar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AdvOT863180fb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repared with diluted cDNA (1:30), 5 μL SYBR Green PCR master mix (YEASEN, Shanghai), 0.2 μM each of the forward and reverse primers in a total volume of 10 μL. GAPDH was used as </w:t>
      </w:r>
      <w:r>
        <w:rPr>
          <w:rFonts w:hint="eastAsia" w:ascii="Times New Roman" w:hAnsi="Times New Roman" w:eastAsia="AdvOT863180fb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internal standard</w:t>
      </w:r>
      <w:r>
        <w:rPr>
          <w:rFonts w:ascii="Times New Roman" w:hAnsi="Times New Roman" w:eastAsia="AdvOT863180fb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. Quantitative PCR (qPCR) was performed using an Analytikjena qPCRsoft 4.0 (Gemany). The relative expression level of target gene was calculated using the 2</w:t>
      </w:r>
      <w:r>
        <w:rPr>
          <w:rFonts w:ascii="Times New Roman" w:hAnsi="Times New Roman" w:eastAsia="AdvOT863180fb"/>
          <w:color w:val="000000" w:themeColor="text1"/>
          <w:vertAlign w:val="superscript"/>
          <w:lang w:eastAsia="zh-CN" w:bidi="ar"/>
          <w14:textFill>
            <w14:solidFill>
              <w14:schemeClr w14:val="tx1"/>
            </w14:solidFill>
          </w14:textFill>
        </w:rPr>
        <w:t>−ΔΔCT</w:t>
      </w:r>
      <w:r>
        <w:rPr>
          <w:rFonts w:ascii="Times New Roman" w:hAnsi="Times New Roman" w:eastAsia="AdvOT863180fb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 method and graphed as fold change (2</w:t>
      </w:r>
      <w:r>
        <w:rPr>
          <w:rFonts w:ascii="Times New Roman" w:hAnsi="Times New Roman" w:eastAsia="AdvOT863180fb"/>
          <w:color w:val="000000" w:themeColor="text1"/>
          <w:vertAlign w:val="superscript"/>
          <w:lang w:eastAsia="zh-CN" w:bidi="ar"/>
          <w14:textFill>
            <w14:solidFill>
              <w14:schemeClr w14:val="tx1"/>
            </w14:solidFill>
          </w14:textFill>
        </w:rPr>
        <w:t>−ΔΔ</w:t>
      </w:r>
      <w:r>
        <w:rPr>
          <w:rFonts w:ascii="Times New Roman" w:hAnsi="Times New Roman" w:eastAsia="AdvOT863180fb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CT) from control.</w:t>
      </w:r>
    </w:p>
    <w:p>
      <w:pPr>
        <w:spacing w:line="360" w:lineRule="auto"/>
        <w:jc w:val="center"/>
        <w:rPr>
          <w:rFonts w:ascii="Times New Roman" w:hAnsi="Times New Roman" w:eastAsia="AdvOT863180fb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dvOT863180fb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Table S1 Primer Sequence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524"/>
        <w:gridCol w:w="377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Gene Name</w:t>
            </w:r>
          </w:p>
        </w:tc>
        <w:tc>
          <w:tcPr>
            <w:tcW w:w="1524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0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Primer Sequence (5' -&gt; 3')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AdvOT863180fb"/>
                <w:i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dvOT863180fb"/>
                <w:i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GAPDH</w:t>
            </w:r>
          </w:p>
        </w:tc>
        <w:tc>
          <w:tcPr>
            <w:tcW w:w="1524" w:type="dxa"/>
            <w:tcBorders>
              <w:bottom w:val="nil"/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Forward:</w:t>
            </w:r>
          </w:p>
        </w:tc>
        <w:tc>
          <w:tcPr>
            <w:tcW w:w="3720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/>
                <w:color w:val="000000" w:themeColor="text1"/>
                <w:shd w:val="clear" w:color="auto" w:fill="FFFFFF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GTCGGAGTCAACGGATT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Merge w:val="continue"/>
            <w:tcBorders>
              <w:bottom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Reverse:</w:t>
            </w:r>
          </w:p>
        </w:tc>
        <w:tc>
          <w:tcPr>
            <w:tcW w:w="372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/>
                <w:color w:val="000000" w:themeColor="text1"/>
                <w:shd w:val="clear" w:color="auto" w:fill="FFFFFF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AAGCTTCCCGTTCTCAG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Merge w:val="restart"/>
            <w:tcBorders>
              <w:top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i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dvOT863180fb"/>
                <w:i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HNRNPA2B1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Forward:</w:t>
            </w:r>
          </w:p>
        </w:tc>
        <w:tc>
          <w:tcPr>
            <w:tcW w:w="372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/>
                <w:color w:val="000000" w:themeColor="text1"/>
                <w:shd w:val="clear" w:color="auto" w:fill="FFFFFF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GGAGTGGAAGAGGAGGCAAC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Merge w:val="continue"/>
            <w:tcBorders>
              <w:bottom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Reverse:</w:t>
            </w:r>
          </w:p>
        </w:tc>
        <w:tc>
          <w:tcPr>
            <w:tcW w:w="372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CAGGTCCTCCTCCATACCCA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Merge w:val="restart"/>
            <w:tcBorders>
              <w:top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i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dvOT863180fb"/>
                <w:i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ILF3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Forward:</w:t>
            </w:r>
          </w:p>
        </w:tc>
        <w:tc>
          <w:tcPr>
            <w:tcW w:w="372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/>
                <w:color w:val="000000" w:themeColor="text1"/>
                <w:shd w:val="clear" w:color="auto" w:fill="FFFFFF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GCCCCCATCTTTACCATGTC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Merge w:val="continue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Reverse:</w:t>
            </w:r>
          </w:p>
        </w:tc>
        <w:tc>
          <w:tcPr>
            <w:tcW w:w="372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/>
                <w:color w:val="000000" w:themeColor="text1"/>
                <w:shd w:val="clear" w:color="auto" w:fill="FFFFFF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GCAAGCCCATGTCCTGTAAC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Merge w:val="restart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i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dvOT863180fb"/>
                <w:i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AKT3</w:t>
            </w:r>
          </w:p>
        </w:tc>
        <w:tc>
          <w:tcPr>
            <w:tcW w:w="152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Forward:</w:t>
            </w:r>
          </w:p>
        </w:tc>
        <w:tc>
          <w:tcPr>
            <w:tcW w:w="372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/>
                <w:color w:val="000000" w:themeColor="text1"/>
                <w:shd w:val="clear" w:color="auto" w:fill="FFFFFF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TGTGGATTTACCTTATCCCCTCA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Merge w:val="continue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tcBorders>
              <w:top w:val="nil"/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Reverse:</w:t>
            </w:r>
          </w:p>
        </w:tc>
        <w:tc>
          <w:tcPr>
            <w:tcW w:w="3720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863180fb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/>
                <w:color w:val="000000" w:themeColor="text1"/>
                <w:shd w:val="clear" w:color="auto" w:fill="FFFFFF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GTTTGGCTTTGGTCGTTCTGT</w:t>
            </w:r>
          </w:p>
        </w:tc>
      </w:tr>
    </w:tbl>
    <w:p>
      <w:pPr>
        <w:autoSpaceDE w:val="0"/>
        <w:autoSpaceDN w:val="0"/>
        <w:adjustRightInd w:val="0"/>
        <w:spacing w:line="360" w:lineRule="auto"/>
        <w:rPr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Cell proliferation assay</w:t>
      </w:r>
    </w:p>
    <w:p>
      <w:pPr>
        <w:spacing w:line="360" w:lineRule="auto"/>
        <w:jc w:val="distribute"/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The viability of cells w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as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detected using 3-[4, 5-di- methylthiazol-2-yl]−2, 5-diphenyltetrazolium bromide (MTT) assay. Cells were seeded into 96-well plates (5×10</w:t>
      </w:r>
      <w:r>
        <w:rPr>
          <w:rFonts w:ascii="Times New Roman" w:hAnsi="Times New Roman"/>
          <w:bCs/>
          <w:color w:val="000000" w:themeColor="text1"/>
          <w:vertAlign w:val="superscript"/>
          <w:lang w:eastAsia="zh-CN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cells per well). Then, 20 μL of MTT reagent (5 mg/mL; Sigma-Aldrich, USA) was added into each well after incubated for 24, 48 or 72 h. The formazan was dissolved in DMSO and the absorbance was measured spectrophotometrically at 570 nm by a microplate reader (Thermo Fisher, USA) after incubat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ed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for 4 h.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Cell apoptosis analysis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Annexin V/PI staining assay was used to detect apoptosis of cells. The cells were harvested and re-suspended in 100 μL binding buffer and stained with 5 μL APC Annexin V (</w:t>
      </w:r>
      <w:bookmarkStart w:id="36" w:name="OLE_LINK5"/>
      <w:bookmarkStart w:id="37" w:name="OLE_LINK6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Biolegend</w:t>
      </w:r>
      <w:bookmarkEnd w:id="36"/>
      <w:bookmarkEnd w:id="37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, USA ) and Propidium Iodide (</w:t>
      </w:r>
      <w:bookmarkStart w:id="38" w:name="OLE_LINK40"/>
      <w:bookmarkStart w:id="39" w:name="OLE_LINK7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Solarbio</w:t>
      </w:r>
      <w:bookmarkEnd w:id="38"/>
      <w:bookmarkEnd w:id="39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, China) in darkness at room temperature for 15 min. Flow cytometry was performed by Guavaeasy Cyte (Merck Millipore, USA) and Annexin V positive cells were quantitated by FCM.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MeRIP sequencing 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ARP1 and H929 cells with stable knockdown of HNRNPA2B1 for Methylated RNA immunoprecipitation (MeRIP) sequencing were stored in TRIzol 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reagent </w:t>
      </w:r>
      <w:r>
        <w:rPr>
          <w:rFonts w:ascii="Times New Roman" w:hAnsi="Times New Roman"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 xml:space="preserve">and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MeRIP-Seq assay was carried out by LC Sciences (USA).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RIP sequencing </w:t>
      </w:r>
      <w:r>
        <w:rPr>
          <w:rFonts w:ascii="Times New Roman" w:hAnsi="Times New Roman"/>
          <w:b/>
          <w:bCs/>
          <w:i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and</w:t>
      </w:r>
      <w:r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RIP-qPCR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An RIP experiment was performed 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using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ARP1 cell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according to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the instructions of the article (Miriam Gagliardi and Maria R. Matarazzo. RIP: RNA Immunoprecipitation. Methods Mol Biol. 2016;1480:73-86). In </w:t>
      </w:r>
      <w:r>
        <w:rPr>
          <w:rFonts w:ascii="Times New Roman" w:hAnsi="Times New Roman" w:eastAsia="Ktysbs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br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ief, ~5-20 × 10</w:t>
      </w:r>
      <w:r>
        <w:rPr>
          <w:rFonts w:ascii="Times New Roman" w:hAnsi="Times New Roman"/>
          <w:bCs/>
          <w:color w:val="000000" w:themeColor="text1"/>
          <w:vertAlign w:val="superscript"/>
          <w:lang w:eastAsia="zh-CN"/>
          <w14:textFill>
            <w14:solidFill>
              <w14:schemeClr w14:val="tx1"/>
            </w14:solidFill>
          </w14:textFill>
        </w:rPr>
        <w:t xml:space="preserve">6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cells </w:t>
      </w:r>
      <w:r>
        <w:rPr>
          <w:rFonts w:ascii="Times New Roman" w:hAnsi="Times New Roman"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were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harvested and lysed. Protein A/G MagBeads pre-coated with 5 μg of the antibody of interest (HNRNPA2B1/ILF3, P</w:t>
      </w:r>
      <w:r>
        <w:rPr>
          <w:rFonts w:ascii="Times New Roman" w:hAnsi="Times New Roman"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roteintech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) and incubated with cell lysate supernatant at 4°C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overnight. T</w:t>
      </w:r>
      <w:r>
        <w:rPr>
          <w:rFonts w:ascii="Times New Roman" w:hAnsi="Times New Roman" w:eastAsia="Ktysbs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he beads containing immun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oprecipitated RNA-protein complex were treated with 150 μL of Proteinase K buffer </w:t>
      </w:r>
      <w:r>
        <w:rPr>
          <w:rFonts w:ascii="Times New Roman" w:hAnsi="Times New Roman"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to digest the proteins.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Specific binding RNAs were isolated by using TRIzol and</w:t>
      </w:r>
      <w:r>
        <w:rPr>
          <w:rFonts w:ascii="Times New Roman" w:hAnsi="Times New Roman"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analyzed through RT-qPCR or highthroughput sequencing. Data analyses were performed as previously described. RIP-Seq assay was performed by </w:t>
      </w:r>
      <w:bookmarkStart w:id="40" w:name="OLE_LINK1"/>
      <w:bookmarkStart w:id="41" w:name="OLE_LINK2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Novogene</w:t>
      </w:r>
      <w:bookmarkEnd w:id="40"/>
      <w:bookmarkEnd w:id="41"/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(Beijing, China).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RNA decay assay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MM cells were treated with mRNA transcription inhibitor Actinomycin D (5 </w:t>
      </w:r>
      <w:r>
        <w:rPr>
          <w:rFonts w:ascii="Times New Roman" w:hAnsi="Times New Roman" w:eastAsiaTheme="minorEastAsia"/>
          <w:bCs/>
          <w:color w:val="000000" w:themeColor="text1"/>
          <w:szCs w:val="21"/>
          <w:lang w:eastAsia="zh-Hans"/>
          <w14:textFill>
            <w14:solidFill>
              <w14:schemeClr w14:val="tx1"/>
            </w14:solidFill>
          </w14:textFill>
        </w:rPr>
        <w:t>μ</w:t>
      </w:r>
      <w:r>
        <w:rPr>
          <w:rFonts w:ascii="Times New Roman" w:hAnsi="Times New Roman"/>
          <w:bCs/>
          <w:color w:val="000000" w:themeColor="text1"/>
          <w:szCs w:val="21"/>
          <w:lang w:eastAsia="zh-Hans"/>
          <w14:textFill>
            <w14:solidFill>
              <w14:schemeClr w14:val="tx1"/>
            </w14:solidFill>
          </w14:textFill>
        </w:rPr>
        <w:t>g/mL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) (MCE,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HY-17559) for 0, 1, 2, 4, 6 h. Then, the total mRNA was isolated and followed by qRT-PCR to quantify the relative abundance of mRNA (relative to 0 h).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Confocal immunofluorescent assay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Cells were fixed with 4% paraformaldehyde in PBS at room temperature for 15 min then permeabilized in 0.5% Triton X 100 for 10 min and blocked with 4% BSA for 2 h at room temperature. The cells were incubated with primary antibody at 4°C overnight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and subsequently fluorescent probe-linked secondary antibody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incubated at 4</w:t>
      </w:r>
      <w:r>
        <w:rPr>
          <w:rFonts w:hint="eastAsia"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°C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for 2 h protected from light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HNRNPA2B1-flag 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blotted slides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were incubated </w:t>
      </w:r>
      <w:r>
        <w:rPr>
          <w:rFonts w:ascii="Times New Roman" w:hAnsi="Times New Roman" w:eastAsia="AdvOTa9103878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with Goat Anti-Mouse IgG (H+L) Fluor647-conjugat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ed antibody (Affinity,USA )；ILF3 </w:t>
      </w:r>
      <w:r>
        <w:rPr>
          <w:rFonts w:hint="eastAsia"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blotted slides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were incubated with Goat Anti-Rabbit IgG H&amp;L (Alexa Fluor 488) antibody (Ab</w:t>
      </w:r>
      <w:r>
        <w:rPr>
          <w:rFonts w:ascii="Times New Roman" w:hAnsi="Times New Roman" w:eastAsia="AdvOTa9103878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cam, UK)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. Nuclei were stained with 4’,6-diamidino-2- phenylindole (DAPI). All images were captured using confocal laser scanning confocal microscope (L</w:t>
      </w:r>
      <w:r>
        <w:rPr>
          <w:rFonts w:ascii="Times New Roman" w:hAnsi="Times New Roman"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eica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, TCS SP8, Germany).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Treatment of methylation inhibitors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MM cells were exposed to cyclolencine (Sigma-Aldrich, USA) 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at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the concentration of 0, 50, 100 mM for 48 h</w:t>
      </w:r>
      <w:r>
        <w:rPr>
          <w:rFonts w:hint="eastAsia" w:ascii="Times New Roman" w:hAnsi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RT-qPCR and western blotting analysis were followed to examine the expression of ILF3.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i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Subcutaneous xenograft experiments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eastAsiaTheme="minorEastAsia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The animal experiment protocol was approved by the Animal Ethics Committee of Nanjing University of Chinese Medicine (Ethics Registration no. 201905A003)</w:t>
      </w:r>
      <w:r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HcmddrAdvTT86d47313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-</w:t>
      </w:r>
      <w:r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week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SCID/NOD mice we</w:t>
      </w:r>
      <w:r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re purchased from Vital River Laboratory Animal Technology Co., Ltd. (Beijing, China). </w:t>
      </w:r>
    </w:p>
    <w:p>
      <w:pPr>
        <w:spacing w:line="360" w:lineRule="auto"/>
        <w:jc w:val="both"/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NewRomanPSMT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Negative control and stably </w:t>
      </w:r>
      <w:r>
        <w:rPr>
          <w:rFonts w:ascii="Times New Roman" w:hAnsi="Times New Roman" w:eastAsia="TimesNewRomanPSMT"/>
          <w:color w:val="000000" w:themeColor="text1"/>
          <w:lang w:eastAsia="zh-Hans" w:bidi="ar"/>
          <w14:textFill>
            <w14:solidFill>
              <w14:schemeClr w14:val="tx1"/>
            </w14:solidFill>
          </w14:textFill>
        </w:rPr>
        <w:t>o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verexpressed </w:t>
      </w:r>
      <w:r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HNRNPA2B1 MM cells were resuspended in PBS and injected subcutaneously into the </w:t>
      </w:r>
      <w:r>
        <w:rPr>
          <w:rFonts w:ascii="Times New Roman" w:hAnsi="Times New Roman" w:eastAsia="HcmddrAdvTT86d47313"/>
          <w:color w:val="000000" w:themeColor="text1"/>
          <w:lang w:eastAsia="zh-Hans" w:bidi="ar"/>
          <w14:textFill>
            <w14:solidFill>
              <w14:schemeClr w14:val="tx1"/>
            </w14:solidFill>
          </w14:textFill>
        </w:rPr>
        <w:t>left and right</w:t>
      </w:r>
      <w:r>
        <w:rPr>
          <w:rFonts w:ascii="Times New Roman" w:hAnsi="Times New Roman" w:eastAsiaTheme="minorEastAsia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flanks respectively of </w:t>
      </w:r>
      <w:r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SCID/NOD</w:t>
      </w:r>
      <w:r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 mice.</w:t>
      </w:r>
      <w:r>
        <w:rPr>
          <w:rFonts w:ascii="Times New Roman" w:hAnsi="Times New Roman" w:eastAsiaTheme="minorEastAsia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The length and width of mouse tumor were measured every 2 days using a caliper.</w:t>
      </w:r>
      <w:r>
        <w:rPr>
          <w:rFonts w:ascii="Times New Roman" w:hAnsi="Times New Roman" w:eastAsiaTheme="minorEastAsia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eastAsia="TimesNewRomanPSMT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he tumor volume (TV) was calculated using the formula TV=（Length×Width^2）/2. </w:t>
      </w:r>
      <w:r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At the end of the experiment, the mice were sacrificed and the tumor tissues were </w:t>
      </w:r>
      <w:r>
        <w:rPr>
          <w:rFonts w:ascii="Times New Roman" w:hAnsi="Times New Roman" w:eastAsia="HcmddrAdvTT86d47313"/>
          <w:color w:val="000000" w:themeColor="text1"/>
          <w:lang w:eastAsia="zh-Hans" w:bidi="ar"/>
          <w14:textFill>
            <w14:solidFill>
              <w14:schemeClr w14:val="tx1"/>
            </w14:solidFill>
          </w14:textFill>
        </w:rPr>
        <w:t>weighted</w:t>
      </w:r>
      <w:r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.</w:t>
      </w:r>
    </w:p>
    <w:p>
      <w:pPr>
        <w:pStyle w:val="2"/>
        <w:spacing w:beforeAutospacing="0" w:afterAutospacing="0" w:line="360" w:lineRule="auto"/>
        <w:rPr>
          <w:rFonts w:ascii="Times New Roman" w:hAnsi="Times New Roman"/>
          <w:bCs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Autospacing="0" w:afterAutospacing="0" w:line="360" w:lineRule="auto"/>
        <w:rPr>
          <w:rFonts w:hint="default" w:ascii="Times New Roman" w:hAnsi="Times New Roman"/>
          <w:bCs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Immunohistochemistry analysis (IHC)</w:t>
      </w:r>
    </w:p>
    <w:p>
      <w:pPr>
        <w:spacing w:line="360" w:lineRule="auto"/>
        <w:jc w:val="both"/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Immunostaining was performed on 3</w:t>
      </w:r>
      <w:r>
        <w:rPr>
          <w:rFonts w:hint="eastAsia"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µm paraffin tissue sections mounted on APES-coated slides. The main process </w:t>
      </w:r>
      <w:r>
        <w:rPr>
          <w:rFonts w:hint="eastAsia" w:ascii="Times New Roman" w:hAnsi="Times New Roman" w:eastAsia="HcmddrAdvTT86d47313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wa</w:t>
      </w:r>
      <w:bookmarkStart w:id="42" w:name="_GoBack"/>
      <w:bookmarkEnd w:id="42"/>
      <w:r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s as follows: </w:t>
      </w:r>
      <w:r>
        <w:rPr>
          <w:rFonts w:hint="eastAsia"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lides were incubated with the primary </w:t>
      </w:r>
      <w:r>
        <w:rPr>
          <w:rFonts w:hint="eastAsia"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anti</w:t>
      </w:r>
      <w:r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body overnight at 4°C. Afterwards, the secondary antibody was applied and kept for 45 min at 37°C, followed by dropping SABC at 37°C for 30 min, DAB coloring, and finally counterstaining with hematoxylin. </w:t>
      </w:r>
    </w:p>
    <w:p>
      <w:pPr>
        <w:spacing w:line="360" w:lineRule="auto"/>
        <w:jc w:val="both"/>
        <w:rPr>
          <w:rFonts w:ascii="Times New Roman" w:hAnsi="Times New Roman" w:eastAsiaTheme="minorEastAsia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eastAsia="HcmddrAdvTT86d47313"/>
          <w:b/>
          <w:i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HcmddrAdvTT86d47313"/>
          <w:b/>
          <w:i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Statistical analysis</w:t>
      </w:r>
    </w:p>
    <w:p>
      <w:pPr>
        <w:spacing w:line="360" w:lineRule="auto"/>
        <w:jc w:val="both"/>
        <w:rPr>
          <w:rFonts w:ascii="Times New Roman" w:hAnsi="Times New Roman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Statistical analyses were performed using SPSS version 22.0 or GraphPad Prism 6.01 software, and all values were expressed as mean ± SD unless otherwise specified. A two-tailed Student’s t-test (2 groups) or one-way analysis of variance (ANOVA) with Tukey’s posthoc comparison (≥3 groups) was utilized to evaluate statistical</w:t>
      </w:r>
      <w:r>
        <w:rPr>
          <w:rFonts w:ascii="Times New Roman" w:hAnsi="Times New Roman" w:eastAsiaTheme="minorEastAsia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HcmddrAdvTT86d47313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significance. A Kaplan–Meier curve and Log-rank test were employed to determine MM patient survival. p&lt;0.05 was considered statistically significant.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dvOT596495f2">
    <w:altName w:val="仓耳小小芒果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vOT863180fb">
    <w:altName w:val="仓耳小小芒果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vOTb319c55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KtysbsAdvTT86d4731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a910387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cmddrAdvTT86d4731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仓耳小小芒果体">
    <w:panose1 w:val="02020400000000000000"/>
    <w:charset w:val="86"/>
    <w:family w:val="auto"/>
    <w:pitch w:val="default"/>
    <w:sig w:usb0="80000003" w:usb1="08012000" w:usb2="00000012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46BBBE9"/>
    <w:rsid w:val="00026A62"/>
    <w:rsid w:val="00061DB4"/>
    <w:rsid w:val="000B3EDE"/>
    <w:rsid w:val="00100A2D"/>
    <w:rsid w:val="0010140D"/>
    <w:rsid w:val="0019681C"/>
    <w:rsid w:val="00251790"/>
    <w:rsid w:val="002F482A"/>
    <w:rsid w:val="00315230"/>
    <w:rsid w:val="00385749"/>
    <w:rsid w:val="0039108D"/>
    <w:rsid w:val="003C0D83"/>
    <w:rsid w:val="00455A3C"/>
    <w:rsid w:val="00480B59"/>
    <w:rsid w:val="004A0701"/>
    <w:rsid w:val="004A34CA"/>
    <w:rsid w:val="004A4DBD"/>
    <w:rsid w:val="004E487C"/>
    <w:rsid w:val="0052522D"/>
    <w:rsid w:val="005942D9"/>
    <w:rsid w:val="005A1513"/>
    <w:rsid w:val="00645C19"/>
    <w:rsid w:val="00724AB8"/>
    <w:rsid w:val="00746FA1"/>
    <w:rsid w:val="00867118"/>
    <w:rsid w:val="008E2881"/>
    <w:rsid w:val="00912BF1"/>
    <w:rsid w:val="00B31BC0"/>
    <w:rsid w:val="00B40313"/>
    <w:rsid w:val="00B64220"/>
    <w:rsid w:val="00B90E4D"/>
    <w:rsid w:val="00CF1C90"/>
    <w:rsid w:val="00D40FFD"/>
    <w:rsid w:val="00D47DD7"/>
    <w:rsid w:val="00D63293"/>
    <w:rsid w:val="00D81951"/>
    <w:rsid w:val="00D90CCF"/>
    <w:rsid w:val="00DB4813"/>
    <w:rsid w:val="00DD4CB9"/>
    <w:rsid w:val="00DE16F7"/>
    <w:rsid w:val="00DE624B"/>
    <w:rsid w:val="00E128A5"/>
    <w:rsid w:val="00E4349F"/>
    <w:rsid w:val="00E76E7B"/>
    <w:rsid w:val="00E86541"/>
    <w:rsid w:val="00E92328"/>
    <w:rsid w:val="00EA6A80"/>
    <w:rsid w:val="00EB120A"/>
    <w:rsid w:val="00EF7AF8"/>
    <w:rsid w:val="00F00627"/>
    <w:rsid w:val="00F877DF"/>
    <w:rsid w:val="00FA6912"/>
    <w:rsid w:val="00FD0D80"/>
    <w:rsid w:val="04F1A6E1"/>
    <w:rsid w:val="0827015F"/>
    <w:rsid w:val="0F76EA0D"/>
    <w:rsid w:val="12C440F9"/>
    <w:rsid w:val="17CFB395"/>
    <w:rsid w:val="180541CF"/>
    <w:rsid w:val="19FDD4CA"/>
    <w:rsid w:val="1BCCD493"/>
    <w:rsid w:val="1E591CCB"/>
    <w:rsid w:val="1FBE1E67"/>
    <w:rsid w:val="2324200A"/>
    <w:rsid w:val="25BF1D79"/>
    <w:rsid w:val="2702436B"/>
    <w:rsid w:val="28C07AC4"/>
    <w:rsid w:val="29EBF9C5"/>
    <w:rsid w:val="2A67316A"/>
    <w:rsid w:val="2AAF95E5"/>
    <w:rsid w:val="2ABF330B"/>
    <w:rsid w:val="2AF73B52"/>
    <w:rsid w:val="2B5AEDE8"/>
    <w:rsid w:val="2BFB994B"/>
    <w:rsid w:val="2DBF534E"/>
    <w:rsid w:val="2FDF1A10"/>
    <w:rsid w:val="2FFDBA3D"/>
    <w:rsid w:val="2FFF6F06"/>
    <w:rsid w:val="2FFFB29C"/>
    <w:rsid w:val="355D3039"/>
    <w:rsid w:val="35EFBC96"/>
    <w:rsid w:val="36A553D6"/>
    <w:rsid w:val="36AE8BDC"/>
    <w:rsid w:val="37DF016B"/>
    <w:rsid w:val="37FFD630"/>
    <w:rsid w:val="38BDEFBC"/>
    <w:rsid w:val="39EFADF2"/>
    <w:rsid w:val="3B5E6C1D"/>
    <w:rsid w:val="3B9F43F3"/>
    <w:rsid w:val="3BBB5E1A"/>
    <w:rsid w:val="3BCC723D"/>
    <w:rsid w:val="3BDF5D9D"/>
    <w:rsid w:val="3BEDF736"/>
    <w:rsid w:val="3BFCEB90"/>
    <w:rsid w:val="3BFE5933"/>
    <w:rsid w:val="3BFE90BC"/>
    <w:rsid w:val="3BFFE13F"/>
    <w:rsid w:val="3BFFFBA1"/>
    <w:rsid w:val="3CD79213"/>
    <w:rsid w:val="3D4A6BB8"/>
    <w:rsid w:val="3DE6EEE9"/>
    <w:rsid w:val="3E74CB45"/>
    <w:rsid w:val="3EE72C30"/>
    <w:rsid w:val="3F1B5074"/>
    <w:rsid w:val="3F3FF92A"/>
    <w:rsid w:val="3F896673"/>
    <w:rsid w:val="3F9FCED5"/>
    <w:rsid w:val="3FA6E861"/>
    <w:rsid w:val="3FB667FD"/>
    <w:rsid w:val="3FB72B75"/>
    <w:rsid w:val="3FBFBA2E"/>
    <w:rsid w:val="427B4572"/>
    <w:rsid w:val="42BF138F"/>
    <w:rsid w:val="46BD2CDF"/>
    <w:rsid w:val="47D92AD2"/>
    <w:rsid w:val="47FC03CC"/>
    <w:rsid w:val="49FFE75C"/>
    <w:rsid w:val="4BED25B0"/>
    <w:rsid w:val="4DFD6230"/>
    <w:rsid w:val="4EFF156B"/>
    <w:rsid w:val="512330CF"/>
    <w:rsid w:val="51A658C1"/>
    <w:rsid w:val="53F755E8"/>
    <w:rsid w:val="57CA0EC6"/>
    <w:rsid w:val="57D73CEE"/>
    <w:rsid w:val="57E79256"/>
    <w:rsid w:val="57FF3EFD"/>
    <w:rsid w:val="57FF639D"/>
    <w:rsid w:val="57FFC896"/>
    <w:rsid w:val="58692E5B"/>
    <w:rsid w:val="58FFCF9D"/>
    <w:rsid w:val="5B282346"/>
    <w:rsid w:val="5B5D8872"/>
    <w:rsid w:val="5B735E2D"/>
    <w:rsid w:val="5BED81ED"/>
    <w:rsid w:val="5BFF8499"/>
    <w:rsid w:val="5CCF7A82"/>
    <w:rsid w:val="5D351489"/>
    <w:rsid w:val="5D7173AF"/>
    <w:rsid w:val="5DDDD31D"/>
    <w:rsid w:val="5DEBC803"/>
    <w:rsid w:val="5DFB5EFC"/>
    <w:rsid w:val="5E4408AA"/>
    <w:rsid w:val="5EB32D80"/>
    <w:rsid w:val="5F7016F9"/>
    <w:rsid w:val="5F7B2A07"/>
    <w:rsid w:val="5FBBCF62"/>
    <w:rsid w:val="5FBEC16A"/>
    <w:rsid w:val="5FBF1DD8"/>
    <w:rsid w:val="5FBF6E85"/>
    <w:rsid w:val="5FEFB075"/>
    <w:rsid w:val="5FEFF4BB"/>
    <w:rsid w:val="5FEFF4C7"/>
    <w:rsid w:val="5FF69E95"/>
    <w:rsid w:val="5FF74C57"/>
    <w:rsid w:val="5FFC04F3"/>
    <w:rsid w:val="5FFCDF97"/>
    <w:rsid w:val="5FFD907A"/>
    <w:rsid w:val="5FFEB8A5"/>
    <w:rsid w:val="5FFF0D51"/>
    <w:rsid w:val="6307A69F"/>
    <w:rsid w:val="63F7D620"/>
    <w:rsid w:val="655FD974"/>
    <w:rsid w:val="677B9FD3"/>
    <w:rsid w:val="67BAE28A"/>
    <w:rsid w:val="67FE3C4F"/>
    <w:rsid w:val="67FF6BBC"/>
    <w:rsid w:val="69F6BE01"/>
    <w:rsid w:val="6A457EBF"/>
    <w:rsid w:val="6BD757DC"/>
    <w:rsid w:val="6BF629F6"/>
    <w:rsid w:val="6DAFB38D"/>
    <w:rsid w:val="6DFEEE1F"/>
    <w:rsid w:val="6E3F7C3F"/>
    <w:rsid w:val="6EFD91E1"/>
    <w:rsid w:val="6EFFEC0C"/>
    <w:rsid w:val="6F3B04AA"/>
    <w:rsid w:val="6F5F6F44"/>
    <w:rsid w:val="6F7ED4DE"/>
    <w:rsid w:val="6F7FAACF"/>
    <w:rsid w:val="6FAFCAF3"/>
    <w:rsid w:val="6FE76B19"/>
    <w:rsid w:val="6FE9E802"/>
    <w:rsid w:val="6FEA9024"/>
    <w:rsid w:val="6FECB45D"/>
    <w:rsid w:val="6FED1241"/>
    <w:rsid w:val="6FF76BF0"/>
    <w:rsid w:val="6FFBCF15"/>
    <w:rsid w:val="6FFF3914"/>
    <w:rsid w:val="6FFF81E7"/>
    <w:rsid w:val="6FFFF533"/>
    <w:rsid w:val="705F7A6B"/>
    <w:rsid w:val="70E7DFAD"/>
    <w:rsid w:val="71FA0B32"/>
    <w:rsid w:val="72CEB809"/>
    <w:rsid w:val="72F791AB"/>
    <w:rsid w:val="737A55EC"/>
    <w:rsid w:val="73DDC3CD"/>
    <w:rsid w:val="73DF775C"/>
    <w:rsid w:val="73FEEFAF"/>
    <w:rsid w:val="73FFE526"/>
    <w:rsid w:val="75884236"/>
    <w:rsid w:val="75BADA94"/>
    <w:rsid w:val="75DEB5ED"/>
    <w:rsid w:val="75FB8461"/>
    <w:rsid w:val="76BDC4D1"/>
    <w:rsid w:val="76DC9BBE"/>
    <w:rsid w:val="76E2A6CF"/>
    <w:rsid w:val="76FF844D"/>
    <w:rsid w:val="76FFAE9E"/>
    <w:rsid w:val="776E6D18"/>
    <w:rsid w:val="77BF8C36"/>
    <w:rsid w:val="77DB6921"/>
    <w:rsid w:val="77DEF883"/>
    <w:rsid w:val="77DF649C"/>
    <w:rsid w:val="77E16478"/>
    <w:rsid w:val="788F4664"/>
    <w:rsid w:val="78BB2474"/>
    <w:rsid w:val="797E4710"/>
    <w:rsid w:val="797FF7DD"/>
    <w:rsid w:val="79FF0832"/>
    <w:rsid w:val="7AAF7C61"/>
    <w:rsid w:val="7AB516BF"/>
    <w:rsid w:val="7AE70F16"/>
    <w:rsid w:val="7AFDC134"/>
    <w:rsid w:val="7AFECBCE"/>
    <w:rsid w:val="7B1AA851"/>
    <w:rsid w:val="7B3BA6A3"/>
    <w:rsid w:val="7B6F3D9E"/>
    <w:rsid w:val="7B7FFD67"/>
    <w:rsid w:val="7B8BEE71"/>
    <w:rsid w:val="7B9B77ED"/>
    <w:rsid w:val="7BB73CEA"/>
    <w:rsid w:val="7BB74161"/>
    <w:rsid w:val="7BBB9E88"/>
    <w:rsid w:val="7BCFE871"/>
    <w:rsid w:val="7BD51202"/>
    <w:rsid w:val="7BFBE9B8"/>
    <w:rsid w:val="7C7F30D6"/>
    <w:rsid w:val="7C7F6E0E"/>
    <w:rsid w:val="7CB7BF8F"/>
    <w:rsid w:val="7CFC5CC0"/>
    <w:rsid w:val="7D5E6257"/>
    <w:rsid w:val="7D635554"/>
    <w:rsid w:val="7D7FD87A"/>
    <w:rsid w:val="7DCF4FEC"/>
    <w:rsid w:val="7DEB6E4B"/>
    <w:rsid w:val="7DEC9428"/>
    <w:rsid w:val="7DEED4FD"/>
    <w:rsid w:val="7DF4CEE8"/>
    <w:rsid w:val="7DFE1105"/>
    <w:rsid w:val="7E339D3D"/>
    <w:rsid w:val="7E7E2243"/>
    <w:rsid w:val="7E988933"/>
    <w:rsid w:val="7EDB1479"/>
    <w:rsid w:val="7EDFE223"/>
    <w:rsid w:val="7EEB00B8"/>
    <w:rsid w:val="7EEDD758"/>
    <w:rsid w:val="7EFF3C37"/>
    <w:rsid w:val="7F3E0D29"/>
    <w:rsid w:val="7F5F7A55"/>
    <w:rsid w:val="7F5FB591"/>
    <w:rsid w:val="7F6FCB32"/>
    <w:rsid w:val="7F752605"/>
    <w:rsid w:val="7F769450"/>
    <w:rsid w:val="7F7B0E1C"/>
    <w:rsid w:val="7F7D3388"/>
    <w:rsid w:val="7F7F528E"/>
    <w:rsid w:val="7F7F841C"/>
    <w:rsid w:val="7F8BCAF4"/>
    <w:rsid w:val="7F9F92C7"/>
    <w:rsid w:val="7FA7AB96"/>
    <w:rsid w:val="7FAF7E94"/>
    <w:rsid w:val="7FBED322"/>
    <w:rsid w:val="7FBF61DA"/>
    <w:rsid w:val="7FC8709F"/>
    <w:rsid w:val="7FCF35F1"/>
    <w:rsid w:val="7FD93604"/>
    <w:rsid w:val="7FDE9D22"/>
    <w:rsid w:val="7FDF13F0"/>
    <w:rsid w:val="7FE731B8"/>
    <w:rsid w:val="7FE789B7"/>
    <w:rsid w:val="7FE7AA86"/>
    <w:rsid w:val="7FEA954A"/>
    <w:rsid w:val="7FF487DF"/>
    <w:rsid w:val="7FF71BA7"/>
    <w:rsid w:val="7FF85439"/>
    <w:rsid w:val="7FFADB73"/>
    <w:rsid w:val="7FFD6F81"/>
    <w:rsid w:val="7FFE4D37"/>
    <w:rsid w:val="7FFF08F2"/>
    <w:rsid w:val="7FFF253B"/>
    <w:rsid w:val="7FFF3FA9"/>
    <w:rsid w:val="7FFF8882"/>
    <w:rsid w:val="85B8DC98"/>
    <w:rsid w:val="8DBFDF5A"/>
    <w:rsid w:val="8F5F407C"/>
    <w:rsid w:val="8FAE59E4"/>
    <w:rsid w:val="93DBFD9A"/>
    <w:rsid w:val="99DC27AC"/>
    <w:rsid w:val="9DF3DFD7"/>
    <w:rsid w:val="9E371BB3"/>
    <w:rsid w:val="9EFBBE9A"/>
    <w:rsid w:val="9FDEB01A"/>
    <w:rsid w:val="9FDFFD2D"/>
    <w:rsid w:val="9FE1359C"/>
    <w:rsid w:val="9FF64CEE"/>
    <w:rsid w:val="9FFEE103"/>
    <w:rsid w:val="A13B31BD"/>
    <w:rsid w:val="AA5BC067"/>
    <w:rsid w:val="AAE19C59"/>
    <w:rsid w:val="AB771C8D"/>
    <w:rsid w:val="AFBBBEC5"/>
    <w:rsid w:val="AFBF512A"/>
    <w:rsid w:val="B15B6D4C"/>
    <w:rsid w:val="B1BF9AC7"/>
    <w:rsid w:val="B26F32EA"/>
    <w:rsid w:val="B4FF595F"/>
    <w:rsid w:val="B76B54B3"/>
    <w:rsid w:val="B7F19CAF"/>
    <w:rsid w:val="B7FB3DAF"/>
    <w:rsid w:val="B8D71846"/>
    <w:rsid w:val="B9F38D44"/>
    <w:rsid w:val="B9FBDC8C"/>
    <w:rsid w:val="BAF70867"/>
    <w:rsid w:val="BBFE8E36"/>
    <w:rsid w:val="BCFF960E"/>
    <w:rsid w:val="BD579DC4"/>
    <w:rsid w:val="BD7D32F6"/>
    <w:rsid w:val="BDBBAE62"/>
    <w:rsid w:val="BDE71C3C"/>
    <w:rsid w:val="BDF7230B"/>
    <w:rsid w:val="BDF75057"/>
    <w:rsid w:val="BEAF1434"/>
    <w:rsid w:val="BEBF4B0E"/>
    <w:rsid w:val="BECC9C2E"/>
    <w:rsid w:val="BEF78568"/>
    <w:rsid w:val="BEFE4709"/>
    <w:rsid w:val="BF0F1588"/>
    <w:rsid w:val="BF6EEEC4"/>
    <w:rsid w:val="BF75C474"/>
    <w:rsid w:val="BF7FB994"/>
    <w:rsid w:val="BFAD0D27"/>
    <w:rsid w:val="BFAEF8C2"/>
    <w:rsid w:val="BFB7744A"/>
    <w:rsid w:val="BFBBC847"/>
    <w:rsid w:val="BFCE6A4C"/>
    <w:rsid w:val="BFD2E93D"/>
    <w:rsid w:val="BFF78E75"/>
    <w:rsid w:val="BFFFF763"/>
    <w:rsid w:val="C46BBBE9"/>
    <w:rsid w:val="C7FDE13A"/>
    <w:rsid w:val="CF339B4C"/>
    <w:rsid w:val="CFDF6DC1"/>
    <w:rsid w:val="CFE67970"/>
    <w:rsid w:val="CFF34622"/>
    <w:rsid w:val="D13CA35E"/>
    <w:rsid w:val="D3E30A59"/>
    <w:rsid w:val="D57D207C"/>
    <w:rsid w:val="D595DEF8"/>
    <w:rsid w:val="D6EEE10A"/>
    <w:rsid w:val="D72EE5CC"/>
    <w:rsid w:val="D75F268B"/>
    <w:rsid w:val="D78FEDB8"/>
    <w:rsid w:val="D7DBFCA0"/>
    <w:rsid w:val="D7EBCA8F"/>
    <w:rsid w:val="D7F6F9D4"/>
    <w:rsid w:val="D7FC0407"/>
    <w:rsid w:val="D7FDE1BB"/>
    <w:rsid w:val="D7FF54C7"/>
    <w:rsid w:val="D8ED6FA9"/>
    <w:rsid w:val="D9FB3552"/>
    <w:rsid w:val="DADFDB32"/>
    <w:rsid w:val="DB73F207"/>
    <w:rsid w:val="DBEF09D6"/>
    <w:rsid w:val="DBFFC94B"/>
    <w:rsid w:val="DC5EA881"/>
    <w:rsid w:val="DCD77959"/>
    <w:rsid w:val="DCEDF25D"/>
    <w:rsid w:val="DCF574E2"/>
    <w:rsid w:val="DDF7CC57"/>
    <w:rsid w:val="DDFF3CFC"/>
    <w:rsid w:val="DEFFE8A8"/>
    <w:rsid w:val="DF473DF9"/>
    <w:rsid w:val="DF7F4401"/>
    <w:rsid w:val="DF7FD786"/>
    <w:rsid w:val="DFFF2896"/>
    <w:rsid w:val="DFFF9DB1"/>
    <w:rsid w:val="E0FB1F48"/>
    <w:rsid w:val="E3462744"/>
    <w:rsid w:val="E37B1D35"/>
    <w:rsid w:val="E4AF62B1"/>
    <w:rsid w:val="E5FE72C5"/>
    <w:rsid w:val="E6BF0BC1"/>
    <w:rsid w:val="E715362C"/>
    <w:rsid w:val="E77DD6CE"/>
    <w:rsid w:val="E7DBB01F"/>
    <w:rsid w:val="E7DDAC39"/>
    <w:rsid w:val="E7DEA94F"/>
    <w:rsid w:val="E7EB7CDD"/>
    <w:rsid w:val="E7F7A1B1"/>
    <w:rsid w:val="E7FEE338"/>
    <w:rsid w:val="E7FFFDBD"/>
    <w:rsid w:val="EA3D5237"/>
    <w:rsid w:val="EB67E6F0"/>
    <w:rsid w:val="EBBB0116"/>
    <w:rsid w:val="EBEF93D1"/>
    <w:rsid w:val="EBF7FEE6"/>
    <w:rsid w:val="EBFE0097"/>
    <w:rsid w:val="ED6D5B8D"/>
    <w:rsid w:val="ED76FF1D"/>
    <w:rsid w:val="EDAE5C3D"/>
    <w:rsid w:val="EDCD4B40"/>
    <w:rsid w:val="EDD6C97F"/>
    <w:rsid w:val="EDEF083B"/>
    <w:rsid w:val="EDEF1A50"/>
    <w:rsid w:val="EDFB11B2"/>
    <w:rsid w:val="EE7F8A82"/>
    <w:rsid w:val="EEC7A800"/>
    <w:rsid w:val="EED9D573"/>
    <w:rsid w:val="EEEED467"/>
    <w:rsid w:val="EF1FDA73"/>
    <w:rsid w:val="EF5E9DFB"/>
    <w:rsid w:val="EFB7E1F0"/>
    <w:rsid w:val="EFD7A0D4"/>
    <w:rsid w:val="EFEDD08D"/>
    <w:rsid w:val="EFEF2670"/>
    <w:rsid w:val="EFFE9292"/>
    <w:rsid w:val="F2AEE4AC"/>
    <w:rsid w:val="F33F3B98"/>
    <w:rsid w:val="F3BEC513"/>
    <w:rsid w:val="F3BF2308"/>
    <w:rsid w:val="F3DE5DCA"/>
    <w:rsid w:val="F3FD2BF0"/>
    <w:rsid w:val="F3FF8D3E"/>
    <w:rsid w:val="F3FFAAC2"/>
    <w:rsid w:val="F4776657"/>
    <w:rsid w:val="F558C692"/>
    <w:rsid w:val="F5667070"/>
    <w:rsid w:val="F5B799E6"/>
    <w:rsid w:val="F5FDF80B"/>
    <w:rsid w:val="F6CF87ED"/>
    <w:rsid w:val="F7074ECB"/>
    <w:rsid w:val="F73CBDE6"/>
    <w:rsid w:val="F73F73CA"/>
    <w:rsid w:val="F77E92E1"/>
    <w:rsid w:val="F7BFF878"/>
    <w:rsid w:val="F7EE21BB"/>
    <w:rsid w:val="F7FB1FE0"/>
    <w:rsid w:val="F8FD20C1"/>
    <w:rsid w:val="F96FCB6E"/>
    <w:rsid w:val="F97CA256"/>
    <w:rsid w:val="F9B745E9"/>
    <w:rsid w:val="F9D45592"/>
    <w:rsid w:val="F9EF2BDD"/>
    <w:rsid w:val="F9F5C044"/>
    <w:rsid w:val="F9FFD140"/>
    <w:rsid w:val="FA6F3EA1"/>
    <w:rsid w:val="FAFD3129"/>
    <w:rsid w:val="FB1C6467"/>
    <w:rsid w:val="FBBB85B7"/>
    <w:rsid w:val="FBCEF76A"/>
    <w:rsid w:val="FBCF8447"/>
    <w:rsid w:val="FBEF728A"/>
    <w:rsid w:val="FBF8F464"/>
    <w:rsid w:val="FBF95629"/>
    <w:rsid w:val="FBFBB632"/>
    <w:rsid w:val="FC47EB54"/>
    <w:rsid w:val="FC5DC9E0"/>
    <w:rsid w:val="FC779DC8"/>
    <w:rsid w:val="FCB7F8BB"/>
    <w:rsid w:val="FCEEF042"/>
    <w:rsid w:val="FCEF73B2"/>
    <w:rsid w:val="FCFBC9F9"/>
    <w:rsid w:val="FD477F5C"/>
    <w:rsid w:val="FD6DBF14"/>
    <w:rsid w:val="FDBF99CA"/>
    <w:rsid w:val="FDDF3650"/>
    <w:rsid w:val="FDEFA19B"/>
    <w:rsid w:val="FDF54720"/>
    <w:rsid w:val="FDF68793"/>
    <w:rsid w:val="FDF96C81"/>
    <w:rsid w:val="FDFA5865"/>
    <w:rsid w:val="FDFE7FA3"/>
    <w:rsid w:val="FDFF7166"/>
    <w:rsid w:val="FE5D9F5A"/>
    <w:rsid w:val="FE5F55A9"/>
    <w:rsid w:val="FE972DBD"/>
    <w:rsid w:val="FE99BD5F"/>
    <w:rsid w:val="FEB34F9D"/>
    <w:rsid w:val="FED659F8"/>
    <w:rsid w:val="FED95234"/>
    <w:rsid w:val="FEF20E93"/>
    <w:rsid w:val="FEF79BDF"/>
    <w:rsid w:val="FEFA928A"/>
    <w:rsid w:val="FF33D3EF"/>
    <w:rsid w:val="FF6E4E17"/>
    <w:rsid w:val="FF6EA6FB"/>
    <w:rsid w:val="FF716674"/>
    <w:rsid w:val="FF75E0E1"/>
    <w:rsid w:val="FF7FF6A5"/>
    <w:rsid w:val="FF8F2FF6"/>
    <w:rsid w:val="FF973D4A"/>
    <w:rsid w:val="FF9A3275"/>
    <w:rsid w:val="FF9E71DF"/>
    <w:rsid w:val="FFB54550"/>
    <w:rsid w:val="FFB625D4"/>
    <w:rsid w:val="FFBD2719"/>
    <w:rsid w:val="FFC7470E"/>
    <w:rsid w:val="FFD57854"/>
    <w:rsid w:val="FFD9E325"/>
    <w:rsid w:val="FFDAA899"/>
    <w:rsid w:val="FFDDA906"/>
    <w:rsid w:val="FFDDC1ED"/>
    <w:rsid w:val="FFDDE42D"/>
    <w:rsid w:val="FFDF69F9"/>
    <w:rsid w:val="FFEBFDF0"/>
    <w:rsid w:val="FFEE8613"/>
    <w:rsid w:val="FFF6E7EE"/>
    <w:rsid w:val="FFF910CC"/>
    <w:rsid w:val="FFFB4945"/>
    <w:rsid w:val="FFFB5781"/>
    <w:rsid w:val="FFFC02CC"/>
    <w:rsid w:val="FFFD6A49"/>
    <w:rsid w:val="FFFE4DF8"/>
    <w:rsid w:val="FFFE9166"/>
    <w:rsid w:val="FFFEB60C"/>
    <w:rsid w:val="FFFF1275"/>
    <w:rsid w:val="FFFF6F79"/>
    <w:rsid w:val="FFFF7844"/>
    <w:rsid w:val="FFFF7E30"/>
    <w:rsid w:val="FFFF9E1D"/>
    <w:rsid w:val="FFFFC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eastAsia="宋体" w:cs="Times New Roman" w:asciiTheme="minorHAnsi" w:hAnsiTheme="minorHAnsi"/>
      <w:kern w:val="2"/>
      <w:sz w:val="24"/>
      <w:szCs w:val="24"/>
      <w:lang w:val="en-US" w:eastAsia="en-US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outlineLvl w:val="2"/>
    </w:pPr>
    <w:rPr>
      <w:rFonts w:hint="eastAsia" w:ascii="宋体" w:hAnsi="宋体"/>
      <w:b/>
      <w:sz w:val="27"/>
      <w:szCs w:val="27"/>
      <w:lang w:eastAsia="zh-CN"/>
    </w:rPr>
  </w:style>
  <w:style w:type="paragraph" w:styleId="3">
    <w:name w:val="heading 4"/>
    <w:basedOn w:val="1"/>
    <w:next w:val="1"/>
    <w:unhideWhenUsed/>
    <w:qFormat/>
    <w:uiPriority w:val="0"/>
    <w:pPr>
      <w:spacing w:beforeAutospacing="1" w:afterAutospacing="1"/>
      <w:outlineLvl w:val="3"/>
    </w:pPr>
    <w:rPr>
      <w:rFonts w:hint="eastAsia" w:ascii="宋体" w:hAnsi="宋体"/>
      <w:b/>
      <w:lang w:eastAsia="zh-CN"/>
    </w:rPr>
  </w:style>
  <w:style w:type="paragraph" w:styleId="4">
    <w:name w:val="heading 5"/>
    <w:basedOn w:val="1"/>
    <w:next w:val="1"/>
    <w:unhideWhenUsed/>
    <w:qFormat/>
    <w:uiPriority w:val="0"/>
    <w:pPr>
      <w:spacing w:beforeAutospacing="1" w:afterAutospacing="1"/>
      <w:outlineLvl w:val="4"/>
    </w:pPr>
    <w:rPr>
      <w:rFonts w:hint="eastAsia" w:ascii="宋体" w:hAnsi="宋体"/>
      <w:b/>
      <w:sz w:val="20"/>
      <w:lang w:eastAsia="zh-CN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0"/>
    <w:rPr>
      <w:i/>
    </w:rPr>
  </w:style>
  <w:style w:type="character" w:customStyle="1" w:styleId="13">
    <w:name w:val="fontstyle0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character" w:customStyle="1" w:styleId="14">
    <w:name w:val="批注框文本 字符"/>
    <w:basedOn w:val="10"/>
    <w:link w:val="5"/>
    <w:qFormat/>
    <w:uiPriority w:val="0"/>
    <w:rPr>
      <w:sz w:val="18"/>
      <w:szCs w:val="18"/>
      <w:lang w:eastAsia="en-US"/>
    </w:rPr>
  </w:style>
  <w:style w:type="character" w:customStyle="1" w:styleId="15">
    <w:name w:val="页眉 字符"/>
    <w:basedOn w:val="10"/>
    <w:link w:val="7"/>
    <w:qFormat/>
    <w:uiPriority w:val="0"/>
    <w:rPr>
      <w:sz w:val="18"/>
      <w:szCs w:val="18"/>
      <w:lang w:eastAsia="en-US"/>
    </w:rPr>
  </w:style>
  <w:style w:type="character" w:customStyle="1" w:styleId="16">
    <w:name w:val="页脚 字符"/>
    <w:basedOn w:val="10"/>
    <w:link w:val="6"/>
    <w:qFormat/>
    <w:uiPriority w:val="0"/>
    <w:rPr>
      <w:sz w:val="18"/>
      <w:szCs w:val="18"/>
      <w:lang w:eastAsia="en-US"/>
    </w:rPr>
  </w:style>
  <w:style w:type="character" w:customStyle="1" w:styleId="17">
    <w:name w:val="apple-converted-space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1374</Words>
  <Characters>7833</Characters>
  <Lines>65</Lines>
  <Paragraphs>18</Paragraphs>
  <TotalTime>1</TotalTime>
  <ScaleCrop>false</ScaleCrop>
  <LinksUpToDate>false</LinksUpToDate>
  <CharactersWithSpaces>9189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2020-10-01T14:14:00Z</dcterms:created>
  <dc:creator>jiangfengjie</dc:creator>
  <cp:lastModifiedBy>顾春艳</cp:lastModifiedBy>
  <dcterms:modified xsi:type="dcterms:W3CDTF">2021-03-21T07:21:50Z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E442CA5783FE4EABA6EFA8474544E195</vt:lpwstr>
  </property>
</Properties>
</file>