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8617"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bookmarkStart w:id="0" w:name="_Hlk31888093"/>
      <w:r w:rsidRPr="00721D97">
        <w:rPr>
          <w:rFonts w:ascii="Times New Roman" w:eastAsia="Minion Pro" w:hAnsi="Times New Roman" w:cs="Times New Roman"/>
          <w:b/>
          <w:bCs/>
          <w:color w:val="000000"/>
          <w:kern w:val="0"/>
          <w:sz w:val="24"/>
          <w:szCs w:val="24"/>
        </w:rPr>
        <w:t>Methods</w:t>
      </w:r>
    </w:p>
    <w:p w14:paraId="208EE01F" w14:textId="77777777" w:rsidR="00DE54BF" w:rsidRPr="00731509" w:rsidRDefault="00DE54BF" w:rsidP="008A4288">
      <w:pPr>
        <w:spacing w:line="360" w:lineRule="auto"/>
        <w:jc w:val="left"/>
        <w:rPr>
          <w:rFonts w:ascii="Times New Roman" w:hAnsi="Times New Roman" w:cs="Times New Roman"/>
          <w:b/>
          <w:bCs/>
          <w:sz w:val="24"/>
          <w:szCs w:val="24"/>
        </w:rPr>
      </w:pPr>
      <w:r w:rsidRPr="00731509">
        <w:rPr>
          <w:rFonts w:ascii="Times New Roman" w:hAnsi="Times New Roman" w:cs="Times New Roman"/>
          <w:b/>
          <w:bCs/>
          <w:sz w:val="24"/>
          <w:szCs w:val="24"/>
        </w:rPr>
        <w:t>Mice</w:t>
      </w:r>
    </w:p>
    <w:p w14:paraId="2438CED8" w14:textId="77777777" w:rsidR="00DE54BF" w:rsidRPr="00731509" w:rsidRDefault="00DE54BF" w:rsidP="008A4288">
      <w:pPr>
        <w:spacing w:line="360" w:lineRule="auto"/>
        <w:jc w:val="left"/>
        <w:rPr>
          <w:rFonts w:ascii="Times New Roman" w:hAnsi="Times New Roman" w:cs="Times New Roman"/>
          <w:sz w:val="24"/>
          <w:szCs w:val="24"/>
        </w:rPr>
      </w:pPr>
      <w:r w:rsidRPr="00731509">
        <w:rPr>
          <w:rFonts w:ascii="Times New Roman" w:hAnsi="Times New Roman" w:cs="Times New Roman"/>
          <w:sz w:val="24"/>
          <w:szCs w:val="24"/>
        </w:rPr>
        <w:t>NSG mice (NOD- PrkdcscidIL2rgtm1/</w:t>
      </w:r>
      <w:proofErr w:type="spellStart"/>
      <w:r w:rsidRPr="00731509">
        <w:rPr>
          <w:rFonts w:ascii="Times New Roman" w:hAnsi="Times New Roman" w:cs="Times New Roman"/>
          <w:sz w:val="24"/>
          <w:szCs w:val="24"/>
        </w:rPr>
        <w:t>Bcgen</w:t>
      </w:r>
      <w:proofErr w:type="spellEnd"/>
      <w:r w:rsidRPr="00731509">
        <w:rPr>
          <w:rFonts w:ascii="Times New Roman" w:hAnsi="Times New Roman" w:cs="Times New Roman"/>
          <w:sz w:val="24"/>
          <w:szCs w:val="24"/>
        </w:rPr>
        <w:t xml:space="preserve">) were obtained from </w:t>
      </w:r>
      <w:proofErr w:type="spellStart"/>
      <w:r w:rsidRPr="00731509">
        <w:rPr>
          <w:rFonts w:ascii="Times New Roman" w:hAnsi="Times New Roman" w:cs="Times New Roman"/>
          <w:sz w:val="24"/>
          <w:szCs w:val="24"/>
        </w:rPr>
        <w:t>Biocytogen</w:t>
      </w:r>
      <w:proofErr w:type="spellEnd"/>
      <w:r w:rsidRPr="00731509">
        <w:rPr>
          <w:rFonts w:ascii="Times New Roman" w:hAnsi="Times New Roman" w:cs="Times New Roman"/>
          <w:sz w:val="24"/>
          <w:szCs w:val="24"/>
        </w:rPr>
        <w:t>. Age and sex matched mice at the age of 5–8 weeks were used in these studies.</w:t>
      </w:r>
      <w:r w:rsidRPr="00EB3F00">
        <w:t xml:space="preserve"> </w:t>
      </w:r>
      <w:r w:rsidRPr="00EB3F00">
        <w:rPr>
          <w:rFonts w:ascii="Times New Roman" w:hAnsi="Times New Roman" w:cs="Times New Roman"/>
          <w:sz w:val="24"/>
          <w:szCs w:val="24"/>
        </w:rPr>
        <w:t xml:space="preserve">All mice were housed at </w:t>
      </w:r>
      <w:r>
        <w:rPr>
          <w:rFonts w:ascii="Times New Roman" w:hAnsi="Times New Roman" w:cs="Times New Roman"/>
          <w:sz w:val="24"/>
          <w:szCs w:val="24"/>
        </w:rPr>
        <w:t>the c</w:t>
      </w:r>
      <w:r w:rsidRPr="007C0A3E">
        <w:rPr>
          <w:rFonts w:ascii="Times New Roman" w:hAnsi="Times New Roman" w:cs="Times New Roman"/>
          <w:sz w:val="24"/>
          <w:szCs w:val="24"/>
        </w:rPr>
        <w:t>enter for drug safety evaluation and research of Zhejiang University</w:t>
      </w:r>
      <w:r>
        <w:rPr>
          <w:rFonts w:ascii="Times New Roman" w:hAnsi="Times New Roman" w:cs="Times New Roman"/>
          <w:sz w:val="24"/>
          <w:szCs w:val="24"/>
        </w:rPr>
        <w:t xml:space="preserve"> </w:t>
      </w:r>
      <w:r w:rsidRPr="00EB3F00">
        <w:rPr>
          <w:rFonts w:ascii="Times New Roman" w:hAnsi="Times New Roman" w:cs="Times New Roman"/>
          <w:sz w:val="24"/>
          <w:szCs w:val="24"/>
        </w:rPr>
        <w:t>under pathogen-free conditions</w:t>
      </w:r>
      <w:r>
        <w:rPr>
          <w:rFonts w:ascii="Times New Roman" w:hAnsi="Times New Roman" w:cs="Times New Roman"/>
          <w:sz w:val="24"/>
          <w:szCs w:val="24"/>
        </w:rPr>
        <w:t>,</w:t>
      </w:r>
      <w:r w:rsidRPr="00EB3F00">
        <w:rPr>
          <w:rFonts w:ascii="Times New Roman" w:hAnsi="Times New Roman" w:cs="Times New Roman"/>
          <w:sz w:val="24"/>
          <w:szCs w:val="24"/>
        </w:rPr>
        <w:t xml:space="preserve"> and all procedures were approved by the </w:t>
      </w:r>
      <w:r>
        <w:rPr>
          <w:rFonts w:ascii="Times New Roman" w:hAnsi="Times New Roman" w:cs="Times New Roman"/>
          <w:sz w:val="24"/>
          <w:szCs w:val="24"/>
        </w:rPr>
        <w:t>ethical</w:t>
      </w:r>
      <w:r w:rsidRPr="00EB3F00">
        <w:rPr>
          <w:rFonts w:ascii="Times New Roman" w:hAnsi="Times New Roman" w:cs="Times New Roman"/>
          <w:sz w:val="24"/>
          <w:szCs w:val="24"/>
        </w:rPr>
        <w:t xml:space="preserve"> committee</w:t>
      </w:r>
      <w:r>
        <w:rPr>
          <w:rFonts w:ascii="Times New Roman" w:hAnsi="Times New Roman" w:cs="Times New Roman"/>
          <w:sz w:val="24"/>
          <w:szCs w:val="24"/>
        </w:rPr>
        <w:t xml:space="preserve"> of </w:t>
      </w:r>
      <w:r w:rsidRPr="007C0A3E">
        <w:rPr>
          <w:rFonts w:ascii="Times New Roman" w:hAnsi="Times New Roman" w:cs="Times New Roman"/>
          <w:sz w:val="24"/>
          <w:szCs w:val="24"/>
        </w:rPr>
        <w:t>Zhejiang University</w:t>
      </w:r>
      <w:r w:rsidRPr="00EB3F00">
        <w:rPr>
          <w:rFonts w:ascii="Times New Roman" w:hAnsi="Times New Roman" w:cs="Times New Roman"/>
          <w:sz w:val="24"/>
          <w:szCs w:val="24"/>
        </w:rPr>
        <w:t>.</w:t>
      </w:r>
    </w:p>
    <w:p w14:paraId="3263F62F"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t>Cell lines</w:t>
      </w:r>
    </w:p>
    <w:p w14:paraId="3FE82804"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Nalm6 and Nalm6 transduced with GFP/luciferase (</w:t>
      </w:r>
      <w:proofErr w:type="spellStart"/>
      <w:r w:rsidRPr="00721D97">
        <w:rPr>
          <w:rFonts w:ascii="Times New Roman" w:eastAsia="Minion Pro" w:hAnsi="Times New Roman" w:cs="Times New Roman"/>
          <w:color w:val="000000"/>
          <w:kern w:val="0"/>
          <w:sz w:val="24"/>
          <w:szCs w:val="24"/>
        </w:rPr>
        <w:t>Addgene</w:t>
      </w:r>
      <w:proofErr w:type="spellEnd"/>
      <w:r w:rsidRPr="00721D97">
        <w:rPr>
          <w:rFonts w:ascii="Times New Roman" w:eastAsia="Minion Pro" w:hAnsi="Times New Roman" w:cs="Times New Roman"/>
          <w:color w:val="000000"/>
          <w:kern w:val="0"/>
          <w:sz w:val="24"/>
          <w:szCs w:val="24"/>
        </w:rPr>
        <w:t>) were cultured in RPMI-1640 (Corning) and with 10% FBS (Gibco), 100 U/ml penicillin and 100μg/ml streptomycin (Life Technologies).293T cells were cultured in DMEM (Corning) and with 10% FBS (Gibco).</w:t>
      </w:r>
    </w:p>
    <w:p w14:paraId="4853EB1C"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hAnsi="Times New Roman" w:cs="Times New Roman"/>
          <w:b/>
          <w:bCs/>
          <w:sz w:val="24"/>
          <w:szCs w:val="24"/>
        </w:rPr>
        <w:t>CAR construct design</w:t>
      </w:r>
    </w:p>
    <w:p w14:paraId="566F59DA" w14:textId="77777777" w:rsidR="00DE54BF"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 xml:space="preserve">The </w:t>
      </w:r>
      <w:proofErr w:type="spellStart"/>
      <w:r w:rsidRPr="00721D97">
        <w:rPr>
          <w:rFonts w:ascii="Times New Roman" w:eastAsia="Minion Pro" w:hAnsi="Times New Roman" w:cs="Times New Roman"/>
          <w:color w:val="000000"/>
          <w:kern w:val="0"/>
          <w:sz w:val="24"/>
          <w:szCs w:val="24"/>
        </w:rPr>
        <w:t>scFv</w:t>
      </w:r>
      <w:proofErr w:type="spellEnd"/>
      <w:r w:rsidRPr="00721D97">
        <w:rPr>
          <w:rFonts w:ascii="Times New Roman" w:eastAsia="Minion Pro" w:hAnsi="Times New Roman" w:cs="Times New Roman"/>
          <w:color w:val="000000"/>
          <w:kern w:val="0"/>
          <w:sz w:val="24"/>
          <w:szCs w:val="24"/>
        </w:rPr>
        <w:t xml:space="preserve"> sequence specific for CD19 was derived from Clone FMC63 as previously described </w:t>
      </w:r>
      <w:r>
        <w:rPr>
          <w:rFonts w:ascii="Times New Roman" w:eastAsia="Minion Pro" w:hAnsi="Times New Roman" w:cs="Times New Roman"/>
          <w:noProof/>
          <w:color w:val="000000"/>
          <w:kern w:val="0"/>
          <w:sz w:val="24"/>
          <w:szCs w:val="24"/>
        </w:rPr>
        <w:t>[1]</w:t>
      </w:r>
      <w:r w:rsidRPr="00721D97">
        <w:rPr>
          <w:rFonts w:ascii="Times New Roman" w:eastAsia="Minion Pro" w:hAnsi="Times New Roman" w:cs="Times New Roman"/>
          <w:color w:val="000000"/>
          <w:kern w:val="0"/>
          <w:sz w:val="24"/>
          <w:szCs w:val="24"/>
        </w:rPr>
        <w:t xml:space="preserve">. The anti-CD19 </w:t>
      </w:r>
      <w:proofErr w:type="spellStart"/>
      <w:r w:rsidRPr="00721D97">
        <w:rPr>
          <w:rFonts w:ascii="Times New Roman" w:eastAsia="Minion Pro" w:hAnsi="Times New Roman" w:cs="Times New Roman"/>
          <w:color w:val="000000"/>
          <w:kern w:val="0"/>
          <w:sz w:val="24"/>
          <w:szCs w:val="24"/>
        </w:rPr>
        <w:t>scFv</w:t>
      </w:r>
      <w:proofErr w:type="spellEnd"/>
      <w:r w:rsidRPr="00721D97">
        <w:rPr>
          <w:rFonts w:ascii="Times New Roman" w:eastAsia="Minion Pro" w:hAnsi="Times New Roman" w:cs="Times New Roman"/>
          <w:color w:val="000000"/>
          <w:kern w:val="0"/>
          <w:sz w:val="24"/>
          <w:szCs w:val="24"/>
        </w:rPr>
        <w:t xml:space="preserve"> sequence was inserted in tandem with the human CD8/CD28 transmembrane, CD8 hinge, 4-1BB/CD28 costimulatory domain, CD3z </w:t>
      </w:r>
      <w:r w:rsidRPr="004A099A">
        <w:rPr>
          <w:rFonts w:ascii="Times New Roman" w:eastAsia="Minion Pro" w:hAnsi="Times New Roman" w:cs="Times New Roman"/>
          <w:color w:val="000000" w:themeColor="text1"/>
          <w:kern w:val="0"/>
          <w:sz w:val="24"/>
          <w:szCs w:val="24"/>
        </w:rPr>
        <w:t xml:space="preserve">intracellular regions and T2A-GFP or </w:t>
      </w:r>
      <w:proofErr w:type="spellStart"/>
      <w:r w:rsidRPr="004A099A">
        <w:rPr>
          <w:rFonts w:ascii="Times New Roman" w:eastAsia="Minion Pro" w:hAnsi="Times New Roman" w:cs="Times New Roman"/>
          <w:color w:val="000000" w:themeColor="text1"/>
          <w:kern w:val="0"/>
          <w:sz w:val="24"/>
          <w:szCs w:val="24"/>
        </w:rPr>
        <w:t>mCherry</w:t>
      </w:r>
      <w:proofErr w:type="spellEnd"/>
      <w:r w:rsidRPr="004A099A">
        <w:rPr>
          <w:rFonts w:ascii="Times New Roman" w:eastAsia="Minion Pro" w:hAnsi="Times New Roman" w:cs="Times New Roman"/>
          <w:color w:val="000000" w:themeColor="text1"/>
          <w:kern w:val="0"/>
          <w:sz w:val="24"/>
          <w:szCs w:val="24"/>
        </w:rPr>
        <w:t xml:space="preserve"> seq</w:t>
      </w:r>
      <w:r w:rsidRPr="004A099A">
        <w:rPr>
          <w:rFonts w:ascii="Times New Roman" w:eastAsia="Minion Pro" w:hAnsi="Times New Roman" w:cs="Times New Roman" w:hint="eastAsia"/>
          <w:color w:val="000000" w:themeColor="text1"/>
          <w:kern w:val="0"/>
          <w:sz w:val="24"/>
          <w:szCs w:val="24"/>
        </w:rPr>
        <w:t>u</w:t>
      </w:r>
      <w:r w:rsidRPr="004A099A">
        <w:rPr>
          <w:rFonts w:ascii="Times New Roman" w:eastAsia="Minion Pro" w:hAnsi="Times New Roman" w:cs="Times New Roman"/>
          <w:color w:val="000000" w:themeColor="text1"/>
          <w:kern w:val="0"/>
          <w:sz w:val="24"/>
          <w:szCs w:val="24"/>
        </w:rPr>
        <w:t xml:space="preserve">ence. In this study, CAR T cells incorporating </w:t>
      </w:r>
      <w:r w:rsidRPr="004A099A">
        <w:rPr>
          <w:rFonts w:ascii="Times New Roman" w:hAnsi="Times New Roman" w:cs="Times New Roman"/>
          <w:color w:val="000000" w:themeColor="text1"/>
          <w:sz w:val="24"/>
          <w:szCs w:val="24"/>
        </w:rPr>
        <w:t>CD28 co-stimulatory domain</w:t>
      </w:r>
      <w:r w:rsidRPr="004A099A">
        <w:rPr>
          <w:rFonts w:ascii="Times New Roman" w:eastAsia="Minion Pro" w:hAnsi="Times New Roman" w:cs="Times New Roman"/>
          <w:color w:val="000000" w:themeColor="text1"/>
          <w:kern w:val="0"/>
          <w:sz w:val="24"/>
          <w:szCs w:val="24"/>
        </w:rPr>
        <w:t xml:space="preserve"> were used in systematic screening of TKIs on reversing CAR T cells differentiation and exhaustion, the determination of </w:t>
      </w:r>
      <w:proofErr w:type="spellStart"/>
      <w:r w:rsidRPr="004A099A">
        <w:rPr>
          <w:rFonts w:ascii="Times New Roman" w:eastAsia="Minion Pro" w:hAnsi="Times New Roman" w:cs="Times New Roman"/>
          <w:color w:val="000000" w:themeColor="text1"/>
          <w:kern w:val="0"/>
          <w:sz w:val="24"/>
          <w:szCs w:val="24"/>
        </w:rPr>
        <w:t>dasatinib’s</w:t>
      </w:r>
      <w:proofErr w:type="spellEnd"/>
      <w:r w:rsidRPr="004A099A">
        <w:rPr>
          <w:rFonts w:ascii="Times New Roman" w:eastAsia="Minion Pro" w:hAnsi="Times New Roman" w:cs="Times New Roman"/>
          <w:color w:val="000000" w:themeColor="text1"/>
          <w:kern w:val="0"/>
          <w:sz w:val="24"/>
          <w:szCs w:val="24"/>
        </w:rPr>
        <w:t xml:space="preserve"> optimal concentration and the mice associated experiments in Fig.1, and CAR T cells incorporating </w:t>
      </w:r>
      <w:r w:rsidRPr="004A099A">
        <w:rPr>
          <w:rFonts w:ascii="Times New Roman" w:hAnsi="Times New Roman" w:cs="Times New Roman"/>
          <w:color w:val="000000" w:themeColor="text1"/>
          <w:sz w:val="24"/>
          <w:szCs w:val="24"/>
        </w:rPr>
        <w:t>4-1BB co-stimulatory domain</w:t>
      </w:r>
      <w:r w:rsidRPr="004A099A">
        <w:rPr>
          <w:rFonts w:ascii="Times New Roman" w:eastAsia="Minion Pro" w:hAnsi="Times New Roman" w:cs="Times New Roman"/>
          <w:color w:val="000000" w:themeColor="text1"/>
          <w:kern w:val="0"/>
          <w:sz w:val="24"/>
          <w:szCs w:val="24"/>
        </w:rPr>
        <w:t xml:space="preserve"> were used for all other experiments.</w:t>
      </w:r>
    </w:p>
    <w:p w14:paraId="08D6E162" w14:textId="77777777" w:rsidR="00DE54BF" w:rsidRPr="00721D97" w:rsidRDefault="00DE54BF" w:rsidP="00460217">
      <w:pPr>
        <w:autoSpaceDE w:val="0"/>
        <w:autoSpaceDN w:val="0"/>
        <w:adjustRightInd w:val="0"/>
        <w:spacing w:line="360" w:lineRule="auto"/>
        <w:jc w:val="left"/>
        <w:rPr>
          <w:rFonts w:ascii="Times New Roman" w:hAnsi="Times New Roman" w:cs="Times New Roman"/>
          <w:b/>
          <w:bCs/>
          <w:sz w:val="24"/>
          <w:szCs w:val="24"/>
        </w:rPr>
      </w:pPr>
      <w:r w:rsidRPr="00721D97">
        <w:rPr>
          <w:rFonts w:ascii="Times New Roman" w:hAnsi="Times New Roman" w:cs="Times New Roman"/>
          <w:b/>
          <w:bCs/>
          <w:sz w:val="24"/>
          <w:szCs w:val="24"/>
        </w:rPr>
        <w:t>Lentivirus production</w:t>
      </w:r>
    </w:p>
    <w:p w14:paraId="36911045" w14:textId="77777777" w:rsidR="00DE54BF" w:rsidRPr="00721D97" w:rsidRDefault="00DE54BF" w:rsidP="00460217">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 xml:space="preserve">CD28/CAR and 4-1BB/CAR-encoding lentiviral supernatants were produced via transient </w:t>
      </w:r>
      <w:r>
        <w:rPr>
          <w:rFonts w:ascii="Times New Roman" w:eastAsia="Minion Pro" w:hAnsi="Times New Roman" w:cs="Times New Roman"/>
          <w:color w:val="000000"/>
          <w:kern w:val="0"/>
          <w:sz w:val="24"/>
          <w:szCs w:val="24"/>
        </w:rPr>
        <w:t>transduction</w:t>
      </w:r>
      <w:r w:rsidRPr="00721D97">
        <w:rPr>
          <w:rFonts w:ascii="Times New Roman" w:eastAsia="Minion Pro" w:hAnsi="Times New Roman" w:cs="Times New Roman"/>
          <w:color w:val="000000"/>
          <w:kern w:val="0"/>
          <w:sz w:val="24"/>
          <w:szCs w:val="24"/>
        </w:rPr>
        <w:t xml:space="preserve"> of the 293T cell line. Briefly, 293T cells were </w:t>
      </w:r>
      <w:r>
        <w:rPr>
          <w:rFonts w:ascii="Times New Roman" w:eastAsia="Minion Pro" w:hAnsi="Times New Roman" w:cs="Times New Roman"/>
          <w:color w:val="000000"/>
          <w:kern w:val="0"/>
          <w:sz w:val="24"/>
          <w:szCs w:val="24"/>
        </w:rPr>
        <w:t>transduced</w:t>
      </w:r>
      <w:r w:rsidRPr="00721D97">
        <w:rPr>
          <w:rFonts w:ascii="Times New Roman" w:eastAsia="Minion Pro" w:hAnsi="Times New Roman" w:cs="Times New Roman"/>
          <w:color w:val="000000"/>
          <w:kern w:val="0"/>
          <w:sz w:val="24"/>
          <w:szCs w:val="24"/>
        </w:rPr>
        <w:t xml:space="preserve"> via </w:t>
      </w:r>
      <w:proofErr w:type="spellStart"/>
      <w:r w:rsidRPr="00721D97">
        <w:rPr>
          <w:rFonts w:ascii="Times New Roman" w:eastAsia="Minion Pro" w:hAnsi="Times New Roman" w:cs="Times New Roman"/>
          <w:color w:val="000000"/>
          <w:kern w:val="0"/>
          <w:sz w:val="24"/>
          <w:szCs w:val="24"/>
        </w:rPr>
        <w:t>Polyethylenimine</w:t>
      </w:r>
      <w:proofErr w:type="spellEnd"/>
      <w:r w:rsidRPr="00721D97">
        <w:rPr>
          <w:rFonts w:ascii="Times New Roman" w:eastAsia="Minion Pro" w:hAnsi="Times New Roman" w:cs="Times New Roman"/>
          <w:color w:val="000000"/>
          <w:kern w:val="0"/>
          <w:sz w:val="24"/>
          <w:szCs w:val="24"/>
        </w:rPr>
        <w:t xml:space="preserve"> (</w:t>
      </w:r>
      <w:proofErr w:type="spellStart"/>
      <w:r w:rsidRPr="00721D97">
        <w:rPr>
          <w:rFonts w:ascii="Times New Roman" w:eastAsia="Minion Pro" w:hAnsi="Times New Roman" w:cs="Times New Roman"/>
          <w:color w:val="000000"/>
          <w:kern w:val="0"/>
          <w:sz w:val="24"/>
          <w:szCs w:val="24"/>
        </w:rPr>
        <w:t>Polysciences</w:t>
      </w:r>
      <w:proofErr w:type="spellEnd"/>
      <w:r w:rsidRPr="00721D97">
        <w:rPr>
          <w:rFonts w:ascii="Times New Roman" w:eastAsia="Minion Pro" w:hAnsi="Times New Roman" w:cs="Times New Roman"/>
          <w:color w:val="000000"/>
          <w:kern w:val="0"/>
          <w:sz w:val="24"/>
          <w:szCs w:val="24"/>
        </w:rPr>
        <w:t>) with the plasmids encoding the CAR and envelope protein psPAX2, pMD</w:t>
      </w:r>
      <w:proofErr w:type="gramStart"/>
      <w:r w:rsidRPr="00721D97">
        <w:rPr>
          <w:rFonts w:ascii="Times New Roman" w:eastAsia="Minion Pro" w:hAnsi="Times New Roman" w:cs="Times New Roman"/>
          <w:color w:val="000000"/>
          <w:kern w:val="0"/>
          <w:sz w:val="24"/>
          <w:szCs w:val="24"/>
        </w:rPr>
        <w:t>2.G.</w:t>
      </w:r>
      <w:proofErr w:type="gramEnd"/>
      <w:r w:rsidRPr="00721D97">
        <w:rPr>
          <w:rFonts w:ascii="Times New Roman" w:eastAsia="Minion Pro" w:hAnsi="Times New Roman" w:cs="Times New Roman"/>
          <w:color w:val="000000"/>
          <w:kern w:val="0"/>
          <w:sz w:val="24"/>
          <w:szCs w:val="24"/>
        </w:rPr>
        <w:t xml:space="preserve"> Supernatants were collected 48 and 72 h</w:t>
      </w:r>
      <w:r>
        <w:rPr>
          <w:rFonts w:ascii="Times New Roman" w:eastAsia="Minion Pro" w:hAnsi="Times New Roman" w:cs="Times New Roman"/>
          <w:color w:val="000000"/>
          <w:kern w:val="0"/>
          <w:sz w:val="24"/>
          <w:szCs w:val="24"/>
        </w:rPr>
        <w:t>ours</w:t>
      </w:r>
      <w:r w:rsidRPr="00721D97">
        <w:rPr>
          <w:rFonts w:ascii="Times New Roman" w:eastAsia="Minion Pro" w:hAnsi="Times New Roman" w:cs="Times New Roman"/>
          <w:color w:val="000000"/>
          <w:kern w:val="0"/>
          <w:sz w:val="24"/>
          <w:szCs w:val="24"/>
        </w:rPr>
        <w:t xml:space="preserve"> after </w:t>
      </w:r>
      <w:r>
        <w:rPr>
          <w:rFonts w:ascii="Times New Roman" w:eastAsia="Minion Pro" w:hAnsi="Times New Roman" w:cs="Times New Roman"/>
          <w:color w:val="000000"/>
          <w:kern w:val="0"/>
          <w:sz w:val="24"/>
          <w:szCs w:val="24"/>
        </w:rPr>
        <w:t>transduction</w:t>
      </w:r>
      <w:r w:rsidRPr="00721D97">
        <w:rPr>
          <w:rFonts w:ascii="Times New Roman" w:eastAsia="Minion Pro" w:hAnsi="Times New Roman" w:cs="Times New Roman"/>
          <w:color w:val="000000"/>
          <w:kern w:val="0"/>
          <w:sz w:val="24"/>
          <w:szCs w:val="24"/>
        </w:rPr>
        <w:t>, and prepared into 10</w:t>
      </w:r>
      <w:r w:rsidRPr="00721D97">
        <w:rPr>
          <w:rFonts w:ascii="Times New Roman" w:eastAsia="Minion Pro" w:hAnsi="Times New Roman" w:cs="Times New Roman"/>
          <w:color w:val="000000"/>
          <w:kern w:val="0"/>
          <w:sz w:val="24"/>
          <w:szCs w:val="24"/>
          <w:vertAlign w:val="superscript"/>
        </w:rPr>
        <w:t>8</w:t>
      </w:r>
      <w:r w:rsidRPr="00721D97">
        <w:rPr>
          <w:rFonts w:ascii="Times New Roman" w:eastAsia="Minion Pro" w:hAnsi="Times New Roman" w:cs="Times New Roman"/>
          <w:color w:val="000000"/>
          <w:kern w:val="0"/>
          <w:sz w:val="24"/>
          <w:szCs w:val="24"/>
        </w:rPr>
        <w:t xml:space="preserve"> virus particle/ml after ultracentrifugation (Beckman). </w:t>
      </w:r>
    </w:p>
    <w:p w14:paraId="7629EC39" w14:textId="77777777" w:rsidR="00DE54BF" w:rsidRPr="00721D97" w:rsidRDefault="00DE54BF" w:rsidP="00460217">
      <w:pPr>
        <w:autoSpaceDE w:val="0"/>
        <w:autoSpaceDN w:val="0"/>
        <w:adjustRightInd w:val="0"/>
        <w:spacing w:line="360" w:lineRule="auto"/>
        <w:jc w:val="left"/>
        <w:rPr>
          <w:rFonts w:ascii="Times New Roman" w:hAnsi="Times New Roman" w:cs="Times New Roman"/>
          <w:b/>
          <w:bCs/>
          <w:sz w:val="24"/>
          <w:szCs w:val="24"/>
        </w:rPr>
      </w:pPr>
      <w:r w:rsidRPr="00721D97">
        <w:rPr>
          <w:rFonts w:ascii="Times New Roman" w:hAnsi="Times New Roman" w:cs="Times New Roman"/>
          <w:b/>
          <w:bCs/>
          <w:sz w:val="24"/>
          <w:szCs w:val="24"/>
        </w:rPr>
        <w:t xml:space="preserve">T cell isolation and lentiviral </w:t>
      </w:r>
      <w:r>
        <w:rPr>
          <w:rFonts w:ascii="Times New Roman" w:hAnsi="Times New Roman" w:cs="Times New Roman"/>
          <w:b/>
          <w:bCs/>
          <w:sz w:val="24"/>
          <w:szCs w:val="24"/>
        </w:rPr>
        <w:t>transduction</w:t>
      </w:r>
    </w:p>
    <w:p w14:paraId="415839A6" w14:textId="77777777" w:rsidR="00DE54BF" w:rsidRPr="00721D97" w:rsidRDefault="00DE54BF" w:rsidP="00460217">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A273B2">
        <w:rPr>
          <w:rFonts w:ascii="Times New Roman" w:eastAsia="Minion Pro" w:hAnsi="Times New Roman" w:cs="Times New Roman"/>
          <w:color w:val="000000"/>
          <w:kern w:val="0"/>
          <w:sz w:val="24"/>
          <w:szCs w:val="24"/>
        </w:rPr>
        <w:t xml:space="preserve">Human PBMCs were isolated from peripheral blood of healthy donors at the First Affiliated Hospital of Zhejiang University. Ethical permission was granted by the Clinical Trial Ethics Committee of the First Affiliated Hospital of Zhejiang University. T cells were enriched and activated with </w:t>
      </w:r>
      <w:bookmarkStart w:id="1" w:name="OLE_LINK21"/>
      <w:bookmarkStart w:id="2" w:name="OLE_LINK22"/>
      <w:r w:rsidRPr="00A273B2">
        <w:rPr>
          <w:rFonts w:ascii="Times New Roman" w:eastAsia="Minion Pro" w:hAnsi="Times New Roman" w:cs="Times New Roman"/>
          <w:color w:val="000000"/>
          <w:kern w:val="0"/>
          <w:sz w:val="24"/>
          <w:szCs w:val="24"/>
        </w:rPr>
        <w:t>anti-</w:t>
      </w:r>
      <w:bookmarkEnd w:id="1"/>
      <w:bookmarkEnd w:id="2"/>
      <w:r w:rsidRPr="00A273B2">
        <w:rPr>
          <w:rFonts w:ascii="Times New Roman" w:eastAsia="Minion Pro" w:hAnsi="Times New Roman" w:cs="Times New Roman"/>
          <w:color w:val="000000"/>
          <w:kern w:val="0"/>
          <w:sz w:val="24"/>
          <w:szCs w:val="24"/>
        </w:rPr>
        <w:t xml:space="preserve">CD3/CD28 beads (Life Technologies) in the ratio of </w:t>
      </w:r>
      <w:proofErr w:type="spellStart"/>
      <w:r w:rsidRPr="00A273B2">
        <w:rPr>
          <w:rFonts w:ascii="Times New Roman" w:eastAsia="Minion Pro" w:hAnsi="Times New Roman" w:cs="Times New Roman"/>
          <w:color w:val="000000"/>
          <w:kern w:val="0"/>
          <w:sz w:val="24"/>
          <w:szCs w:val="24"/>
        </w:rPr>
        <w:t>cell:bead</w:t>
      </w:r>
      <w:proofErr w:type="spellEnd"/>
      <w:r w:rsidRPr="00A273B2">
        <w:rPr>
          <w:rFonts w:ascii="Times New Roman" w:eastAsia="Minion Pro" w:hAnsi="Times New Roman" w:cs="Times New Roman"/>
          <w:color w:val="000000"/>
          <w:kern w:val="0"/>
          <w:sz w:val="24"/>
          <w:szCs w:val="24"/>
        </w:rPr>
        <w:t xml:space="preserve">=1:3 for 24 hours prior to virus </w:t>
      </w:r>
      <w:r>
        <w:rPr>
          <w:rFonts w:ascii="Times New Roman" w:eastAsia="Minion Pro" w:hAnsi="Times New Roman" w:cs="Times New Roman"/>
          <w:color w:val="000000"/>
          <w:kern w:val="0"/>
          <w:sz w:val="24"/>
          <w:szCs w:val="24"/>
        </w:rPr>
        <w:t>transduction</w:t>
      </w:r>
      <w:r w:rsidRPr="00A273B2">
        <w:rPr>
          <w:rFonts w:ascii="Times New Roman" w:eastAsia="Minion Pro" w:hAnsi="Times New Roman" w:cs="Times New Roman"/>
          <w:color w:val="000000"/>
          <w:kern w:val="0"/>
          <w:sz w:val="24"/>
          <w:szCs w:val="24"/>
        </w:rPr>
        <w:t xml:space="preserve">. Condensed viral supernatant was used for </w:t>
      </w:r>
      <w:r>
        <w:rPr>
          <w:rFonts w:ascii="Times New Roman" w:eastAsia="Minion Pro" w:hAnsi="Times New Roman" w:cs="Times New Roman"/>
          <w:color w:val="000000"/>
          <w:kern w:val="0"/>
          <w:sz w:val="24"/>
          <w:szCs w:val="24"/>
        </w:rPr>
        <w:t>transduction</w:t>
      </w:r>
      <w:r w:rsidRPr="00A273B2">
        <w:rPr>
          <w:rFonts w:ascii="Times New Roman" w:eastAsia="Minion Pro" w:hAnsi="Times New Roman" w:cs="Times New Roman"/>
          <w:color w:val="000000"/>
          <w:kern w:val="0"/>
          <w:sz w:val="24"/>
          <w:szCs w:val="24"/>
        </w:rPr>
        <w:t xml:space="preserve"> in accordance with MOI </w:t>
      </w:r>
      <w:r w:rsidRPr="00A273B2">
        <w:rPr>
          <w:rFonts w:ascii="Times New Roman" w:eastAsia="Minion Pro" w:hAnsi="Times New Roman" w:cs="Times New Roman"/>
          <w:color w:val="000000"/>
          <w:kern w:val="0"/>
          <w:sz w:val="24"/>
          <w:szCs w:val="24"/>
        </w:rPr>
        <w:lastRenderedPageBreak/>
        <w:t>(multiplicity of infection) =10.</w:t>
      </w:r>
      <w:r w:rsidRPr="00721D97">
        <w:rPr>
          <w:rFonts w:ascii="Times New Roman" w:eastAsia="Minion Pro" w:hAnsi="Times New Roman" w:cs="Times New Roman"/>
          <w:color w:val="000000"/>
          <w:kern w:val="0"/>
          <w:sz w:val="24"/>
          <w:szCs w:val="24"/>
        </w:rPr>
        <w:t xml:space="preserve"> </w:t>
      </w:r>
    </w:p>
    <w:p w14:paraId="70A8615B" w14:textId="77777777" w:rsidR="00DE54BF" w:rsidRPr="00721D97" w:rsidRDefault="00DE54BF" w:rsidP="00460217">
      <w:pPr>
        <w:autoSpaceDE w:val="0"/>
        <w:autoSpaceDN w:val="0"/>
        <w:adjustRightInd w:val="0"/>
        <w:spacing w:line="360" w:lineRule="auto"/>
        <w:jc w:val="left"/>
        <w:rPr>
          <w:rFonts w:ascii="Times New Roman" w:hAnsi="Times New Roman" w:cs="Times New Roman"/>
          <w:b/>
          <w:bCs/>
          <w:sz w:val="24"/>
          <w:szCs w:val="24"/>
        </w:rPr>
      </w:pPr>
      <w:r w:rsidRPr="00721D97">
        <w:rPr>
          <w:rFonts w:ascii="Times New Roman" w:hAnsi="Times New Roman" w:cs="Times New Roman"/>
          <w:b/>
          <w:bCs/>
          <w:sz w:val="24"/>
          <w:szCs w:val="24"/>
        </w:rPr>
        <w:t>CAR-T cell culture</w:t>
      </w:r>
    </w:p>
    <w:p w14:paraId="06ABC7EA" w14:textId="77777777" w:rsidR="00DE54BF" w:rsidRPr="0046021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Pr>
          <w:rFonts w:ascii="Times New Roman" w:eastAsia="Minion Pro" w:hAnsi="Times New Roman" w:cs="Times New Roman"/>
          <w:color w:val="000000"/>
          <w:kern w:val="0"/>
          <w:sz w:val="24"/>
          <w:szCs w:val="24"/>
        </w:rPr>
        <w:t>Transduced</w:t>
      </w:r>
      <w:r w:rsidRPr="00721D97">
        <w:rPr>
          <w:rFonts w:ascii="Times New Roman" w:eastAsia="Minion Pro" w:hAnsi="Times New Roman" w:cs="Times New Roman"/>
          <w:color w:val="000000"/>
          <w:kern w:val="0"/>
          <w:sz w:val="24"/>
          <w:szCs w:val="24"/>
        </w:rPr>
        <w:t xml:space="preserve"> T cells were cultured and expanded in RPMI with 10%FBS, 100 U/ml penicillin ,100μg/ml streptomycin and </w:t>
      </w:r>
      <w:r>
        <w:rPr>
          <w:rFonts w:ascii="Times New Roman" w:eastAsia="Minion Pro" w:hAnsi="Times New Roman" w:cs="Times New Roman"/>
          <w:color w:val="000000"/>
          <w:kern w:val="0"/>
          <w:sz w:val="24"/>
          <w:szCs w:val="24"/>
        </w:rPr>
        <w:t>1</w:t>
      </w:r>
      <w:r w:rsidRPr="00721D97">
        <w:rPr>
          <w:rFonts w:ascii="Times New Roman" w:eastAsia="Minion Pro" w:hAnsi="Times New Roman" w:cs="Times New Roman"/>
          <w:color w:val="000000"/>
          <w:kern w:val="0"/>
          <w:sz w:val="24"/>
          <w:szCs w:val="24"/>
        </w:rPr>
        <w:t>00IU/ml IL-2 (</w:t>
      </w:r>
      <w:proofErr w:type="spellStart"/>
      <w:r w:rsidRPr="00721D97">
        <w:rPr>
          <w:rFonts w:ascii="Times New Roman" w:eastAsia="Minion Pro" w:hAnsi="Times New Roman" w:cs="Times New Roman"/>
          <w:color w:val="000000"/>
          <w:kern w:val="0"/>
          <w:sz w:val="24"/>
          <w:szCs w:val="24"/>
        </w:rPr>
        <w:t>Peptech</w:t>
      </w:r>
      <w:proofErr w:type="spellEnd"/>
      <w:r w:rsidRPr="00721D97">
        <w:rPr>
          <w:rFonts w:ascii="Times New Roman" w:eastAsia="Minion Pro" w:hAnsi="Times New Roman" w:cs="Times New Roman"/>
          <w:color w:val="000000"/>
          <w:kern w:val="0"/>
          <w:sz w:val="24"/>
          <w:szCs w:val="24"/>
        </w:rPr>
        <w:t xml:space="preserve">). Three days after </w:t>
      </w:r>
      <w:r>
        <w:rPr>
          <w:rFonts w:ascii="Times New Roman" w:eastAsia="Minion Pro" w:hAnsi="Times New Roman" w:cs="Times New Roman"/>
          <w:color w:val="000000"/>
          <w:kern w:val="0"/>
          <w:sz w:val="24"/>
          <w:szCs w:val="24"/>
        </w:rPr>
        <w:t>transduction</w:t>
      </w:r>
      <w:r w:rsidRPr="00721D97">
        <w:rPr>
          <w:rFonts w:ascii="Times New Roman" w:eastAsia="Minion Pro" w:hAnsi="Times New Roman" w:cs="Times New Roman"/>
          <w:color w:val="000000"/>
          <w:kern w:val="0"/>
          <w:sz w:val="24"/>
          <w:szCs w:val="24"/>
        </w:rPr>
        <w:t>, anti-CD3/CD28 beads were removed. Culture medium and IL-2 were changed every 2 days.</w:t>
      </w:r>
      <w:r w:rsidRPr="008F10C6">
        <w:rPr>
          <w:rFonts w:ascii="Times New Roman" w:eastAsia="Minion Pro" w:hAnsi="Times New Roman" w:cs="Times New Roman" w:hint="eastAsia"/>
          <w:color w:val="000000"/>
          <w:kern w:val="0"/>
          <w:sz w:val="24"/>
          <w:szCs w:val="24"/>
        </w:rPr>
        <w:t xml:space="preserve"> </w:t>
      </w:r>
    </w:p>
    <w:p w14:paraId="07210632"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hAnsi="Times New Roman" w:cs="Times New Roman"/>
          <w:b/>
          <w:bCs/>
          <w:sz w:val="24"/>
          <w:szCs w:val="24"/>
        </w:rPr>
        <w:t>Treatment of tyrosine kinase inhibitors (TKI</w:t>
      </w:r>
      <w:r>
        <w:rPr>
          <w:rFonts w:ascii="Times New Roman" w:hAnsi="Times New Roman" w:cs="Times New Roman"/>
          <w:b/>
          <w:bCs/>
          <w:sz w:val="24"/>
          <w:szCs w:val="24"/>
        </w:rPr>
        <w:t>s</w:t>
      </w:r>
      <w:r w:rsidRPr="00721D97">
        <w:rPr>
          <w:rFonts w:ascii="Times New Roman" w:hAnsi="Times New Roman" w:cs="Times New Roman"/>
          <w:b/>
          <w:bCs/>
          <w:sz w:val="24"/>
          <w:szCs w:val="24"/>
        </w:rPr>
        <w:t>)</w:t>
      </w:r>
    </w:p>
    <w:p w14:paraId="18F769C2"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 xml:space="preserve">For experiments of the impacts of TKIs on CART cells ex vivo culture, CD28/CART cells were cultured with RPMI with 10%FBS and </w:t>
      </w:r>
      <w:r>
        <w:rPr>
          <w:rFonts w:ascii="Times New Roman" w:eastAsia="Minion Pro" w:hAnsi="Times New Roman" w:cs="Times New Roman"/>
          <w:color w:val="000000"/>
          <w:kern w:val="0"/>
          <w:sz w:val="24"/>
          <w:szCs w:val="24"/>
        </w:rPr>
        <w:t>1</w:t>
      </w:r>
      <w:r w:rsidRPr="00721D97">
        <w:rPr>
          <w:rFonts w:ascii="Times New Roman" w:eastAsia="Minion Pro" w:hAnsi="Times New Roman" w:cs="Times New Roman"/>
          <w:color w:val="000000"/>
          <w:kern w:val="0"/>
          <w:sz w:val="24"/>
          <w:szCs w:val="24"/>
        </w:rPr>
        <w:t xml:space="preserve">00IU/ml IL-2 for </w:t>
      </w:r>
      <w:r>
        <w:rPr>
          <w:rFonts w:ascii="Times New Roman" w:eastAsia="Minion Pro" w:hAnsi="Times New Roman" w:cs="Times New Roman"/>
          <w:color w:val="000000"/>
          <w:kern w:val="0"/>
          <w:sz w:val="24"/>
          <w:szCs w:val="24"/>
        </w:rPr>
        <w:t>5</w:t>
      </w:r>
      <w:r w:rsidRPr="00721D97">
        <w:rPr>
          <w:rFonts w:ascii="Times New Roman" w:eastAsia="Minion Pro" w:hAnsi="Times New Roman" w:cs="Times New Roman"/>
          <w:color w:val="000000"/>
          <w:kern w:val="0"/>
          <w:sz w:val="24"/>
          <w:szCs w:val="24"/>
        </w:rPr>
        <w:t>-</w:t>
      </w:r>
      <w:r>
        <w:rPr>
          <w:rFonts w:ascii="Times New Roman" w:eastAsia="Minion Pro" w:hAnsi="Times New Roman" w:cs="Times New Roman"/>
          <w:color w:val="000000"/>
          <w:kern w:val="0"/>
          <w:sz w:val="24"/>
          <w:szCs w:val="24"/>
        </w:rPr>
        <w:t>7</w:t>
      </w:r>
      <w:r w:rsidRPr="00721D97">
        <w:rPr>
          <w:rFonts w:ascii="Times New Roman" w:eastAsia="Minion Pro" w:hAnsi="Times New Roman" w:cs="Times New Roman"/>
          <w:color w:val="000000"/>
          <w:kern w:val="0"/>
          <w:sz w:val="24"/>
          <w:szCs w:val="24"/>
        </w:rPr>
        <w:t xml:space="preserve"> days after </w:t>
      </w:r>
      <w:r>
        <w:rPr>
          <w:rFonts w:ascii="Times New Roman" w:eastAsia="Minion Pro" w:hAnsi="Times New Roman" w:cs="Times New Roman"/>
          <w:color w:val="000000"/>
          <w:kern w:val="0"/>
          <w:sz w:val="24"/>
          <w:szCs w:val="24"/>
        </w:rPr>
        <w:t>transduction</w:t>
      </w:r>
      <w:r w:rsidRPr="00721D97">
        <w:rPr>
          <w:rFonts w:ascii="Times New Roman" w:eastAsia="Minion Pro" w:hAnsi="Times New Roman" w:cs="Times New Roman"/>
          <w:color w:val="000000"/>
          <w:kern w:val="0"/>
          <w:sz w:val="24"/>
          <w:szCs w:val="24"/>
        </w:rPr>
        <w:t xml:space="preserve"> and treated with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(Sigma), nilotinib (Sigma) and imatinib (Sigma) for 3 days, then analyzed. 4-1BB/CART cells were cultured with RPMI with 10%FBS and </w:t>
      </w:r>
      <w:r>
        <w:rPr>
          <w:rFonts w:ascii="Times New Roman" w:eastAsia="Minion Pro" w:hAnsi="Times New Roman" w:cs="Times New Roman"/>
          <w:color w:val="000000"/>
          <w:kern w:val="0"/>
          <w:sz w:val="24"/>
          <w:szCs w:val="24"/>
        </w:rPr>
        <w:t>1</w:t>
      </w:r>
      <w:r w:rsidRPr="00721D97">
        <w:rPr>
          <w:rFonts w:ascii="Times New Roman" w:eastAsia="Minion Pro" w:hAnsi="Times New Roman" w:cs="Times New Roman"/>
          <w:color w:val="000000"/>
          <w:kern w:val="0"/>
          <w:sz w:val="24"/>
          <w:szCs w:val="24"/>
        </w:rPr>
        <w:t>00</w:t>
      </w:r>
      <w:r>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 xml:space="preserve">IU/ml of IL-2 for 3-5 days after activation and treated </w:t>
      </w:r>
      <w:r>
        <w:rPr>
          <w:rFonts w:ascii="Times New Roman" w:eastAsia="Minion Pro" w:hAnsi="Times New Roman" w:cs="Times New Roman"/>
          <w:color w:val="000000"/>
          <w:kern w:val="0"/>
          <w:sz w:val="24"/>
          <w:szCs w:val="24"/>
        </w:rPr>
        <w:t>by</w:t>
      </w:r>
      <w:r w:rsidRPr="00721D97">
        <w:rPr>
          <w:rFonts w:ascii="Times New Roman" w:eastAsia="Minion Pro" w:hAnsi="Times New Roman" w:cs="Times New Roman"/>
          <w:color w:val="000000"/>
          <w:kern w:val="0"/>
          <w:sz w:val="24"/>
          <w:szCs w:val="24"/>
        </w:rPr>
        <w:t xml:space="preserve">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(Sigma) for consecutive 9 days</w:t>
      </w:r>
      <w:r>
        <w:rPr>
          <w:rFonts w:ascii="Times New Roman" w:eastAsia="Minion Pro" w:hAnsi="Times New Roman" w:cs="Times New Roman"/>
          <w:color w:val="000000"/>
          <w:kern w:val="0"/>
          <w:sz w:val="24"/>
          <w:szCs w:val="24"/>
        </w:rPr>
        <w:t xml:space="preserve"> with replacement of medium and </w:t>
      </w:r>
      <w:proofErr w:type="spellStart"/>
      <w:r>
        <w:rPr>
          <w:rFonts w:ascii="Times New Roman" w:eastAsia="Minion Pro" w:hAnsi="Times New Roman" w:cs="Times New Roman"/>
          <w:color w:val="000000"/>
          <w:kern w:val="0"/>
          <w:sz w:val="24"/>
          <w:szCs w:val="24"/>
        </w:rPr>
        <w:t>dasatinib</w:t>
      </w:r>
      <w:proofErr w:type="spellEnd"/>
      <w:r>
        <w:rPr>
          <w:rFonts w:ascii="Times New Roman" w:eastAsia="Minion Pro" w:hAnsi="Times New Roman" w:cs="Times New Roman"/>
          <w:color w:val="000000"/>
          <w:kern w:val="0"/>
          <w:sz w:val="24"/>
          <w:szCs w:val="24"/>
        </w:rPr>
        <w:t xml:space="preserve"> every 3 days</w:t>
      </w:r>
      <w:r w:rsidRPr="00721D97">
        <w:rPr>
          <w:rFonts w:ascii="Times New Roman" w:eastAsia="Minion Pro" w:hAnsi="Times New Roman" w:cs="Times New Roman"/>
          <w:color w:val="000000"/>
          <w:kern w:val="0"/>
          <w:sz w:val="24"/>
          <w:szCs w:val="24"/>
        </w:rPr>
        <w:t xml:space="preserve">, then analyzed. For experiments of the impacts of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on CART cell apoptosis, differentiation and exhaustion induced by anti-CD3/CD28 beads, GFP+ 4-1BB</w:t>
      </w:r>
      <w:r>
        <w:rPr>
          <w:rFonts w:ascii="Times New Roman" w:eastAsia="Minion Pro" w:hAnsi="Times New Roman" w:cs="Times New Roman"/>
          <w:color w:val="000000"/>
          <w:kern w:val="0"/>
          <w:sz w:val="24"/>
          <w:szCs w:val="24"/>
        </w:rPr>
        <w:t>/</w:t>
      </w:r>
      <w:r w:rsidRPr="00721D97">
        <w:rPr>
          <w:rFonts w:ascii="Times New Roman" w:eastAsia="Minion Pro" w:hAnsi="Times New Roman" w:cs="Times New Roman"/>
          <w:color w:val="000000"/>
          <w:kern w:val="0"/>
          <w:sz w:val="24"/>
          <w:szCs w:val="24"/>
        </w:rPr>
        <w:t xml:space="preserve">CART cells were sorted at 3-5 days after </w:t>
      </w:r>
      <w:r>
        <w:rPr>
          <w:rFonts w:ascii="Times New Roman" w:eastAsia="Minion Pro" w:hAnsi="Times New Roman" w:cs="Times New Roman"/>
          <w:color w:val="000000"/>
          <w:kern w:val="0"/>
          <w:sz w:val="24"/>
          <w:szCs w:val="24"/>
        </w:rPr>
        <w:t>transduction</w:t>
      </w:r>
      <w:r w:rsidRPr="008F10C6" w:rsidDel="00460217">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 xml:space="preserve">and expanded for another </w:t>
      </w:r>
      <w:r>
        <w:rPr>
          <w:rFonts w:ascii="Times New Roman" w:eastAsia="Minion Pro" w:hAnsi="Times New Roman" w:cs="Times New Roman"/>
          <w:color w:val="000000"/>
          <w:kern w:val="0"/>
          <w:sz w:val="24"/>
          <w:szCs w:val="24"/>
        </w:rPr>
        <w:t>3</w:t>
      </w:r>
      <w:r w:rsidRPr="00721D97">
        <w:rPr>
          <w:rFonts w:ascii="Times New Roman" w:eastAsia="Minion Pro" w:hAnsi="Times New Roman" w:cs="Times New Roman"/>
          <w:color w:val="000000"/>
          <w:kern w:val="0"/>
          <w:sz w:val="24"/>
          <w:szCs w:val="24"/>
        </w:rPr>
        <w:t xml:space="preserve">–7 days, then treated with anti-CD3/CD28 </w:t>
      </w:r>
      <w:r w:rsidRPr="00601D1A">
        <w:rPr>
          <w:rFonts w:ascii="Times New Roman" w:eastAsia="Minion Pro" w:hAnsi="Times New Roman" w:cs="Times New Roman"/>
          <w:color w:val="000000"/>
          <w:kern w:val="0"/>
          <w:sz w:val="24"/>
          <w:szCs w:val="24"/>
        </w:rPr>
        <w:t>beads</w:t>
      </w:r>
      <w:r>
        <w:rPr>
          <w:rFonts w:ascii="Times New Roman" w:eastAsia="Minion Pro" w:hAnsi="Times New Roman" w:cs="Times New Roman"/>
          <w:color w:val="000000"/>
          <w:kern w:val="0"/>
          <w:sz w:val="24"/>
          <w:szCs w:val="24"/>
        </w:rPr>
        <w:t xml:space="preserve"> by the ratio of </w:t>
      </w:r>
      <w:r w:rsidRPr="00377970">
        <w:rPr>
          <w:rFonts w:ascii="Times New Roman" w:eastAsia="Minion Pro" w:hAnsi="Times New Roman" w:cs="Times New Roman"/>
          <w:color w:val="000000"/>
          <w:kern w:val="0"/>
          <w:sz w:val="24"/>
          <w:szCs w:val="24"/>
        </w:rPr>
        <w:t>beads to cells</w:t>
      </w:r>
      <w:r>
        <w:rPr>
          <w:rFonts w:ascii="Times New Roman" w:eastAsia="Minion Pro" w:hAnsi="Times New Roman" w:cs="Times New Roman"/>
          <w:color w:val="000000"/>
          <w:kern w:val="0"/>
          <w:sz w:val="24"/>
          <w:szCs w:val="24"/>
        </w:rPr>
        <w:t xml:space="preserve"> 1:1 </w:t>
      </w:r>
      <w:r w:rsidRPr="00721D97">
        <w:rPr>
          <w:rFonts w:ascii="Times New Roman" w:eastAsia="Minion Pro" w:hAnsi="Times New Roman" w:cs="Times New Roman"/>
          <w:color w:val="000000"/>
          <w:kern w:val="0"/>
          <w:sz w:val="24"/>
          <w:szCs w:val="24"/>
        </w:rPr>
        <w:t xml:space="preserve">and different concentrations of </w:t>
      </w:r>
      <w:proofErr w:type="spellStart"/>
      <w:r w:rsidRPr="00721D97">
        <w:rPr>
          <w:rFonts w:ascii="Times New Roman" w:eastAsia="Minion Pro" w:hAnsi="Times New Roman" w:cs="Times New Roman"/>
          <w:color w:val="000000"/>
          <w:kern w:val="0"/>
          <w:sz w:val="24"/>
          <w:szCs w:val="24"/>
        </w:rPr>
        <w:t>dasatinib</w:t>
      </w:r>
      <w:proofErr w:type="spellEnd"/>
      <w:r>
        <w:rPr>
          <w:rFonts w:ascii="Times New Roman" w:eastAsia="Minion Pro" w:hAnsi="Times New Roman" w:cs="Times New Roman"/>
          <w:color w:val="000000"/>
          <w:kern w:val="0"/>
          <w:sz w:val="24"/>
          <w:szCs w:val="24"/>
        </w:rPr>
        <w:t xml:space="preserve"> simultaneously for 72 hours</w:t>
      </w:r>
      <w:r w:rsidRPr="00721D97">
        <w:rPr>
          <w:rFonts w:ascii="Times New Roman" w:eastAsia="Minion Pro" w:hAnsi="Times New Roman" w:cs="Times New Roman"/>
          <w:color w:val="000000"/>
          <w:kern w:val="0"/>
          <w:sz w:val="24"/>
          <w:szCs w:val="24"/>
        </w:rPr>
        <w:t xml:space="preserve">. For experiments of the impacts of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on differentiation and exhaustion of CART cells</w:t>
      </w:r>
      <w:r>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stimulated by Nalm6, GFP+ 4-1BB</w:t>
      </w:r>
      <w:r>
        <w:rPr>
          <w:rFonts w:ascii="Times New Roman" w:eastAsia="Minion Pro" w:hAnsi="Times New Roman" w:cs="Times New Roman" w:hint="eastAsia"/>
          <w:color w:val="000000"/>
          <w:kern w:val="0"/>
          <w:sz w:val="24"/>
          <w:szCs w:val="24"/>
        </w:rPr>
        <w:t>/</w:t>
      </w:r>
      <w:r w:rsidRPr="00721D97">
        <w:rPr>
          <w:rFonts w:ascii="Times New Roman" w:eastAsia="Minion Pro" w:hAnsi="Times New Roman" w:cs="Times New Roman"/>
          <w:color w:val="000000"/>
          <w:kern w:val="0"/>
          <w:sz w:val="24"/>
          <w:szCs w:val="24"/>
        </w:rPr>
        <w:t xml:space="preserve">CART cells were sorted at 3-5 days after </w:t>
      </w:r>
      <w:r>
        <w:rPr>
          <w:rFonts w:ascii="Times New Roman" w:eastAsia="Minion Pro" w:hAnsi="Times New Roman" w:cs="Times New Roman"/>
          <w:color w:val="000000"/>
          <w:kern w:val="0"/>
          <w:sz w:val="24"/>
          <w:szCs w:val="24"/>
        </w:rPr>
        <w:t>transduction</w:t>
      </w:r>
      <w:r w:rsidRPr="00721D97">
        <w:rPr>
          <w:rFonts w:ascii="Times New Roman" w:eastAsia="Minion Pro" w:hAnsi="Times New Roman" w:cs="Times New Roman"/>
          <w:color w:val="000000"/>
          <w:kern w:val="0"/>
          <w:sz w:val="24"/>
          <w:szCs w:val="24"/>
        </w:rPr>
        <w:t xml:space="preserve"> and expanded for another </w:t>
      </w:r>
      <w:r>
        <w:rPr>
          <w:rFonts w:ascii="Times New Roman" w:eastAsia="Minion Pro" w:hAnsi="Times New Roman" w:cs="Times New Roman"/>
          <w:color w:val="000000"/>
          <w:kern w:val="0"/>
          <w:sz w:val="24"/>
          <w:szCs w:val="24"/>
        </w:rPr>
        <w:t>3-</w:t>
      </w:r>
      <w:r w:rsidRPr="00721D97">
        <w:rPr>
          <w:rFonts w:ascii="Times New Roman" w:eastAsia="Minion Pro" w:hAnsi="Times New Roman" w:cs="Times New Roman"/>
          <w:color w:val="000000"/>
          <w:kern w:val="0"/>
          <w:sz w:val="24"/>
          <w:szCs w:val="24"/>
        </w:rPr>
        <w:t>7 days, then treated with</w:t>
      </w:r>
      <w:bookmarkStart w:id="3" w:name="OLE_LINK23"/>
      <w:bookmarkStart w:id="4" w:name="OLE_LINK26"/>
      <w:r w:rsidRPr="00721D97">
        <w:rPr>
          <w:rFonts w:ascii="Times New Roman" w:eastAsia="Minion Pro" w:hAnsi="Times New Roman" w:cs="Times New Roman"/>
          <w:color w:val="000000"/>
          <w:kern w:val="0"/>
          <w:sz w:val="24"/>
          <w:szCs w:val="24"/>
        </w:rPr>
        <w:t xml:space="preserve"> Nalm6</w:t>
      </w:r>
      <w:bookmarkEnd w:id="3"/>
      <w:bookmarkEnd w:id="4"/>
      <w:r w:rsidRPr="00721D97">
        <w:rPr>
          <w:rFonts w:ascii="Times New Roman" w:eastAsia="Minion Pro" w:hAnsi="Times New Roman" w:cs="Times New Roman"/>
          <w:color w:val="000000"/>
          <w:kern w:val="0"/>
          <w:sz w:val="24"/>
          <w:szCs w:val="24"/>
        </w:rPr>
        <w:t xml:space="preserve"> at</w:t>
      </w:r>
      <w:r w:rsidRPr="000B0B55">
        <w:rPr>
          <w:rFonts w:ascii="Times New Roman" w:eastAsia="Minion Pro" w:hAnsi="Times New Roman" w:cs="Times New Roman"/>
          <w:color w:val="000000"/>
          <w:kern w:val="0"/>
          <w:sz w:val="24"/>
          <w:szCs w:val="24"/>
        </w:rPr>
        <w:t xml:space="preserve"> the ratio of Nalm6 to CART 1:1</w:t>
      </w:r>
      <w:r>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for 48</w:t>
      </w:r>
      <w:r>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 xml:space="preserve">hours, and then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was added </w:t>
      </w:r>
      <w:r>
        <w:rPr>
          <w:rFonts w:ascii="Times New Roman" w:eastAsia="Minion Pro" w:hAnsi="Times New Roman" w:cs="Times New Roman"/>
          <w:color w:val="000000"/>
          <w:kern w:val="0"/>
          <w:sz w:val="24"/>
          <w:szCs w:val="24"/>
        </w:rPr>
        <w:t xml:space="preserve">for </w:t>
      </w:r>
      <w:r w:rsidRPr="00721D97">
        <w:rPr>
          <w:rFonts w:ascii="Times New Roman" w:eastAsia="Minion Pro" w:hAnsi="Times New Roman" w:cs="Times New Roman"/>
          <w:color w:val="000000"/>
          <w:kern w:val="0"/>
          <w:sz w:val="24"/>
          <w:szCs w:val="24"/>
        </w:rPr>
        <w:t>another 72</w:t>
      </w:r>
      <w:r>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hours.</w:t>
      </w:r>
      <w:r>
        <w:rPr>
          <w:rFonts w:ascii="Times New Roman" w:eastAsia="Minion Pro" w:hAnsi="Times New Roman" w:cs="Times New Roman"/>
          <w:color w:val="000000"/>
          <w:kern w:val="0"/>
          <w:sz w:val="24"/>
          <w:szCs w:val="24"/>
        </w:rPr>
        <w:t xml:space="preserve"> A</w:t>
      </w:r>
      <w:r>
        <w:rPr>
          <w:rFonts w:ascii="Times New Roman" w:eastAsia="Minion Pro" w:hAnsi="Times New Roman" w:cs="Times New Roman" w:hint="eastAsia"/>
          <w:color w:val="000000"/>
          <w:kern w:val="0"/>
          <w:sz w:val="24"/>
          <w:szCs w:val="24"/>
        </w:rPr>
        <w:t>ll</w:t>
      </w:r>
      <w:r>
        <w:rPr>
          <w:rFonts w:ascii="Times New Roman" w:eastAsia="Minion Pro" w:hAnsi="Times New Roman" w:cs="Times New Roman"/>
          <w:color w:val="000000"/>
          <w:kern w:val="0"/>
          <w:sz w:val="24"/>
          <w:szCs w:val="24"/>
        </w:rPr>
        <w:t xml:space="preserve"> TKI</w:t>
      </w:r>
      <w:r>
        <w:rPr>
          <w:rFonts w:ascii="Times New Roman" w:eastAsia="Minion Pro" w:hAnsi="Times New Roman" w:cs="Times New Roman" w:hint="eastAsia"/>
          <w:color w:val="000000"/>
          <w:kern w:val="0"/>
          <w:sz w:val="24"/>
          <w:szCs w:val="24"/>
        </w:rPr>
        <w:t>s</w:t>
      </w:r>
      <w:r>
        <w:rPr>
          <w:rFonts w:ascii="Times New Roman" w:eastAsia="Minion Pro" w:hAnsi="Times New Roman" w:cs="Times New Roman"/>
          <w:color w:val="000000"/>
          <w:kern w:val="0"/>
          <w:sz w:val="24"/>
          <w:szCs w:val="24"/>
        </w:rPr>
        <w:t xml:space="preserve"> were dissolved in DMSO (S</w:t>
      </w:r>
      <w:r>
        <w:rPr>
          <w:rFonts w:ascii="Times New Roman" w:eastAsia="Minion Pro" w:hAnsi="Times New Roman" w:cs="Times New Roman" w:hint="eastAsia"/>
          <w:color w:val="000000"/>
          <w:kern w:val="0"/>
          <w:sz w:val="24"/>
          <w:szCs w:val="24"/>
        </w:rPr>
        <w:t>igma</w:t>
      </w:r>
      <w:r>
        <w:rPr>
          <w:rFonts w:ascii="Times New Roman" w:eastAsia="Minion Pro" w:hAnsi="Times New Roman" w:cs="Times New Roman"/>
          <w:color w:val="000000"/>
          <w:kern w:val="0"/>
          <w:sz w:val="24"/>
          <w:szCs w:val="24"/>
        </w:rPr>
        <w:t>)</w:t>
      </w:r>
      <w:r w:rsidRPr="00F21EEA">
        <w:rPr>
          <w:rFonts w:ascii="Times New Roman" w:eastAsia="Minion Pro" w:hAnsi="Times New Roman" w:cs="Times New Roman"/>
          <w:color w:val="000000"/>
          <w:kern w:val="0"/>
          <w:sz w:val="24"/>
          <w:szCs w:val="24"/>
        </w:rPr>
        <w:t xml:space="preserve"> </w:t>
      </w:r>
      <w:r>
        <w:rPr>
          <w:rFonts w:ascii="Times New Roman" w:eastAsia="Minion Pro" w:hAnsi="Times New Roman" w:cs="Times New Roman"/>
          <w:color w:val="000000"/>
          <w:kern w:val="0"/>
          <w:sz w:val="24"/>
          <w:szCs w:val="24"/>
        </w:rPr>
        <w:t xml:space="preserve">and </w:t>
      </w:r>
      <w:r w:rsidRPr="00F21EEA">
        <w:rPr>
          <w:rFonts w:ascii="Times New Roman" w:eastAsia="Minion Pro" w:hAnsi="Times New Roman" w:cs="Times New Roman"/>
          <w:color w:val="000000"/>
          <w:kern w:val="0"/>
          <w:sz w:val="24"/>
          <w:szCs w:val="24"/>
        </w:rPr>
        <w:t>prepared in different concentrations</w:t>
      </w:r>
      <w:r>
        <w:rPr>
          <w:rFonts w:ascii="Times New Roman" w:eastAsia="Minion Pro" w:hAnsi="Times New Roman" w:cs="Times New Roman"/>
          <w:color w:val="000000"/>
          <w:kern w:val="0"/>
          <w:sz w:val="24"/>
          <w:szCs w:val="24"/>
        </w:rPr>
        <w:t>. And</w:t>
      </w:r>
      <w:r w:rsidRPr="00F21EEA">
        <w:rPr>
          <w:rFonts w:ascii="Times New Roman" w:eastAsia="Minion Pro" w:hAnsi="Times New Roman" w:cs="Times New Roman"/>
          <w:color w:val="000000"/>
          <w:kern w:val="0"/>
          <w:sz w:val="24"/>
          <w:szCs w:val="24"/>
        </w:rPr>
        <w:t xml:space="preserve"> equivalent volume of DMSO to TKIs </w:t>
      </w:r>
      <w:r>
        <w:rPr>
          <w:rFonts w:ascii="Times New Roman" w:eastAsia="Minion Pro" w:hAnsi="Times New Roman" w:cs="Times New Roman"/>
          <w:color w:val="000000"/>
          <w:kern w:val="0"/>
          <w:sz w:val="24"/>
          <w:szCs w:val="24"/>
        </w:rPr>
        <w:t xml:space="preserve">was used </w:t>
      </w:r>
      <w:r w:rsidRPr="00F21EEA">
        <w:rPr>
          <w:rFonts w:ascii="Times New Roman" w:eastAsia="Minion Pro" w:hAnsi="Times New Roman" w:cs="Times New Roman"/>
          <w:color w:val="000000"/>
          <w:kern w:val="0"/>
          <w:sz w:val="24"/>
          <w:szCs w:val="24"/>
        </w:rPr>
        <w:t>in control</w:t>
      </w:r>
      <w:r>
        <w:rPr>
          <w:rFonts w:ascii="Times New Roman" w:eastAsia="Minion Pro" w:hAnsi="Times New Roman" w:cs="Times New Roman"/>
          <w:color w:val="000000"/>
          <w:kern w:val="0"/>
          <w:sz w:val="24"/>
          <w:szCs w:val="24"/>
        </w:rPr>
        <w:t xml:space="preserve">. </w:t>
      </w:r>
    </w:p>
    <w:p w14:paraId="66A0F6CA"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t>Flow cytometry</w:t>
      </w:r>
    </w:p>
    <w:p w14:paraId="48288FE1" w14:textId="77777777" w:rsidR="00DE54BF" w:rsidRPr="00731509" w:rsidRDefault="00DE54BF" w:rsidP="008A4288">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For ex vivo experiment </w:t>
      </w:r>
      <w:r w:rsidRPr="00731509">
        <w:rPr>
          <w:rFonts w:ascii="Times New Roman" w:hAnsi="Times New Roman" w:cs="Times New Roman"/>
          <w:sz w:val="24"/>
          <w:szCs w:val="24"/>
        </w:rPr>
        <w:t>CART cells were stained with following conjugated antibodies: Annexin V, CD3, CD19, CD25, CD69, PD1, TIM3, LAG3, CD45RO, CD62L and matched isotype controls</w:t>
      </w:r>
      <w:r>
        <w:rPr>
          <w:rFonts w:ascii="Times New Roman" w:hAnsi="Times New Roman" w:cs="Times New Roman"/>
          <w:sz w:val="24"/>
          <w:szCs w:val="24"/>
        </w:rPr>
        <w:t xml:space="preserve"> (</w:t>
      </w:r>
      <w:proofErr w:type="spellStart"/>
      <w:r>
        <w:rPr>
          <w:rFonts w:ascii="Times New Roman" w:hAnsi="Times New Roman" w:cs="Times New Roman"/>
          <w:sz w:val="24"/>
          <w:szCs w:val="24"/>
        </w:rPr>
        <w:t>Biolegend</w:t>
      </w:r>
      <w:proofErr w:type="spellEnd"/>
      <w:r>
        <w:rPr>
          <w:rFonts w:ascii="Times New Roman" w:hAnsi="Times New Roman" w:cs="Times New Roman"/>
          <w:sz w:val="24"/>
          <w:szCs w:val="24"/>
        </w:rPr>
        <w:t xml:space="preserve">). </w:t>
      </w:r>
      <w:proofErr w:type="spellStart"/>
      <w:r w:rsidRPr="00731509">
        <w:rPr>
          <w:rFonts w:ascii="Times New Roman" w:hAnsi="Times New Roman" w:cs="Times New Roman"/>
          <w:sz w:val="24"/>
          <w:szCs w:val="24"/>
        </w:rPr>
        <w:t>CytoFLEX</w:t>
      </w:r>
      <w:proofErr w:type="spellEnd"/>
      <w:r>
        <w:rPr>
          <w:rFonts w:ascii="Times New Roman" w:hAnsi="Times New Roman" w:cs="Times New Roman"/>
          <w:sz w:val="24"/>
          <w:szCs w:val="24"/>
        </w:rPr>
        <w:t xml:space="preserve"> </w:t>
      </w:r>
      <w:r w:rsidRPr="00731509">
        <w:rPr>
          <w:rFonts w:ascii="Times New Roman" w:hAnsi="Times New Roman" w:cs="Times New Roman"/>
          <w:sz w:val="24"/>
          <w:szCs w:val="24"/>
        </w:rPr>
        <w:t xml:space="preserve">(Beckman) was used with </w:t>
      </w:r>
      <w:proofErr w:type="spellStart"/>
      <w:r w:rsidRPr="00731509">
        <w:rPr>
          <w:rFonts w:ascii="Times New Roman" w:hAnsi="Times New Roman" w:cs="Times New Roman"/>
          <w:sz w:val="24"/>
          <w:szCs w:val="24"/>
        </w:rPr>
        <w:t>FlowJo</w:t>
      </w:r>
      <w:proofErr w:type="spellEnd"/>
      <w:r w:rsidRPr="00731509">
        <w:rPr>
          <w:rFonts w:ascii="Times New Roman" w:hAnsi="Times New Roman" w:cs="Times New Roman"/>
          <w:sz w:val="24"/>
          <w:szCs w:val="24"/>
        </w:rPr>
        <w:t xml:space="preserve"> 7.6 software for analysis. All FACS plots presenting CART cell phenotype data were conducted on gated GFP or </w:t>
      </w:r>
      <w:proofErr w:type="spellStart"/>
      <w:r w:rsidRPr="00731509">
        <w:rPr>
          <w:rFonts w:ascii="Times New Roman" w:hAnsi="Times New Roman" w:cs="Times New Roman"/>
          <w:sz w:val="24"/>
          <w:szCs w:val="24"/>
        </w:rPr>
        <w:t>mCherry</w:t>
      </w:r>
      <w:proofErr w:type="spellEnd"/>
      <w:r w:rsidRPr="00731509">
        <w:rPr>
          <w:rFonts w:ascii="Times New Roman" w:hAnsi="Times New Roman" w:cs="Times New Roman"/>
          <w:sz w:val="24"/>
          <w:szCs w:val="24"/>
        </w:rPr>
        <w:t xml:space="preserve"> positive CART cells. </w:t>
      </w:r>
      <w:bookmarkStart w:id="5" w:name="OLE_LINK8"/>
      <w:r w:rsidRPr="00731509">
        <w:rPr>
          <w:rFonts w:ascii="Times New Roman" w:hAnsi="Times New Roman" w:cs="Times New Roman"/>
          <w:sz w:val="24"/>
          <w:szCs w:val="24"/>
        </w:rPr>
        <w:t xml:space="preserve">Positive/Negative populations were determined by isotype. </w:t>
      </w:r>
      <w:bookmarkEnd w:id="5"/>
      <w:r w:rsidRPr="00731509">
        <w:rPr>
          <w:rFonts w:ascii="Times New Roman" w:hAnsi="Times New Roman" w:cs="Times New Roman"/>
          <w:sz w:val="24"/>
          <w:szCs w:val="24"/>
        </w:rPr>
        <w:t>The subsets of CART cells were defined as TN (CD45RO</w:t>
      </w:r>
      <w:r w:rsidRPr="00731509">
        <w:rPr>
          <w:rFonts w:ascii="Times New Roman" w:eastAsia="微软雅黑" w:hAnsi="Times New Roman" w:cs="Times New Roman"/>
          <w:sz w:val="24"/>
          <w:szCs w:val="24"/>
        </w:rPr>
        <w:t>−</w:t>
      </w:r>
      <w:r w:rsidRPr="00731509">
        <w:rPr>
          <w:rFonts w:ascii="Times New Roman" w:hAnsi="Times New Roman" w:cs="Times New Roman"/>
          <w:sz w:val="24"/>
          <w:szCs w:val="24"/>
        </w:rPr>
        <w:t>/CD62L+), TCM (CD45RO+/CD62L+), TEM (CD45RO+/CD62L</w:t>
      </w:r>
      <w:r w:rsidRPr="00731509">
        <w:rPr>
          <w:rFonts w:ascii="Times New Roman" w:eastAsia="微软雅黑" w:hAnsi="Times New Roman" w:cs="Times New Roman"/>
          <w:sz w:val="24"/>
          <w:szCs w:val="24"/>
        </w:rPr>
        <w:t>−</w:t>
      </w:r>
      <w:r w:rsidRPr="00731509">
        <w:rPr>
          <w:rFonts w:ascii="Times New Roman" w:hAnsi="Times New Roman" w:cs="Times New Roman"/>
          <w:sz w:val="24"/>
          <w:szCs w:val="24"/>
        </w:rPr>
        <w:t>) and TE(CD45RO</w:t>
      </w:r>
      <w:r w:rsidRPr="00731509">
        <w:rPr>
          <w:rFonts w:ascii="Times New Roman" w:eastAsia="微软雅黑" w:hAnsi="Times New Roman" w:cs="Times New Roman"/>
          <w:sz w:val="24"/>
          <w:szCs w:val="24"/>
        </w:rPr>
        <w:t>−</w:t>
      </w:r>
      <w:r w:rsidRPr="00731509">
        <w:rPr>
          <w:rFonts w:ascii="Times New Roman" w:hAnsi="Times New Roman" w:cs="Times New Roman"/>
          <w:sz w:val="24"/>
          <w:szCs w:val="24"/>
        </w:rPr>
        <w:t>/CD62L</w:t>
      </w:r>
      <w:r w:rsidRPr="00731509">
        <w:rPr>
          <w:rFonts w:ascii="Times New Roman" w:eastAsia="微软雅黑" w:hAnsi="Times New Roman" w:cs="Times New Roman"/>
          <w:sz w:val="24"/>
          <w:szCs w:val="24"/>
        </w:rPr>
        <w:t>−</w:t>
      </w:r>
      <w:r w:rsidRPr="00731509">
        <w:rPr>
          <w:rFonts w:ascii="Times New Roman" w:hAnsi="Times New Roman" w:cs="Times New Roman"/>
          <w:sz w:val="24"/>
          <w:szCs w:val="24"/>
        </w:rPr>
        <w:t xml:space="preserve">). Flow sorting was performed on gated GFP or </w:t>
      </w:r>
      <w:proofErr w:type="spellStart"/>
      <w:r w:rsidRPr="00731509">
        <w:rPr>
          <w:rFonts w:ascii="Times New Roman" w:hAnsi="Times New Roman" w:cs="Times New Roman"/>
          <w:sz w:val="24"/>
          <w:szCs w:val="24"/>
        </w:rPr>
        <w:t>mCherry</w:t>
      </w:r>
      <w:proofErr w:type="spellEnd"/>
      <w:r w:rsidRPr="00731509">
        <w:rPr>
          <w:rFonts w:ascii="Times New Roman" w:hAnsi="Times New Roman" w:cs="Times New Roman"/>
          <w:sz w:val="24"/>
          <w:szCs w:val="24"/>
        </w:rPr>
        <w:t xml:space="preserve"> positive CART cells with a Beckman </w:t>
      </w:r>
      <w:proofErr w:type="spellStart"/>
      <w:r w:rsidRPr="00731509">
        <w:rPr>
          <w:rFonts w:ascii="Times New Roman" w:hAnsi="Times New Roman" w:cs="Times New Roman"/>
          <w:sz w:val="24"/>
          <w:szCs w:val="24"/>
        </w:rPr>
        <w:t>moflo</w:t>
      </w:r>
      <w:proofErr w:type="spellEnd"/>
      <w:r w:rsidRPr="00731509">
        <w:rPr>
          <w:rFonts w:ascii="Times New Roman" w:hAnsi="Times New Roman" w:cs="Times New Roman"/>
          <w:sz w:val="24"/>
          <w:szCs w:val="24"/>
        </w:rPr>
        <w:t xml:space="preserve"> </w:t>
      </w:r>
      <w:proofErr w:type="spellStart"/>
      <w:r w:rsidRPr="00731509">
        <w:rPr>
          <w:rFonts w:ascii="Times New Roman" w:hAnsi="Times New Roman" w:cs="Times New Roman"/>
          <w:sz w:val="24"/>
          <w:szCs w:val="24"/>
        </w:rPr>
        <w:t>Astrios</w:t>
      </w:r>
      <w:proofErr w:type="spellEnd"/>
      <w:r w:rsidRPr="00731509">
        <w:rPr>
          <w:rFonts w:ascii="Times New Roman" w:hAnsi="Times New Roman" w:cs="Times New Roman"/>
          <w:sz w:val="24"/>
          <w:szCs w:val="24"/>
        </w:rPr>
        <w:t xml:space="preserve"> EQ (Beckman).</w:t>
      </w:r>
    </w:p>
    <w:p w14:paraId="5724852D"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lastRenderedPageBreak/>
        <w:t>Co-culture killing assay</w:t>
      </w:r>
    </w:p>
    <w:p w14:paraId="2F15F267"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CART cell cytolytic ability w</w:t>
      </w:r>
      <w:r>
        <w:rPr>
          <w:rFonts w:ascii="Times New Roman" w:eastAsia="Minion Pro" w:hAnsi="Times New Roman" w:cs="Times New Roman"/>
          <w:color w:val="000000"/>
          <w:kern w:val="0"/>
          <w:sz w:val="24"/>
          <w:szCs w:val="24"/>
        </w:rPr>
        <w:t>as</w:t>
      </w:r>
      <w:r w:rsidRPr="00721D97">
        <w:rPr>
          <w:rFonts w:ascii="Times New Roman" w:eastAsia="Minion Pro" w:hAnsi="Times New Roman" w:cs="Times New Roman"/>
          <w:color w:val="000000"/>
          <w:kern w:val="0"/>
          <w:sz w:val="24"/>
          <w:szCs w:val="24"/>
        </w:rPr>
        <w:t xml:space="preserve"> evaluated by</w:t>
      </w:r>
      <w:bookmarkStart w:id="6" w:name="_Hlk47471954"/>
      <w:r w:rsidRPr="00721D97">
        <w:rPr>
          <w:rFonts w:ascii="Times New Roman" w:eastAsia="Minion Pro" w:hAnsi="Times New Roman" w:cs="Times New Roman"/>
          <w:color w:val="000000"/>
          <w:kern w:val="0"/>
          <w:sz w:val="24"/>
          <w:szCs w:val="24"/>
        </w:rPr>
        <w:t xml:space="preserve"> Luciferase based cytotoxicity assay</w:t>
      </w:r>
      <w:bookmarkEnd w:id="6"/>
      <w:r w:rsidRPr="00721D97">
        <w:rPr>
          <w:rFonts w:ascii="Times New Roman" w:eastAsia="Minion Pro" w:hAnsi="Times New Roman" w:cs="Times New Roman"/>
          <w:color w:val="000000"/>
          <w:kern w:val="0"/>
          <w:sz w:val="24"/>
          <w:szCs w:val="24"/>
        </w:rPr>
        <w:t xml:space="preserve">. Target luciferase expressing NALM6 </w:t>
      </w:r>
      <w:r>
        <w:rPr>
          <w:rFonts w:ascii="Times New Roman" w:eastAsia="Minion Pro" w:hAnsi="Times New Roman" w:cs="Times New Roman"/>
          <w:color w:val="000000"/>
          <w:kern w:val="0"/>
          <w:sz w:val="24"/>
          <w:szCs w:val="24"/>
        </w:rPr>
        <w:t xml:space="preserve">cells </w:t>
      </w:r>
      <w:r w:rsidRPr="00721D97">
        <w:rPr>
          <w:rFonts w:ascii="Times New Roman" w:eastAsia="Minion Pro" w:hAnsi="Times New Roman" w:cs="Times New Roman"/>
          <w:color w:val="000000"/>
          <w:kern w:val="0"/>
          <w:sz w:val="24"/>
          <w:szCs w:val="24"/>
        </w:rPr>
        <w:t>were co-incubated with CART cells for 4 hours at effector-to-target (</w:t>
      </w:r>
      <w:proofErr w:type="gramStart"/>
      <w:r w:rsidRPr="00721D97">
        <w:rPr>
          <w:rFonts w:ascii="Times New Roman" w:eastAsia="Minion Pro" w:hAnsi="Times New Roman" w:cs="Times New Roman"/>
          <w:color w:val="000000"/>
          <w:kern w:val="0"/>
          <w:sz w:val="24"/>
          <w:szCs w:val="24"/>
        </w:rPr>
        <w:t>E:T</w:t>
      </w:r>
      <w:proofErr w:type="gramEnd"/>
      <w:r w:rsidRPr="00721D97">
        <w:rPr>
          <w:rFonts w:ascii="Times New Roman" w:eastAsia="Minion Pro" w:hAnsi="Times New Roman" w:cs="Times New Roman"/>
          <w:color w:val="000000"/>
          <w:kern w:val="0"/>
          <w:sz w:val="24"/>
          <w:szCs w:val="24"/>
        </w:rPr>
        <w:t>) ratios ranging from 1:1 to10:1. Harvest mixed cells and added with reagent of Bright-</w:t>
      </w:r>
      <w:proofErr w:type="spellStart"/>
      <w:r w:rsidRPr="00721D97">
        <w:rPr>
          <w:rFonts w:ascii="Times New Roman" w:eastAsia="Minion Pro" w:hAnsi="Times New Roman" w:cs="Times New Roman"/>
          <w:color w:val="000000"/>
          <w:kern w:val="0"/>
          <w:sz w:val="24"/>
          <w:szCs w:val="24"/>
        </w:rPr>
        <w:t>GloTM</w:t>
      </w:r>
      <w:proofErr w:type="spellEnd"/>
      <w:r w:rsidRPr="00721D97">
        <w:rPr>
          <w:rFonts w:ascii="Times New Roman" w:eastAsia="Minion Pro" w:hAnsi="Times New Roman" w:cs="Times New Roman"/>
          <w:color w:val="000000"/>
          <w:kern w:val="0"/>
          <w:sz w:val="24"/>
          <w:szCs w:val="24"/>
        </w:rPr>
        <w:t xml:space="preserve"> Luciferase Assay system (Promega) for 2 minutes to allow complete cell lysis, and measure the cell viability in a luminometer. Cytotoxicity efficiency was calculated as: lysis% = (T cell viability − CART cell viability)/ (T cell viability) × 100%.</w:t>
      </w:r>
    </w:p>
    <w:p w14:paraId="78013833"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t xml:space="preserve">Western blots </w:t>
      </w:r>
    </w:p>
    <w:p w14:paraId="61D5F41C"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 xml:space="preserve">CART cells were treated with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or imatinib for 15 min. 3×10</w:t>
      </w:r>
      <w:r w:rsidRPr="00721D97">
        <w:rPr>
          <w:rFonts w:ascii="Times New Roman" w:eastAsia="Minion Pro" w:hAnsi="Times New Roman" w:cs="Times New Roman"/>
          <w:color w:val="000000"/>
          <w:kern w:val="0"/>
          <w:sz w:val="24"/>
          <w:szCs w:val="24"/>
          <w:vertAlign w:val="superscript"/>
        </w:rPr>
        <w:t>6</w:t>
      </w:r>
      <w:r w:rsidRPr="00721D97">
        <w:rPr>
          <w:rFonts w:ascii="Times New Roman" w:eastAsia="Minion Pro" w:hAnsi="Times New Roman" w:cs="Times New Roman"/>
          <w:color w:val="000000"/>
          <w:kern w:val="0"/>
          <w:sz w:val="24"/>
          <w:szCs w:val="24"/>
        </w:rPr>
        <w:t xml:space="preserve"> washed cells were lysed in 100 </w:t>
      </w:r>
      <w:proofErr w:type="spellStart"/>
      <w:r w:rsidRPr="00721D97">
        <w:rPr>
          <w:rFonts w:ascii="Times New Roman" w:eastAsia="Minion Pro" w:hAnsi="Times New Roman" w:cs="Times New Roman"/>
          <w:color w:val="000000"/>
          <w:kern w:val="0"/>
          <w:sz w:val="24"/>
          <w:szCs w:val="24"/>
        </w:rPr>
        <w:t>μl</w:t>
      </w:r>
      <w:proofErr w:type="spellEnd"/>
      <w:r w:rsidRPr="00721D97">
        <w:rPr>
          <w:rFonts w:ascii="Times New Roman" w:eastAsia="Minion Pro" w:hAnsi="Times New Roman" w:cs="Times New Roman"/>
          <w:color w:val="000000"/>
          <w:kern w:val="0"/>
          <w:sz w:val="24"/>
          <w:szCs w:val="24"/>
        </w:rPr>
        <w:t xml:space="preserve"> of RIPA buffer (PBS, 1% NP40, 0.5% sodium deoxycholate, 0.1% sodium dodecyl sulfate) with 1×Complete EDTA-free protease inhibitor (Roche) and 0.5 mM sodium vanadate (New England </w:t>
      </w:r>
      <w:proofErr w:type="spellStart"/>
      <w:r w:rsidRPr="00721D97">
        <w:rPr>
          <w:rFonts w:ascii="Times New Roman" w:eastAsia="Minion Pro" w:hAnsi="Times New Roman" w:cs="Times New Roman"/>
          <w:color w:val="000000"/>
          <w:kern w:val="0"/>
          <w:sz w:val="24"/>
          <w:szCs w:val="24"/>
        </w:rPr>
        <w:t>BioLabs</w:t>
      </w:r>
      <w:proofErr w:type="spellEnd"/>
      <w:r w:rsidRPr="00721D97">
        <w:rPr>
          <w:rFonts w:ascii="Times New Roman" w:eastAsia="Minion Pro" w:hAnsi="Times New Roman" w:cs="Times New Roman"/>
          <w:color w:val="000000"/>
          <w:kern w:val="0"/>
          <w:sz w:val="24"/>
          <w:szCs w:val="24"/>
        </w:rPr>
        <w:t xml:space="preserve">), and then incubated for 30 min on ice. </w:t>
      </w:r>
      <w:bookmarkStart w:id="7" w:name="_Hlk35362147"/>
      <w:r w:rsidRPr="00721D97">
        <w:rPr>
          <w:rFonts w:ascii="Times New Roman" w:eastAsia="Minion Pro" w:hAnsi="Times New Roman" w:cs="Times New Roman"/>
          <w:color w:val="000000"/>
          <w:kern w:val="0"/>
          <w:sz w:val="24"/>
          <w:szCs w:val="24"/>
        </w:rPr>
        <w:t>Western blots were then performed on supernatants of centrifuged samples, using anti-</w:t>
      </w:r>
      <w:proofErr w:type="spellStart"/>
      <w:r w:rsidRPr="00721D97">
        <w:rPr>
          <w:rFonts w:ascii="Times New Roman" w:eastAsia="Minion Pro" w:hAnsi="Times New Roman" w:cs="Times New Roman"/>
          <w:color w:val="000000"/>
          <w:kern w:val="0"/>
          <w:sz w:val="24"/>
          <w:szCs w:val="24"/>
        </w:rPr>
        <w:t>Src</w:t>
      </w:r>
      <w:proofErr w:type="spellEnd"/>
      <w:r w:rsidRPr="00721D97">
        <w:rPr>
          <w:rFonts w:ascii="Times New Roman" w:eastAsia="Minion Pro" w:hAnsi="Times New Roman" w:cs="Times New Roman"/>
          <w:color w:val="000000"/>
          <w:kern w:val="0"/>
          <w:sz w:val="24"/>
          <w:szCs w:val="24"/>
        </w:rPr>
        <w:t xml:space="preserve"> antibody and </w:t>
      </w:r>
      <w:r w:rsidRPr="00731509">
        <w:rPr>
          <w:rFonts w:ascii="Times New Roman" w:hAnsi="Times New Roman" w:cs="Times New Roman"/>
          <w:sz w:val="24"/>
          <w:szCs w:val="24"/>
        </w:rPr>
        <w:t>anti-</w:t>
      </w:r>
      <w:r>
        <w:rPr>
          <w:rFonts w:ascii="Times New Roman" w:hAnsi="Times New Roman" w:cs="Times New Roman" w:hint="eastAsia"/>
          <w:sz w:val="24"/>
          <w:szCs w:val="24"/>
        </w:rPr>
        <w:t>p</w:t>
      </w:r>
      <w:r>
        <w:rPr>
          <w:rFonts w:ascii="Times New Roman" w:hAnsi="Times New Roman" w:cs="Times New Roman"/>
          <w:sz w:val="24"/>
          <w:szCs w:val="24"/>
        </w:rPr>
        <w:t>-</w:t>
      </w:r>
      <w:proofErr w:type="spellStart"/>
      <w:proofErr w:type="gramStart"/>
      <w:r w:rsidRPr="00731509">
        <w:rPr>
          <w:rFonts w:ascii="Times New Roman" w:hAnsi="Times New Roman" w:cs="Times New Roman"/>
          <w:sz w:val="24"/>
          <w:szCs w:val="24"/>
        </w:rPr>
        <w:t>Src</w:t>
      </w:r>
      <w:proofErr w:type="spellEnd"/>
      <w:r>
        <w:rPr>
          <w:rFonts w:ascii="Times New Roman" w:hAnsi="Times New Roman" w:cs="Times New Roman"/>
          <w:sz w:val="24"/>
          <w:szCs w:val="24"/>
        </w:rPr>
        <w:t>(</w:t>
      </w:r>
      <w:proofErr w:type="gramEnd"/>
      <w:r>
        <w:rPr>
          <w:rFonts w:ascii="Times New Roman" w:hAnsi="Times New Roman" w:cs="Times New Roman"/>
          <w:sz w:val="24"/>
          <w:szCs w:val="24"/>
        </w:rPr>
        <w:t>Tyr416)</w:t>
      </w:r>
      <w:r w:rsidRPr="00721D97">
        <w:rPr>
          <w:rFonts w:ascii="Times New Roman" w:eastAsia="Minion Pro" w:hAnsi="Times New Roman" w:cs="Times New Roman"/>
          <w:color w:val="000000"/>
          <w:kern w:val="0"/>
          <w:sz w:val="24"/>
          <w:szCs w:val="24"/>
        </w:rPr>
        <w:t xml:space="preserve"> antibody (Cell Signaling Technology), anti-</w:t>
      </w:r>
      <w:proofErr w:type="spellStart"/>
      <w:r w:rsidRPr="00721D97">
        <w:rPr>
          <w:rFonts w:ascii="Times New Roman" w:eastAsia="Minion Pro" w:hAnsi="Times New Roman" w:cs="Times New Roman"/>
          <w:color w:val="000000"/>
          <w:kern w:val="0"/>
          <w:sz w:val="24"/>
          <w:szCs w:val="24"/>
        </w:rPr>
        <w:t>Lck</w:t>
      </w:r>
      <w:proofErr w:type="spellEnd"/>
      <w:r w:rsidRPr="00721D97">
        <w:rPr>
          <w:rFonts w:ascii="Times New Roman" w:eastAsia="Minion Pro" w:hAnsi="Times New Roman" w:cs="Times New Roman"/>
          <w:color w:val="000000"/>
          <w:kern w:val="0"/>
          <w:sz w:val="24"/>
          <w:szCs w:val="24"/>
        </w:rPr>
        <w:t xml:space="preserve"> and</w:t>
      </w:r>
      <w:r w:rsidRPr="00731509">
        <w:rPr>
          <w:rFonts w:ascii="Times New Roman" w:hAnsi="Times New Roman" w:cs="Times New Roman"/>
          <w:sz w:val="24"/>
          <w:szCs w:val="24"/>
        </w:rPr>
        <w:t xml:space="preserve"> anti-p</w:t>
      </w:r>
      <w:r>
        <w:rPr>
          <w:rFonts w:ascii="Times New Roman" w:hAnsi="Times New Roman" w:cs="Times New Roman" w:hint="eastAsia"/>
          <w:sz w:val="24"/>
          <w:szCs w:val="24"/>
        </w:rPr>
        <w:t>-</w:t>
      </w:r>
      <w:proofErr w:type="spellStart"/>
      <w:r w:rsidRPr="00731509">
        <w:rPr>
          <w:rFonts w:ascii="Times New Roman" w:hAnsi="Times New Roman" w:cs="Times New Roman"/>
          <w:sz w:val="24"/>
          <w:szCs w:val="24"/>
        </w:rPr>
        <w:t>Lck</w:t>
      </w:r>
      <w:proofErr w:type="spellEnd"/>
      <w:r>
        <w:rPr>
          <w:rFonts w:ascii="Times New Roman" w:hAnsi="Times New Roman" w:cs="Times New Roman"/>
          <w:sz w:val="24"/>
          <w:szCs w:val="24"/>
        </w:rPr>
        <w:t>(Tyr505)</w:t>
      </w:r>
      <w:r w:rsidRPr="00721D97">
        <w:rPr>
          <w:rFonts w:ascii="Times New Roman" w:eastAsia="Minion Pro" w:hAnsi="Times New Roman" w:cs="Times New Roman"/>
          <w:color w:val="FF0000"/>
          <w:kern w:val="0"/>
          <w:sz w:val="24"/>
          <w:szCs w:val="24"/>
        </w:rPr>
        <w:t xml:space="preserve"> </w:t>
      </w:r>
      <w:r w:rsidRPr="00721D97">
        <w:rPr>
          <w:rFonts w:ascii="Times New Roman" w:eastAsia="Minion Pro" w:hAnsi="Times New Roman" w:cs="Times New Roman"/>
          <w:color w:val="000000"/>
          <w:kern w:val="0"/>
          <w:sz w:val="24"/>
          <w:szCs w:val="24"/>
        </w:rPr>
        <w:t>antibody</w:t>
      </w:r>
      <w:bookmarkEnd w:id="7"/>
      <w:r w:rsidRPr="00721D97">
        <w:rPr>
          <w:rFonts w:ascii="Times New Roman" w:eastAsia="Minion Pro" w:hAnsi="Times New Roman" w:cs="Times New Roman"/>
          <w:color w:val="000000"/>
          <w:kern w:val="0"/>
          <w:sz w:val="24"/>
          <w:szCs w:val="24"/>
        </w:rPr>
        <w:t xml:space="preserve"> (Cell Signaling Technology) and </w:t>
      </w:r>
      <w:proofErr w:type="spellStart"/>
      <w:r w:rsidRPr="00721D97">
        <w:rPr>
          <w:rFonts w:ascii="Times New Roman" w:eastAsia="Minion Pro" w:hAnsi="Times New Roman" w:cs="Times New Roman"/>
          <w:color w:val="000000"/>
          <w:kern w:val="0"/>
          <w:sz w:val="24"/>
          <w:szCs w:val="24"/>
        </w:rPr>
        <w:t>CleanBlot</w:t>
      </w:r>
      <w:proofErr w:type="spellEnd"/>
      <w:r w:rsidRPr="00721D97">
        <w:rPr>
          <w:rFonts w:ascii="Times New Roman" w:eastAsia="Minion Pro" w:hAnsi="Times New Roman" w:cs="Times New Roman"/>
          <w:color w:val="000000"/>
          <w:kern w:val="0"/>
          <w:sz w:val="24"/>
          <w:szCs w:val="24"/>
        </w:rPr>
        <w:t xml:space="preserve">-IP Detection Reagent (Thermo Scientific). </w:t>
      </w:r>
    </w:p>
    <w:p w14:paraId="6802D27A"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t>Real-time PCR</w:t>
      </w:r>
    </w:p>
    <w:p w14:paraId="4F517945" w14:textId="77777777" w:rsidR="00DE54BF"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 xml:space="preserve">mRNA was extracted from control and treated CART cell groups according to the manufacturer’s protocol. And reversing transcribed into cDNA using the Super Script First-Strand Synthesis System (Life Technologies). All reactions were performed with TaqMan Fast Universal PCR Master Mix (Applied Biosystems) on an Applied Biosystems Step One Plus real-time PCR machine, using the following primers, </w:t>
      </w:r>
    </w:p>
    <w:p w14:paraId="03A63BF0" w14:textId="77777777" w:rsidR="00DE54BF"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T-bet</w:t>
      </w:r>
      <w:r>
        <w:rPr>
          <w:rFonts w:ascii="Times New Roman" w:eastAsia="Minion Pro" w:hAnsi="Times New Roman" w:cs="Times New Roman" w:hint="eastAsia"/>
          <w:color w:val="000000"/>
          <w:kern w:val="0"/>
          <w:sz w:val="24"/>
          <w:szCs w:val="24"/>
        </w:rPr>
        <w:t xml:space="preserve"> </w:t>
      </w:r>
      <w:r w:rsidRPr="00721D97">
        <w:rPr>
          <w:rFonts w:ascii="Times New Roman" w:eastAsia="Minion Pro" w:hAnsi="Times New Roman" w:cs="Times New Roman"/>
          <w:color w:val="000000"/>
          <w:kern w:val="0"/>
          <w:sz w:val="24"/>
          <w:szCs w:val="24"/>
        </w:rPr>
        <w:t>(F: GAAACCCAGTTCATTGCCGT, R: CCCCAAGGAATTGACAGTTG).</w:t>
      </w:r>
    </w:p>
    <w:p w14:paraId="1B5620EF" w14:textId="77777777" w:rsidR="00DE54BF" w:rsidRPr="00106A59"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106A59">
        <w:rPr>
          <w:rFonts w:ascii="Times New Roman" w:eastAsia="Minion Pro" w:hAnsi="Times New Roman" w:cs="Times New Roman"/>
          <w:color w:val="000000"/>
          <w:kern w:val="0"/>
          <w:sz w:val="24"/>
          <w:szCs w:val="24"/>
          <w:highlight w:val="yellow"/>
        </w:rPr>
        <w:t>TCF1(F: CTGGCTTCTACTCCCTGACCT, R:</w:t>
      </w:r>
      <w:r w:rsidRPr="00106A59">
        <w:rPr>
          <w:highlight w:val="yellow"/>
        </w:rPr>
        <w:t xml:space="preserve"> </w:t>
      </w:r>
      <w:r w:rsidRPr="00106A59">
        <w:rPr>
          <w:rFonts w:ascii="Times New Roman" w:eastAsia="Minion Pro" w:hAnsi="Times New Roman" w:cs="Times New Roman"/>
          <w:color w:val="000000"/>
          <w:kern w:val="0"/>
          <w:sz w:val="24"/>
          <w:szCs w:val="24"/>
          <w:highlight w:val="yellow"/>
        </w:rPr>
        <w:t>ACCAGAACCTAGCATCAAGGA).</w:t>
      </w:r>
    </w:p>
    <w:p w14:paraId="523A33E2"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bookmarkStart w:id="8" w:name="_Hlk31924244"/>
      <w:bookmarkStart w:id="9" w:name="OLE_LINK19"/>
      <w:r w:rsidRPr="00721D97">
        <w:rPr>
          <w:rFonts w:ascii="Times New Roman" w:eastAsia="Minion Pro" w:hAnsi="Times New Roman" w:cs="Times New Roman"/>
          <w:b/>
          <w:bCs/>
          <w:color w:val="000000"/>
          <w:kern w:val="0"/>
          <w:sz w:val="24"/>
          <w:szCs w:val="24"/>
        </w:rPr>
        <w:t>Murine xenograft models</w:t>
      </w:r>
      <w:bookmarkEnd w:id="8"/>
      <w:bookmarkEnd w:id="9"/>
    </w:p>
    <w:p w14:paraId="1DE554BF"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Pr>
          <w:rFonts w:ascii="Times New Roman" w:eastAsia="Minion Pro" w:hAnsi="Times New Roman" w:cs="Times New Roman"/>
          <w:color w:val="000000"/>
          <w:kern w:val="0"/>
          <w:sz w:val="24"/>
          <w:szCs w:val="24"/>
        </w:rPr>
        <w:t>M</w:t>
      </w:r>
      <w:r w:rsidRPr="00F67A74">
        <w:rPr>
          <w:rFonts w:ascii="Times New Roman" w:eastAsia="Minion Pro" w:hAnsi="Times New Roman" w:cs="Times New Roman"/>
          <w:color w:val="000000"/>
          <w:kern w:val="0"/>
          <w:sz w:val="24"/>
          <w:szCs w:val="24"/>
        </w:rPr>
        <w:t>ice were</w:t>
      </w:r>
      <w:r>
        <w:rPr>
          <w:rFonts w:ascii="Times New Roman" w:eastAsia="Minion Pro" w:hAnsi="Times New Roman" w:cs="Times New Roman"/>
          <w:color w:val="000000"/>
          <w:kern w:val="0"/>
          <w:sz w:val="24"/>
          <w:szCs w:val="24"/>
        </w:rPr>
        <w:t xml:space="preserve"> </w:t>
      </w:r>
      <w:r w:rsidRPr="00F67A74">
        <w:rPr>
          <w:rFonts w:ascii="Times New Roman" w:eastAsia="Minion Pro" w:hAnsi="Times New Roman" w:cs="Times New Roman"/>
          <w:color w:val="000000"/>
          <w:kern w:val="0"/>
          <w:sz w:val="24"/>
          <w:szCs w:val="24"/>
        </w:rPr>
        <w:t>randomly assigned into treatment groups</w:t>
      </w:r>
      <w:r w:rsidRPr="00521A4A">
        <w:rPr>
          <w:rFonts w:ascii="Times New Roman" w:eastAsia="Minion Pro" w:hAnsi="Times New Roman" w:cs="Times New Roman"/>
          <w:color w:val="000000"/>
          <w:kern w:val="0"/>
          <w:sz w:val="24"/>
          <w:szCs w:val="24"/>
        </w:rPr>
        <w:t xml:space="preserve"> </w:t>
      </w:r>
      <w:r>
        <w:rPr>
          <w:rFonts w:ascii="Times New Roman" w:eastAsia="Minion Pro" w:hAnsi="Times New Roman" w:cs="Times New Roman" w:hint="eastAsia"/>
          <w:color w:val="000000"/>
          <w:kern w:val="0"/>
          <w:sz w:val="24"/>
          <w:szCs w:val="24"/>
        </w:rPr>
        <w:t>and</w:t>
      </w:r>
      <w:r>
        <w:rPr>
          <w:rFonts w:ascii="Times New Roman" w:eastAsia="Minion Pro" w:hAnsi="Times New Roman" w:cs="Times New Roman"/>
          <w:color w:val="000000"/>
          <w:kern w:val="0"/>
          <w:sz w:val="24"/>
          <w:szCs w:val="24"/>
        </w:rPr>
        <w:t xml:space="preserve"> </w:t>
      </w:r>
      <w:r>
        <w:rPr>
          <w:rFonts w:ascii="Times New Roman" w:eastAsia="Minion Pro" w:hAnsi="Times New Roman" w:cs="Times New Roman" w:hint="eastAsia"/>
          <w:color w:val="000000"/>
          <w:kern w:val="0"/>
          <w:sz w:val="24"/>
          <w:szCs w:val="24"/>
        </w:rPr>
        <w:t>a</w:t>
      </w:r>
      <w:r w:rsidRPr="00721D97">
        <w:rPr>
          <w:rFonts w:ascii="Times New Roman" w:eastAsia="Minion Pro" w:hAnsi="Times New Roman" w:cs="Times New Roman"/>
          <w:color w:val="000000"/>
          <w:kern w:val="0"/>
          <w:sz w:val="24"/>
          <w:szCs w:val="24"/>
        </w:rPr>
        <w:t>ll experiments were performed with at least 5 mice per group</w:t>
      </w:r>
      <w:r w:rsidRPr="00F67A74">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The mice were injected with 1×10</w:t>
      </w:r>
      <w:r w:rsidRPr="00721D97">
        <w:rPr>
          <w:rFonts w:ascii="Times New Roman" w:eastAsia="Minion Pro" w:hAnsi="Times New Roman" w:cs="Times New Roman"/>
          <w:color w:val="000000"/>
          <w:kern w:val="0"/>
          <w:sz w:val="24"/>
          <w:szCs w:val="24"/>
          <w:vertAlign w:val="superscript"/>
        </w:rPr>
        <w:t>6</w:t>
      </w:r>
      <w:r w:rsidRPr="00721D97">
        <w:rPr>
          <w:rFonts w:ascii="Times New Roman" w:eastAsia="Minion Pro" w:hAnsi="Times New Roman" w:cs="Times New Roman"/>
          <w:color w:val="000000"/>
          <w:kern w:val="0"/>
          <w:sz w:val="24"/>
          <w:szCs w:val="24"/>
        </w:rPr>
        <w:t xml:space="preserve"> luciferase/GFP/Nalm6 cells though tail vein, and 1×10</w:t>
      </w:r>
      <w:r w:rsidRPr="00721D97">
        <w:rPr>
          <w:rFonts w:ascii="Times New Roman" w:eastAsia="Minion Pro" w:hAnsi="Times New Roman" w:cs="Times New Roman"/>
          <w:color w:val="000000"/>
          <w:kern w:val="0"/>
          <w:sz w:val="24"/>
          <w:szCs w:val="24"/>
          <w:vertAlign w:val="superscript"/>
        </w:rPr>
        <w:t>6</w:t>
      </w:r>
      <w:r w:rsidRPr="00721D97">
        <w:rPr>
          <w:rFonts w:ascii="Times New Roman" w:eastAsia="Minion Pro" w:hAnsi="Times New Roman" w:cs="Times New Roman"/>
          <w:color w:val="000000"/>
          <w:kern w:val="0"/>
          <w:sz w:val="24"/>
          <w:szCs w:val="24"/>
        </w:rPr>
        <w:t xml:space="preserve"> </w:t>
      </w:r>
      <w:proofErr w:type="spellStart"/>
      <w:r w:rsidRPr="00721D97">
        <w:rPr>
          <w:rFonts w:ascii="Times New Roman" w:eastAsia="Minion Pro" w:hAnsi="Times New Roman" w:cs="Times New Roman"/>
          <w:color w:val="000000"/>
          <w:kern w:val="0"/>
          <w:sz w:val="24"/>
          <w:szCs w:val="24"/>
        </w:rPr>
        <w:t>dasatinib</w:t>
      </w:r>
      <w:proofErr w:type="spellEnd"/>
      <w:r w:rsidRPr="00721D97">
        <w:rPr>
          <w:rFonts w:ascii="Times New Roman" w:eastAsia="Minion Pro" w:hAnsi="Times New Roman" w:cs="Times New Roman"/>
          <w:color w:val="000000"/>
          <w:kern w:val="0"/>
          <w:sz w:val="24"/>
          <w:szCs w:val="24"/>
        </w:rPr>
        <w:t xml:space="preserve"> treated or untreated </w:t>
      </w:r>
      <w:proofErr w:type="spellStart"/>
      <w:r w:rsidRPr="00721D97">
        <w:rPr>
          <w:rFonts w:ascii="Times New Roman" w:eastAsia="Minion Pro" w:hAnsi="Times New Roman" w:cs="Times New Roman"/>
          <w:color w:val="000000"/>
          <w:kern w:val="0"/>
          <w:sz w:val="24"/>
          <w:szCs w:val="24"/>
        </w:rPr>
        <w:t>mCherry</w:t>
      </w:r>
      <w:proofErr w:type="spellEnd"/>
      <w:r>
        <w:rPr>
          <w:rFonts w:ascii="Times New Roman" w:eastAsia="Minion Pro" w:hAnsi="Times New Roman" w:cs="Times New Roman"/>
          <w:color w:val="000000"/>
          <w:kern w:val="0"/>
          <w:sz w:val="24"/>
          <w:szCs w:val="24"/>
        </w:rPr>
        <w:t>/</w:t>
      </w:r>
      <w:r w:rsidRPr="00721D97">
        <w:rPr>
          <w:rFonts w:ascii="Times New Roman" w:eastAsia="Minion Pro" w:hAnsi="Times New Roman" w:cs="Times New Roman"/>
          <w:color w:val="000000"/>
          <w:kern w:val="0"/>
          <w:sz w:val="24"/>
          <w:szCs w:val="24"/>
        </w:rPr>
        <w:t>CART cells were administered 5 days later. Tumor burden was determined by bioluminescent imaging system (</w:t>
      </w:r>
      <w:r w:rsidRPr="008A1156">
        <w:rPr>
          <w:rFonts w:ascii="Times New Roman" w:eastAsia="Minion Pro" w:hAnsi="Times New Roman" w:cs="Times New Roman"/>
          <w:color w:val="000000"/>
          <w:kern w:val="0"/>
          <w:sz w:val="24"/>
          <w:szCs w:val="24"/>
        </w:rPr>
        <w:t xml:space="preserve">IVIS </w:t>
      </w:r>
      <w:proofErr w:type="spellStart"/>
      <w:r w:rsidRPr="008A1156">
        <w:rPr>
          <w:rFonts w:ascii="Times New Roman" w:eastAsia="Minion Pro" w:hAnsi="Times New Roman" w:cs="Times New Roman"/>
          <w:color w:val="000000"/>
          <w:kern w:val="0"/>
          <w:sz w:val="24"/>
          <w:szCs w:val="24"/>
        </w:rPr>
        <w:t>Luminu</w:t>
      </w:r>
      <w:proofErr w:type="spellEnd"/>
      <w:r w:rsidRPr="008A1156">
        <w:rPr>
          <w:rFonts w:ascii="Times New Roman" w:eastAsia="Minion Pro" w:hAnsi="Times New Roman" w:cs="Times New Roman"/>
          <w:color w:val="000000"/>
          <w:kern w:val="0"/>
          <w:sz w:val="24"/>
          <w:szCs w:val="24"/>
        </w:rPr>
        <w:t xml:space="preserve"> III,</w:t>
      </w:r>
      <w:r>
        <w:rPr>
          <w:rFonts w:ascii="Times New Roman" w:eastAsia="Minion Pro" w:hAnsi="Times New Roman" w:cs="Times New Roman"/>
          <w:color w:val="000000"/>
          <w:kern w:val="0"/>
          <w:sz w:val="24"/>
          <w:szCs w:val="24"/>
        </w:rPr>
        <w:t xml:space="preserve"> </w:t>
      </w:r>
      <w:r w:rsidRPr="00721D97">
        <w:rPr>
          <w:rFonts w:ascii="Times New Roman" w:eastAsia="Minion Pro" w:hAnsi="Times New Roman" w:cs="Times New Roman"/>
          <w:color w:val="000000"/>
          <w:kern w:val="0"/>
          <w:sz w:val="24"/>
          <w:szCs w:val="24"/>
        </w:rPr>
        <w:t>Perkin-Elmer) 24 hours prior to CART cells transfer</w:t>
      </w:r>
      <w:r>
        <w:rPr>
          <w:rFonts w:ascii="Times New Roman" w:eastAsia="Minion Pro" w:hAnsi="Times New Roman" w:cs="Times New Roman"/>
          <w:color w:val="000000"/>
          <w:kern w:val="0"/>
          <w:sz w:val="24"/>
          <w:szCs w:val="24"/>
        </w:rPr>
        <w:t xml:space="preserve"> and performed weekly</w:t>
      </w:r>
      <w:r w:rsidRPr="00721D97">
        <w:rPr>
          <w:rFonts w:ascii="Times New Roman" w:eastAsia="Minion Pro" w:hAnsi="Times New Roman" w:cs="Times New Roman"/>
          <w:color w:val="000000"/>
          <w:kern w:val="0"/>
          <w:sz w:val="24"/>
          <w:szCs w:val="24"/>
        </w:rPr>
        <w:t xml:space="preserve">. Peripheral blood was harvested at 7 days after CART cells administration and analyzed by flow cytometry. </w:t>
      </w:r>
    </w:p>
    <w:p w14:paraId="01F0EF98"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lastRenderedPageBreak/>
        <w:t>Sample preparation and data analysis for RNA-sequencing</w:t>
      </w:r>
    </w:p>
    <w:p w14:paraId="13244348"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color w:val="000000"/>
          <w:kern w:val="0"/>
          <w:sz w:val="24"/>
          <w:szCs w:val="24"/>
        </w:rPr>
      </w:pPr>
      <w:r w:rsidRPr="00721D97">
        <w:rPr>
          <w:rFonts w:ascii="Times New Roman" w:eastAsia="Minion Pro" w:hAnsi="Times New Roman" w:cs="Times New Roman"/>
          <w:color w:val="000000"/>
          <w:kern w:val="0"/>
          <w:sz w:val="24"/>
          <w:szCs w:val="24"/>
        </w:rPr>
        <w:t xml:space="preserve">Total RNA was extracted from CART cells in </w:t>
      </w:r>
      <w:bookmarkStart w:id="10" w:name="OLE_LINK7"/>
      <w:r w:rsidRPr="00721D97">
        <w:rPr>
          <w:rFonts w:ascii="Times New Roman" w:eastAsia="Minion Pro" w:hAnsi="Times New Roman" w:cs="Times New Roman"/>
          <w:color w:val="000000"/>
          <w:kern w:val="0"/>
          <w:sz w:val="24"/>
          <w:szCs w:val="24"/>
        </w:rPr>
        <w:t>control and treatment groups</w:t>
      </w:r>
      <w:bookmarkEnd w:id="10"/>
      <w:r w:rsidRPr="00721D97">
        <w:rPr>
          <w:rFonts w:ascii="Times New Roman" w:eastAsia="Minion Pro" w:hAnsi="Times New Roman" w:cs="Times New Roman"/>
          <w:color w:val="000000"/>
          <w:kern w:val="0"/>
          <w:sz w:val="24"/>
          <w:szCs w:val="24"/>
        </w:rPr>
        <w:t xml:space="preserve"> according to the manufacturer’s protocol. cDNA libraries were constructed using the </w:t>
      </w:r>
      <w:proofErr w:type="spellStart"/>
      <w:r w:rsidRPr="00721D97">
        <w:rPr>
          <w:rFonts w:ascii="Times New Roman" w:eastAsia="Minion Pro" w:hAnsi="Times New Roman" w:cs="Times New Roman"/>
          <w:color w:val="000000"/>
          <w:kern w:val="0"/>
          <w:sz w:val="24"/>
          <w:szCs w:val="24"/>
        </w:rPr>
        <w:t>NEBNext</w:t>
      </w:r>
      <w:proofErr w:type="spellEnd"/>
      <w:r w:rsidRPr="00721D97">
        <w:rPr>
          <w:rFonts w:ascii="Times New Roman" w:eastAsia="Minion Pro" w:hAnsi="Times New Roman" w:cs="Times New Roman"/>
          <w:color w:val="000000"/>
          <w:kern w:val="0"/>
          <w:sz w:val="24"/>
          <w:szCs w:val="24"/>
        </w:rPr>
        <w:t xml:space="preserve">® </w:t>
      </w:r>
      <w:proofErr w:type="spellStart"/>
      <w:r w:rsidRPr="00721D97">
        <w:rPr>
          <w:rFonts w:ascii="Times New Roman" w:eastAsia="Minion Pro" w:hAnsi="Times New Roman" w:cs="Times New Roman"/>
          <w:color w:val="000000"/>
          <w:kern w:val="0"/>
          <w:sz w:val="24"/>
          <w:szCs w:val="24"/>
        </w:rPr>
        <w:t>UltraTM</w:t>
      </w:r>
      <w:proofErr w:type="spellEnd"/>
      <w:r w:rsidRPr="00721D97">
        <w:rPr>
          <w:rFonts w:ascii="Times New Roman" w:eastAsia="Minion Pro" w:hAnsi="Times New Roman" w:cs="Times New Roman"/>
          <w:color w:val="000000"/>
          <w:kern w:val="0"/>
          <w:sz w:val="24"/>
          <w:szCs w:val="24"/>
        </w:rPr>
        <w:t xml:space="preserve"> RNA Library Prep Kit (Illumina) and sequenced on an Illumina </w:t>
      </w:r>
      <w:proofErr w:type="spellStart"/>
      <w:r w:rsidRPr="00721D97">
        <w:rPr>
          <w:rFonts w:ascii="Times New Roman" w:eastAsia="Minion Pro" w:hAnsi="Times New Roman" w:cs="Times New Roman"/>
          <w:color w:val="000000"/>
          <w:kern w:val="0"/>
          <w:sz w:val="24"/>
          <w:szCs w:val="24"/>
        </w:rPr>
        <w:t>Hiseq</w:t>
      </w:r>
      <w:proofErr w:type="spellEnd"/>
      <w:r w:rsidRPr="00721D97">
        <w:rPr>
          <w:rFonts w:ascii="Times New Roman" w:eastAsia="Minion Pro" w:hAnsi="Times New Roman" w:cs="Times New Roman"/>
          <w:color w:val="000000"/>
          <w:kern w:val="0"/>
          <w:sz w:val="24"/>
          <w:szCs w:val="24"/>
        </w:rPr>
        <w:t xml:space="preserve"> platform and 150 bp paired-end reads were generated. Clean RNA-Seq reads for each sample were aligned to the human reference genome GRCh38 (ENSEMBL release 94) by HISAT2 with default </w:t>
      </w:r>
      <w:proofErr w:type="gramStart"/>
      <w:r w:rsidRPr="00721D97">
        <w:rPr>
          <w:rFonts w:ascii="Times New Roman" w:eastAsia="Minion Pro" w:hAnsi="Times New Roman" w:cs="Times New Roman"/>
          <w:color w:val="000000"/>
          <w:kern w:val="0"/>
          <w:sz w:val="24"/>
          <w:szCs w:val="24"/>
        </w:rPr>
        <w:t>setting</w:t>
      </w:r>
      <w:r>
        <w:rPr>
          <w:rFonts w:ascii="Times New Roman" w:eastAsia="Minion Pro" w:hAnsi="Times New Roman" w:cs="Times New Roman"/>
          <w:noProof/>
          <w:color w:val="000000"/>
          <w:kern w:val="0"/>
          <w:sz w:val="24"/>
          <w:szCs w:val="24"/>
        </w:rPr>
        <w:t>[</w:t>
      </w:r>
      <w:proofErr w:type="gramEnd"/>
      <w:r>
        <w:rPr>
          <w:rFonts w:ascii="Times New Roman" w:eastAsia="Minion Pro" w:hAnsi="Times New Roman" w:cs="Times New Roman"/>
          <w:noProof/>
          <w:color w:val="000000"/>
          <w:kern w:val="0"/>
          <w:sz w:val="24"/>
          <w:szCs w:val="24"/>
        </w:rPr>
        <w:t>2]</w:t>
      </w:r>
      <w:r w:rsidRPr="00721D97">
        <w:rPr>
          <w:rFonts w:ascii="Times New Roman" w:eastAsia="Minion Pro" w:hAnsi="Times New Roman" w:cs="Times New Roman"/>
          <w:color w:val="000000"/>
          <w:kern w:val="0"/>
          <w:sz w:val="24"/>
          <w:szCs w:val="24"/>
        </w:rPr>
        <w:t xml:space="preserve">. </w:t>
      </w:r>
      <w:proofErr w:type="spellStart"/>
      <w:r w:rsidRPr="00721D97">
        <w:rPr>
          <w:rFonts w:ascii="Times New Roman" w:eastAsia="Minion Pro" w:hAnsi="Times New Roman" w:cs="Times New Roman"/>
          <w:color w:val="000000"/>
          <w:kern w:val="0"/>
          <w:sz w:val="24"/>
          <w:szCs w:val="24"/>
        </w:rPr>
        <w:t>FeatureCounts</w:t>
      </w:r>
      <w:proofErr w:type="spellEnd"/>
      <w:r w:rsidRPr="00721D97">
        <w:rPr>
          <w:rFonts w:ascii="Times New Roman" w:eastAsia="Minion Pro" w:hAnsi="Times New Roman" w:cs="Times New Roman"/>
          <w:color w:val="000000"/>
          <w:kern w:val="0"/>
          <w:sz w:val="24"/>
          <w:szCs w:val="24"/>
        </w:rPr>
        <w:t xml:space="preserve"> was used to quantify genes expression level with parameter “-Q 10 -B </w:t>
      </w:r>
      <w:r>
        <w:rPr>
          <w:rFonts w:ascii="Times New Roman" w:eastAsia="Minion Pro" w:hAnsi="Times New Roman" w:cs="Times New Roman"/>
          <w:color w:val="000000"/>
          <w:kern w:val="0"/>
          <w:sz w:val="24"/>
          <w:szCs w:val="24"/>
        </w:rPr>
        <w:t>-</w:t>
      </w:r>
      <w:r w:rsidRPr="00721D97">
        <w:rPr>
          <w:rFonts w:ascii="Times New Roman" w:eastAsia="Minion Pro" w:hAnsi="Times New Roman" w:cs="Times New Roman"/>
          <w:color w:val="000000"/>
          <w:kern w:val="0"/>
          <w:sz w:val="24"/>
          <w:szCs w:val="24"/>
        </w:rPr>
        <w:t>C”</w:t>
      </w:r>
      <w:r>
        <w:rPr>
          <w:rFonts w:ascii="Times New Roman" w:eastAsia="Minion Pro" w:hAnsi="Times New Roman" w:cs="Times New Roman"/>
          <w:noProof/>
          <w:color w:val="000000"/>
          <w:kern w:val="0"/>
          <w:sz w:val="24"/>
          <w:szCs w:val="24"/>
        </w:rPr>
        <w:t>[3]</w:t>
      </w:r>
      <w:r w:rsidRPr="00721D97">
        <w:rPr>
          <w:rFonts w:ascii="Times New Roman" w:eastAsia="Minion Pro" w:hAnsi="Times New Roman" w:cs="Times New Roman"/>
          <w:color w:val="000000"/>
          <w:kern w:val="0"/>
          <w:sz w:val="24"/>
          <w:szCs w:val="24"/>
        </w:rPr>
        <w:t>. Differential expressed genes (DEGs) were determined by edger with a fold change &gt;2 and false discovery rate (FDR) &lt; 0.05</w:t>
      </w:r>
      <w:r>
        <w:rPr>
          <w:rFonts w:ascii="Times New Roman" w:eastAsia="Minion Pro" w:hAnsi="Times New Roman" w:cs="Times New Roman"/>
          <w:noProof/>
          <w:color w:val="000000"/>
          <w:kern w:val="0"/>
          <w:sz w:val="24"/>
          <w:szCs w:val="24"/>
        </w:rPr>
        <w:t>[4]</w:t>
      </w:r>
      <w:r w:rsidRPr="00721D97">
        <w:rPr>
          <w:rFonts w:ascii="Times New Roman" w:eastAsia="Minion Pro" w:hAnsi="Times New Roman" w:cs="Times New Roman"/>
          <w:color w:val="000000"/>
          <w:kern w:val="0"/>
          <w:sz w:val="24"/>
          <w:szCs w:val="24"/>
        </w:rPr>
        <w:t xml:space="preserve">. Principal component analysis (PCA) was performed by R package </w:t>
      </w:r>
      <w:proofErr w:type="spellStart"/>
      <w:r w:rsidRPr="00721D97">
        <w:rPr>
          <w:rFonts w:ascii="Times New Roman" w:eastAsia="Minion Pro" w:hAnsi="Times New Roman" w:cs="Times New Roman"/>
          <w:color w:val="000000"/>
          <w:kern w:val="0"/>
          <w:sz w:val="24"/>
          <w:szCs w:val="24"/>
        </w:rPr>
        <w:t>FactoMineR</w:t>
      </w:r>
      <w:proofErr w:type="spellEnd"/>
      <w:r w:rsidRPr="00721D97">
        <w:rPr>
          <w:rFonts w:ascii="Times New Roman" w:eastAsia="Minion Pro" w:hAnsi="Times New Roman" w:cs="Times New Roman"/>
          <w:color w:val="000000"/>
          <w:kern w:val="0"/>
          <w:sz w:val="24"/>
          <w:szCs w:val="24"/>
        </w:rPr>
        <w:t>. Database for Annotation, Visualization and Integrated Discovery (DAVID) v6.8 web tool (https://david.ncifcrf.gov/) were used to perform GO and KEGG enrichment analyses with a significance of P &lt; 0.05</w:t>
      </w:r>
      <w:r>
        <w:rPr>
          <w:rFonts w:ascii="Times New Roman" w:eastAsia="Minion Pro" w:hAnsi="Times New Roman" w:cs="Times New Roman"/>
          <w:noProof/>
          <w:color w:val="000000"/>
          <w:kern w:val="0"/>
          <w:sz w:val="24"/>
          <w:szCs w:val="24"/>
        </w:rPr>
        <w:t>[5]</w:t>
      </w:r>
      <w:r w:rsidRPr="00721D97">
        <w:rPr>
          <w:rFonts w:ascii="Times New Roman" w:eastAsia="Minion Pro" w:hAnsi="Times New Roman" w:cs="Times New Roman"/>
          <w:color w:val="000000"/>
          <w:kern w:val="0"/>
          <w:sz w:val="24"/>
          <w:szCs w:val="24"/>
        </w:rPr>
        <w:t xml:space="preserve">. Gene set enrichment analysis (GSEA) was performed to explore whether identified sets of genes showed significant differences between two groups using the C2-KEGG collection from </w:t>
      </w:r>
      <w:proofErr w:type="spellStart"/>
      <w:proofErr w:type="gramStart"/>
      <w:r w:rsidRPr="00721D97">
        <w:rPr>
          <w:rFonts w:ascii="Times New Roman" w:eastAsia="Minion Pro" w:hAnsi="Times New Roman" w:cs="Times New Roman"/>
          <w:color w:val="000000"/>
          <w:kern w:val="0"/>
          <w:sz w:val="24"/>
          <w:szCs w:val="24"/>
        </w:rPr>
        <w:t>MSigDB</w:t>
      </w:r>
      <w:proofErr w:type="spellEnd"/>
      <w:r>
        <w:rPr>
          <w:rFonts w:ascii="Times New Roman" w:eastAsia="Minion Pro" w:hAnsi="Times New Roman" w:cs="Times New Roman"/>
          <w:noProof/>
          <w:color w:val="000000"/>
          <w:kern w:val="0"/>
          <w:sz w:val="24"/>
          <w:szCs w:val="24"/>
        </w:rPr>
        <w:t>[</w:t>
      </w:r>
      <w:proofErr w:type="gramEnd"/>
      <w:r>
        <w:rPr>
          <w:rFonts w:ascii="Times New Roman" w:eastAsia="Minion Pro" w:hAnsi="Times New Roman" w:cs="Times New Roman"/>
          <w:noProof/>
          <w:color w:val="000000"/>
          <w:kern w:val="0"/>
          <w:sz w:val="24"/>
          <w:szCs w:val="24"/>
        </w:rPr>
        <w:t>6]</w:t>
      </w:r>
      <w:r w:rsidRPr="00721D97">
        <w:rPr>
          <w:rFonts w:ascii="Times New Roman" w:eastAsia="Minion Pro" w:hAnsi="Times New Roman" w:cs="Times New Roman"/>
          <w:color w:val="000000"/>
          <w:kern w:val="0"/>
          <w:sz w:val="24"/>
          <w:szCs w:val="24"/>
        </w:rPr>
        <w:t xml:space="preserve">. </w:t>
      </w:r>
    </w:p>
    <w:p w14:paraId="7135E950" w14:textId="77777777" w:rsidR="00DE54BF" w:rsidRPr="00721D97" w:rsidRDefault="00DE54BF" w:rsidP="0043746D">
      <w:pPr>
        <w:autoSpaceDE w:val="0"/>
        <w:autoSpaceDN w:val="0"/>
        <w:adjustRightInd w:val="0"/>
        <w:spacing w:line="360" w:lineRule="auto"/>
        <w:jc w:val="left"/>
        <w:rPr>
          <w:rFonts w:ascii="Times New Roman" w:eastAsia="Minion Pro" w:hAnsi="Times New Roman" w:cs="Times New Roman"/>
          <w:b/>
          <w:bCs/>
          <w:color w:val="000000"/>
          <w:kern w:val="0"/>
          <w:sz w:val="24"/>
          <w:szCs w:val="24"/>
        </w:rPr>
      </w:pPr>
      <w:r w:rsidRPr="00721D97">
        <w:rPr>
          <w:rFonts w:ascii="Times New Roman" w:eastAsia="Minion Pro" w:hAnsi="Times New Roman" w:cs="Times New Roman"/>
          <w:b/>
          <w:bCs/>
          <w:color w:val="000000"/>
          <w:kern w:val="0"/>
          <w:sz w:val="24"/>
          <w:szCs w:val="24"/>
        </w:rPr>
        <w:t>Statistical analysis</w:t>
      </w:r>
    </w:p>
    <w:p w14:paraId="3C448FD5" w14:textId="77777777" w:rsidR="00DE54BF" w:rsidRDefault="00DE54BF" w:rsidP="008A4288">
      <w:pPr>
        <w:spacing w:line="360" w:lineRule="auto"/>
        <w:jc w:val="left"/>
        <w:rPr>
          <w:rFonts w:ascii="Times New Roman" w:hAnsi="Times New Roman" w:cs="Times New Roman"/>
          <w:sz w:val="24"/>
          <w:szCs w:val="24"/>
        </w:rPr>
      </w:pPr>
      <w:r w:rsidRPr="00731509">
        <w:rPr>
          <w:rFonts w:ascii="Times New Roman" w:hAnsi="Times New Roman" w:cs="Times New Roman"/>
          <w:sz w:val="24"/>
          <w:szCs w:val="24"/>
        </w:rPr>
        <w:t>All experiments were repeated for 3 times and CAR-T cells generated from 3 individual healthy donors. Figures are representatives of at least 3 individual experiments. Mean ± SEM was used in statistical analysis which was performed with GraphPad Prism 7.</w:t>
      </w:r>
      <w:r w:rsidRPr="004A264C">
        <w:rPr>
          <w:rFonts w:ascii="Times New Roman" w:hAnsi="Times New Roman" w:cs="Times New Roman"/>
          <w:sz w:val="24"/>
          <w:szCs w:val="24"/>
        </w:rPr>
        <w:t xml:space="preserve"> For comparisons between two groups, a</w:t>
      </w:r>
      <w:r w:rsidRPr="004A264C">
        <w:t xml:space="preserve"> </w:t>
      </w:r>
      <w:r w:rsidRPr="004A264C">
        <w:rPr>
          <w:rFonts w:ascii="Times New Roman" w:hAnsi="Times New Roman" w:cs="Times New Roman"/>
          <w:sz w:val="24"/>
          <w:szCs w:val="24"/>
        </w:rPr>
        <w:t>two-tailed unpaired t</w:t>
      </w:r>
      <w:r>
        <w:rPr>
          <w:rFonts w:ascii="Times New Roman" w:hAnsi="Times New Roman" w:cs="Times New Roman" w:hint="eastAsia"/>
          <w:sz w:val="24"/>
          <w:szCs w:val="24"/>
        </w:rPr>
        <w:t>-</w:t>
      </w:r>
      <w:r w:rsidRPr="004A264C">
        <w:rPr>
          <w:rFonts w:ascii="Times New Roman" w:hAnsi="Times New Roman" w:cs="Times New Roman"/>
          <w:sz w:val="24"/>
          <w:szCs w:val="24"/>
        </w:rPr>
        <w:t>test was used;</w:t>
      </w:r>
      <w:r>
        <w:rPr>
          <w:rFonts w:ascii="Times New Roman" w:hAnsi="Times New Roman" w:cs="Times New Roman"/>
          <w:sz w:val="24"/>
          <w:szCs w:val="24"/>
        </w:rPr>
        <w:t xml:space="preserve"> For </w:t>
      </w:r>
      <w:r w:rsidRPr="004A264C">
        <w:rPr>
          <w:rFonts w:ascii="Times New Roman" w:hAnsi="Times New Roman" w:cs="Times New Roman"/>
          <w:sz w:val="24"/>
          <w:szCs w:val="24"/>
        </w:rPr>
        <w:t>comparisons</w:t>
      </w:r>
      <w:r>
        <w:rPr>
          <w:rFonts w:ascii="Times New Roman" w:hAnsi="Times New Roman" w:cs="Times New Roman"/>
          <w:sz w:val="24"/>
          <w:szCs w:val="24"/>
        </w:rPr>
        <w:t xml:space="preserve"> of survival</w:t>
      </w:r>
      <w:r w:rsidRPr="004A264C">
        <w:rPr>
          <w:rFonts w:ascii="Times New Roman" w:hAnsi="Times New Roman" w:cs="Times New Roman"/>
          <w:sz w:val="24"/>
          <w:szCs w:val="24"/>
        </w:rPr>
        <w:t xml:space="preserve"> between two groups</w:t>
      </w:r>
      <w:r>
        <w:rPr>
          <w:rFonts w:ascii="Times New Roman" w:hAnsi="Times New Roman" w:cs="Times New Roman"/>
          <w:sz w:val="24"/>
          <w:szCs w:val="24"/>
        </w:rPr>
        <w:t xml:space="preserve">, </w:t>
      </w:r>
      <w:r w:rsidRPr="00CF6A42">
        <w:rPr>
          <w:rFonts w:ascii="Times New Roman" w:hAnsi="Times New Roman" w:cs="Times New Roman"/>
          <w:sz w:val="24"/>
          <w:szCs w:val="24"/>
        </w:rPr>
        <w:t>log-rank Mantel-Cox test</w:t>
      </w:r>
      <w:r>
        <w:rPr>
          <w:rFonts w:ascii="Times New Roman" w:hAnsi="Times New Roman" w:cs="Times New Roman" w:hint="eastAsia"/>
          <w:sz w:val="24"/>
          <w:szCs w:val="24"/>
        </w:rPr>
        <w:t xml:space="preserve"> </w:t>
      </w:r>
      <w:r>
        <w:rPr>
          <w:rFonts w:ascii="Times New Roman" w:hAnsi="Times New Roman" w:cs="Times New Roman"/>
          <w:sz w:val="24"/>
          <w:szCs w:val="24"/>
        </w:rPr>
        <w:t>was used.</w:t>
      </w:r>
    </w:p>
    <w:p w14:paraId="2D4EBC44" w14:textId="77777777" w:rsidR="00DE54BF" w:rsidRPr="00721D97" w:rsidRDefault="00DE54BF" w:rsidP="00721D97">
      <w:pPr>
        <w:spacing w:line="360" w:lineRule="auto"/>
        <w:rPr>
          <w:rFonts w:ascii="Times New Roman" w:eastAsia="仿宋" w:hAnsi="Times New Roman" w:cs="Times New Roman"/>
          <w:b/>
          <w:bCs/>
          <w:kern w:val="0"/>
          <w:sz w:val="24"/>
          <w:szCs w:val="24"/>
        </w:rPr>
      </w:pPr>
      <w:r w:rsidRPr="00721D97">
        <w:rPr>
          <w:rFonts w:ascii="Times New Roman" w:eastAsia="仿宋" w:hAnsi="Times New Roman" w:cs="Times New Roman"/>
          <w:b/>
          <w:bCs/>
          <w:kern w:val="0"/>
          <w:sz w:val="24"/>
          <w:szCs w:val="24"/>
        </w:rPr>
        <w:t>Reference</w:t>
      </w:r>
      <w:r>
        <w:rPr>
          <w:rFonts w:ascii="Times New Roman" w:eastAsia="仿宋" w:hAnsi="Times New Roman" w:cs="Times New Roman"/>
          <w:b/>
          <w:bCs/>
          <w:kern w:val="0"/>
          <w:sz w:val="24"/>
          <w:szCs w:val="24"/>
        </w:rPr>
        <w:t>s</w:t>
      </w:r>
    </w:p>
    <w:p w14:paraId="40994708" w14:textId="77777777" w:rsidR="00DE54BF" w:rsidRPr="00491FA3" w:rsidRDefault="00DE54BF" w:rsidP="00491FA3">
      <w:pPr>
        <w:pStyle w:val="EndNoteBibliography"/>
      </w:pPr>
      <w:bookmarkStart w:id="11" w:name="_ENREF_1"/>
      <w:r w:rsidRPr="00491FA3">
        <w:t>1.</w:t>
      </w:r>
      <w:r w:rsidRPr="00491FA3">
        <w:tab/>
        <w:t>Zola H, MacArdle PJ, Bradford T, Weedon H, Yasui H, Kurosawa Y. Preparation and characterization of a chimeric CD19 monoclonal antibody. Immunology and cell biology. 1991;69 ( Pt 6):411-22.</w:t>
      </w:r>
      <w:bookmarkEnd w:id="11"/>
    </w:p>
    <w:p w14:paraId="5346DEF0" w14:textId="77777777" w:rsidR="00DE54BF" w:rsidRPr="00491FA3" w:rsidRDefault="00DE54BF" w:rsidP="00491FA3">
      <w:pPr>
        <w:pStyle w:val="EndNoteBibliography"/>
      </w:pPr>
      <w:bookmarkStart w:id="12" w:name="_ENREF_2"/>
      <w:r w:rsidRPr="00491FA3">
        <w:t>2.</w:t>
      </w:r>
      <w:r w:rsidRPr="00491FA3">
        <w:tab/>
        <w:t>Kim D, Langmead B, Salzberg SL. HISAT: a fast spliced aligner with low memory requirements. Nature methods. 2015;12(4):357-60.</w:t>
      </w:r>
      <w:bookmarkEnd w:id="12"/>
    </w:p>
    <w:p w14:paraId="60E37FA4" w14:textId="77777777" w:rsidR="00DE54BF" w:rsidRPr="00491FA3" w:rsidRDefault="00DE54BF" w:rsidP="00491FA3">
      <w:pPr>
        <w:pStyle w:val="EndNoteBibliography"/>
      </w:pPr>
      <w:bookmarkStart w:id="13" w:name="_ENREF_3"/>
      <w:r w:rsidRPr="00491FA3">
        <w:t>3.</w:t>
      </w:r>
      <w:r w:rsidRPr="00491FA3">
        <w:tab/>
        <w:t>Liao Y, Smyth GK, Shi W. featureCounts: an efficient general purpose program for assigning sequence reads to genomic features. Bioinformatics. 2014;30(7):923-30.</w:t>
      </w:r>
      <w:bookmarkEnd w:id="13"/>
    </w:p>
    <w:p w14:paraId="12A4AA58" w14:textId="77777777" w:rsidR="00DE54BF" w:rsidRPr="00491FA3" w:rsidRDefault="00DE54BF" w:rsidP="00491FA3">
      <w:pPr>
        <w:pStyle w:val="EndNoteBibliography"/>
      </w:pPr>
      <w:bookmarkStart w:id="14" w:name="_ENREF_4"/>
      <w:r w:rsidRPr="00491FA3">
        <w:t>4.</w:t>
      </w:r>
      <w:r w:rsidRPr="00491FA3">
        <w:tab/>
        <w:t>Robinson MD, McCarthy DJ, Smyth GK. edgeR: a Bioconductor package for differential expression analysis of digital gene expression data. Bioinformatics. 2010;26(1):139-40.</w:t>
      </w:r>
      <w:bookmarkEnd w:id="14"/>
    </w:p>
    <w:p w14:paraId="5227BDCC" w14:textId="77777777" w:rsidR="00DE54BF" w:rsidRPr="00491FA3" w:rsidRDefault="00DE54BF" w:rsidP="00491FA3">
      <w:pPr>
        <w:pStyle w:val="EndNoteBibliography"/>
      </w:pPr>
      <w:bookmarkStart w:id="15" w:name="_ENREF_5"/>
      <w:r w:rsidRPr="00491FA3">
        <w:t>5.</w:t>
      </w:r>
      <w:r w:rsidRPr="00491FA3">
        <w:tab/>
        <w:t>Huang da W, Sherman BT, Lempicki RA. Bioinformatics enrichment tools: paths toward the comprehensive functional analysis of large gene lists. Nucleic Acids Res. 2009;37(1):1-13.</w:t>
      </w:r>
      <w:bookmarkEnd w:id="15"/>
    </w:p>
    <w:p w14:paraId="4F0C58BA" w14:textId="405AA1F1" w:rsidR="008975F0" w:rsidRDefault="00DE54BF" w:rsidP="00DE54BF">
      <w:pPr>
        <w:pStyle w:val="EndNoteBibliography"/>
        <w:rPr>
          <w:rFonts w:hint="eastAsia"/>
        </w:rPr>
      </w:pPr>
      <w:bookmarkStart w:id="16" w:name="_ENREF_6"/>
      <w:r w:rsidRPr="00491FA3">
        <w:t>6.</w:t>
      </w:r>
      <w:r w:rsidRPr="00491FA3">
        <w:tab/>
        <w:t>Subramanian A, Tamayo P, Mootha VK, Mukherjee S, Ebert BL, Gillette MA, et al. Gene set enrichment analysis: a knowledge-based approach for interpreting genome-wide expression profiles. Proc Natl Acad Sci U S A. 2005;102(43):15545-50.</w:t>
      </w:r>
      <w:bookmarkEnd w:id="0"/>
      <w:bookmarkEnd w:id="16"/>
    </w:p>
    <w:sectPr w:rsidR="008975F0" w:rsidSect="00DE54BF">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nion Pro">
    <w:altName w:val="宋体"/>
    <w:panose1 w:val="00000000000000000000"/>
    <w:charset w:val="86"/>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1&lt;/ScanChanges&gt;&lt;Suspended&gt;1&lt;/Suspended&gt;&lt;/ENInstantFormat&gt;"/>
  </w:docVars>
  <w:rsids>
    <w:rsidRoot w:val="00DE54BF"/>
    <w:rsid w:val="008975F0"/>
    <w:rsid w:val="00DE5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3CA3"/>
  <w15:chartTrackingRefBased/>
  <w15:docId w15:val="{C4A46167-BB26-440E-8FE4-B72C63DF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4BF"/>
    <w:pPr>
      <w:widowControl w:val="0"/>
      <w:jc w:val="both"/>
    </w:pPr>
  </w:style>
  <w:style w:type="character" w:default="1" w:styleId="a0">
    <w:name w:val="Default Paragraph Font"/>
    <w:uiPriority w:val="1"/>
    <w:semiHidden/>
    <w:unhideWhenUsed/>
    <w:rsid w:val="00DE54B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E54BF"/>
  </w:style>
  <w:style w:type="paragraph" w:styleId="a3">
    <w:name w:val="header"/>
    <w:basedOn w:val="a"/>
    <w:link w:val="a4"/>
    <w:uiPriority w:val="99"/>
    <w:unhideWhenUsed/>
    <w:rsid w:val="00DE54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54BF"/>
    <w:rPr>
      <w:sz w:val="18"/>
      <w:szCs w:val="18"/>
    </w:rPr>
  </w:style>
  <w:style w:type="paragraph" w:styleId="a5">
    <w:name w:val="footer"/>
    <w:basedOn w:val="a"/>
    <w:link w:val="a6"/>
    <w:uiPriority w:val="99"/>
    <w:unhideWhenUsed/>
    <w:rsid w:val="00DE54BF"/>
    <w:pPr>
      <w:tabs>
        <w:tab w:val="center" w:pos="4153"/>
        <w:tab w:val="right" w:pos="8306"/>
      </w:tabs>
      <w:snapToGrid w:val="0"/>
      <w:jc w:val="left"/>
    </w:pPr>
    <w:rPr>
      <w:sz w:val="18"/>
      <w:szCs w:val="18"/>
    </w:rPr>
  </w:style>
  <w:style w:type="character" w:customStyle="1" w:styleId="a6">
    <w:name w:val="页脚 字符"/>
    <w:basedOn w:val="a0"/>
    <w:link w:val="a5"/>
    <w:uiPriority w:val="99"/>
    <w:rsid w:val="00DE54BF"/>
    <w:rPr>
      <w:sz w:val="18"/>
      <w:szCs w:val="18"/>
    </w:rPr>
  </w:style>
  <w:style w:type="paragraph" w:customStyle="1" w:styleId="Default">
    <w:name w:val="Default"/>
    <w:link w:val="Default0"/>
    <w:rsid w:val="00DE54BF"/>
    <w:pPr>
      <w:widowControl w:val="0"/>
      <w:autoSpaceDE w:val="0"/>
      <w:autoSpaceDN w:val="0"/>
      <w:adjustRightInd w:val="0"/>
    </w:pPr>
    <w:rPr>
      <w:rFonts w:ascii="Minion Pro" w:eastAsia="Minion Pro" w:cs="Minion Pro"/>
      <w:color w:val="000000"/>
      <w:kern w:val="0"/>
      <w:sz w:val="24"/>
      <w:szCs w:val="24"/>
    </w:rPr>
  </w:style>
  <w:style w:type="character" w:customStyle="1" w:styleId="skip">
    <w:name w:val="skip"/>
    <w:basedOn w:val="a0"/>
    <w:rsid w:val="00DE54BF"/>
  </w:style>
  <w:style w:type="character" w:styleId="a7">
    <w:name w:val="Hyperlink"/>
    <w:basedOn w:val="a0"/>
    <w:uiPriority w:val="99"/>
    <w:unhideWhenUsed/>
    <w:rsid w:val="00DE54BF"/>
    <w:rPr>
      <w:color w:val="0000FF"/>
      <w:u w:val="single"/>
    </w:rPr>
  </w:style>
  <w:style w:type="paragraph" w:styleId="a8">
    <w:name w:val="Normal (Web)"/>
    <w:basedOn w:val="a"/>
    <w:uiPriority w:val="99"/>
    <w:semiHidden/>
    <w:unhideWhenUsed/>
    <w:rsid w:val="00DE54B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E54BF"/>
  </w:style>
  <w:style w:type="paragraph" w:customStyle="1" w:styleId="EndNoteBibliographyTitle">
    <w:name w:val="EndNote Bibliography Title"/>
    <w:basedOn w:val="a"/>
    <w:link w:val="EndNoteBibliographyTitle0"/>
    <w:rsid w:val="00DE54BF"/>
    <w:pPr>
      <w:jc w:val="center"/>
    </w:pPr>
    <w:rPr>
      <w:rFonts w:ascii="等线" w:eastAsia="等线" w:hAnsi="等线" w:cs="Minion Pro"/>
      <w:noProof/>
      <w:color w:val="000000"/>
      <w:kern w:val="0"/>
      <w:sz w:val="20"/>
      <w:szCs w:val="24"/>
    </w:rPr>
  </w:style>
  <w:style w:type="character" w:customStyle="1" w:styleId="Default0">
    <w:name w:val="Default 字符"/>
    <w:basedOn w:val="a0"/>
    <w:link w:val="Default"/>
    <w:rsid w:val="00DE54BF"/>
    <w:rPr>
      <w:rFonts w:ascii="Minion Pro" w:eastAsia="Minion Pro" w:cs="Minion Pro"/>
      <w:color w:val="000000"/>
      <w:kern w:val="0"/>
      <w:sz w:val="24"/>
      <w:szCs w:val="24"/>
    </w:rPr>
  </w:style>
  <w:style w:type="character" w:customStyle="1" w:styleId="EndNoteBibliographyTitle0">
    <w:name w:val="EndNote Bibliography Title 字符"/>
    <w:basedOn w:val="Default0"/>
    <w:link w:val="EndNoteBibliographyTitle"/>
    <w:rsid w:val="00DE54BF"/>
    <w:rPr>
      <w:rFonts w:ascii="等线" w:eastAsia="等线" w:hAnsi="等线" w:cs="Minion Pro"/>
      <w:noProof/>
      <w:color w:val="000000"/>
      <w:kern w:val="0"/>
      <w:sz w:val="20"/>
      <w:szCs w:val="24"/>
    </w:rPr>
  </w:style>
  <w:style w:type="paragraph" w:customStyle="1" w:styleId="EndNoteBibliography">
    <w:name w:val="EndNote Bibliography"/>
    <w:basedOn w:val="a"/>
    <w:link w:val="EndNoteBibliography0"/>
    <w:rsid w:val="00DE54BF"/>
    <w:rPr>
      <w:rFonts w:ascii="等线" w:eastAsia="等线" w:hAnsi="等线" w:cs="Minion Pro"/>
      <w:noProof/>
      <w:color w:val="000000"/>
      <w:kern w:val="0"/>
      <w:sz w:val="20"/>
      <w:szCs w:val="24"/>
    </w:rPr>
  </w:style>
  <w:style w:type="character" w:customStyle="1" w:styleId="EndNoteBibliography0">
    <w:name w:val="EndNote Bibliography 字符"/>
    <w:basedOn w:val="Default0"/>
    <w:link w:val="EndNoteBibliography"/>
    <w:rsid w:val="00DE54BF"/>
    <w:rPr>
      <w:rFonts w:ascii="等线" w:eastAsia="等线" w:hAnsi="等线" w:cs="Minion Pro"/>
      <w:noProof/>
      <w:color w:val="000000"/>
      <w:kern w:val="0"/>
      <w:sz w:val="20"/>
      <w:szCs w:val="24"/>
    </w:rPr>
  </w:style>
  <w:style w:type="character" w:styleId="a9">
    <w:name w:val="Unresolved Mention"/>
    <w:basedOn w:val="a0"/>
    <w:uiPriority w:val="99"/>
    <w:semiHidden/>
    <w:unhideWhenUsed/>
    <w:rsid w:val="00DE54BF"/>
    <w:rPr>
      <w:color w:val="605E5C"/>
      <w:shd w:val="clear" w:color="auto" w:fill="E1DFDD"/>
    </w:rPr>
  </w:style>
  <w:style w:type="character" w:styleId="aa">
    <w:name w:val="Emphasis"/>
    <w:basedOn w:val="a0"/>
    <w:uiPriority w:val="20"/>
    <w:qFormat/>
    <w:rsid w:val="00DE54BF"/>
    <w:rPr>
      <w:i/>
      <w:iCs/>
    </w:rPr>
  </w:style>
  <w:style w:type="character" w:customStyle="1" w:styleId="A16">
    <w:name w:val="A16"/>
    <w:uiPriority w:val="99"/>
    <w:rsid w:val="00DE54BF"/>
    <w:rPr>
      <w:rFonts w:cs="Minion Pro"/>
      <w:color w:val="000000"/>
      <w:sz w:val="12"/>
      <w:szCs w:val="12"/>
    </w:rPr>
  </w:style>
  <w:style w:type="character" w:customStyle="1" w:styleId="A17">
    <w:name w:val="A17"/>
    <w:uiPriority w:val="99"/>
    <w:rsid w:val="00DE54BF"/>
    <w:rPr>
      <w:rFonts w:cs="Minion Pro"/>
      <w:color w:val="000000"/>
      <w:sz w:val="12"/>
      <w:szCs w:val="12"/>
    </w:rPr>
  </w:style>
  <w:style w:type="paragraph" w:styleId="ab">
    <w:name w:val="Balloon Text"/>
    <w:basedOn w:val="a"/>
    <w:link w:val="ac"/>
    <w:uiPriority w:val="99"/>
    <w:semiHidden/>
    <w:unhideWhenUsed/>
    <w:rsid w:val="00DE54BF"/>
    <w:rPr>
      <w:sz w:val="18"/>
      <w:szCs w:val="18"/>
    </w:rPr>
  </w:style>
  <w:style w:type="character" w:customStyle="1" w:styleId="ac">
    <w:name w:val="批注框文本 字符"/>
    <w:basedOn w:val="a0"/>
    <w:link w:val="ab"/>
    <w:uiPriority w:val="99"/>
    <w:semiHidden/>
    <w:rsid w:val="00DE54BF"/>
    <w:rPr>
      <w:sz w:val="18"/>
      <w:szCs w:val="18"/>
    </w:rPr>
  </w:style>
  <w:style w:type="character" w:styleId="ad">
    <w:name w:val="annotation reference"/>
    <w:basedOn w:val="a0"/>
    <w:uiPriority w:val="99"/>
    <w:semiHidden/>
    <w:unhideWhenUsed/>
    <w:rsid w:val="00DE54BF"/>
    <w:rPr>
      <w:sz w:val="21"/>
      <w:szCs w:val="21"/>
    </w:rPr>
  </w:style>
  <w:style w:type="paragraph" w:styleId="ae">
    <w:name w:val="annotation text"/>
    <w:basedOn w:val="a"/>
    <w:link w:val="af"/>
    <w:uiPriority w:val="99"/>
    <w:semiHidden/>
    <w:unhideWhenUsed/>
    <w:rsid w:val="00DE54BF"/>
    <w:pPr>
      <w:jc w:val="left"/>
    </w:pPr>
  </w:style>
  <w:style w:type="character" w:customStyle="1" w:styleId="af">
    <w:name w:val="批注文字 字符"/>
    <w:basedOn w:val="a0"/>
    <w:link w:val="ae"/>
    <w:uiPriority w:val="99"/>
    <w:semiHidden/>
    <w:rsid w:val="00DE54BF"/>
  </w:style>
  <w:style w:type="paragraph" w:styleId="af0">
    <w:name w:val="annotation subject"/>
    <w:basedOn w:val="ae"/>
    <w:next w:val="ae"/>
    <w:link w:val="af1"/>
    <w:uiPriority w:val="99"/>
    <w:semiHidden/>
    <w:unhideWhenUsed/>
    <w:rsid w:val="00DE54BF"/>
    <w:rPr>
      <w:b/>
      <w:bCs/>
    </w:rPr>
  </w:style>
  <w:style w:type="character" w:customStyle="1" w:styleId="af1">
    <w:name w:val="批注主题 字符"/>
    <w:basedOn w:val="af"/>
    <w:link w:val="af0"/>
    <w:uiPriority w:val="99"/>
    <w:semiHidden/>
    <w:rsid w:val="00DE54BF"/>
    <w:rPr>
      <w:b/>
      <w:bCs/>
    </w:rPr>
  </w:style>
  <w:style w:type="paragraph" w:styleId="af2">
    <w:name w:val="Revision"/>
    <w:hidden/>
    <w:uiPriority w:val="99"/>
    <w:semiHidden/>
    <w:rsid w:val="00DE5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8214</Characters>
  <Application>Microsoft Office Word</Application>
  <DocSecurity>0</DocSecurity>
  <Lines>68</Lines>
  <Paragraphs>19</Paragraphs>
  <ScaleCrop>false</ScaleCrop>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浩</dc:creator>
  <cp:keywords/>
  <dc:description/>
  <cp:lastModifiedBy>张 浩</cp:lastModifiedBy>
  <cp:revision>1</cp:revision>
  <dcterms:created xsi:type="dcterms:W3CDTF">2021-06-12T15:41:00Z</dcterms:created>
  <dcterms:modified xsi:type="dcterms:W3CDTF">2021-06-12T15:42:00Z</dcterms:modified>
</cp:coreProperties>
</file>