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4308" w14:textId="77777777" w:rsidR="00BD7535" w:rsidRDefault="00BD7535" w:rsidP="00BD7535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</w:rPr>
      </w:pPr>
      <w:bookmarkStart w:id="0" w:name="_Hlk72744644"/>
      <w:r>
        <w:rPr>
          <w:rFonts w:ascii="Times New Roman" w:hAnsi="Times New Roman" w:cs="Times New Roman"/>
          <w:b/>
          <w:bCs/>
        </w:rPr>
        <w:t>Patients</w:t>
      </w:r>
      <w:r w:rsidRPr="001B53E0">
        <w:rPr>
          <w:rFonts w:ascii="Times New Roman" w:hAnsi="Times New Roman" w:cs="Times New Roman"/>
          <w:b/>
          <w:bCs/>
        </w:rPr>
        <w:t xml:space="preserve"> and Methods</w:t>
      </w:r>
    </w:p>
    <w:p w14:paraId="6A69E370" w14:textId="77777777" w:rsidR="00BD7535" w:rsidRDefault="00BD7535" w:rsidP="00BD75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Patients</w:t>
      </w:r>
    </w:p>
    <w:p w14:paraId="7B473879" w14:textId="56BC6F30" w:rsidR="00BD7535" w:rsidRDefault="00BD7535" w:rsidP="00BD7535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performed a multicenter retrospective study of patients with newly diagnosed FL from 2000 to 2020 at 9 Chinese medical centers. Th</w:t>
      </w:r>
      <w:r>
        <w:rPr>
          <w:rFonts w:ascii="Times New Roman" w:hAnsi="Times New Roman" w:cs="Times New Roman" w:hint="eastAsia"/>
          <w:sz w:val="24"/>
        </w:rPr>
        <w:t xml:space="preserve">is study was </w:t>
      </w:r>
      <w:r>
        <w:rPr>
          <w:rFonts w:ascii="Times New Roman" w:hAnsi="Times New Roman" w:cs="Times New Roman"/>
          <w:sz w:val="24"/>
        </w:rPr>
        <w:t>approved</w:t>
      </w:r>
      <w:r>
        <w:rPr>
          <w:rFonts w:ascii="Times New Roman" w:hAnsi="Times New Roman" w:cs="Times New Roman" w:hint="eastAsia"/>
          <w:sz w:val="24"/>
        </w:rPr>
        <w:t xml:space="preserve"> by the</w:t>
      </w:r>
      <w:r>
        <w:rPr>
          <w:rFonts w:ascii="Times New Roman" w:hAnsi="Times New Roman" w:cs="Times New Roman"/>
          <w:sz w:val="24"/>
        </w:rPr>
        <w:t xml:space="preserve"> institutional review board </w:t>
      </w:r>
      <w:r>
        <w:rPr>
          <w:rFonts w:ascii="Times New Roman" w:hAnsi="Times New Roman" w:cs="Times New Roman" w:hint="eastAsia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>all collaborative institutions</w:t>
      </w:r>
      <w:r>
        <w:rPr>
          <w:rFonts w:ascii="Times New Roman" w:hAnsi="Times New Roman" w:cs="Times New Roman" w:hint="eastAsia"/>
          <w:sz w:val="24"/>
        </w:rPr>
        <w:t xml:space="preserve">. A total of </w:t>
      </w:r>
      <w:r>
        <w:rPr>
          <w:rFonts w:ascii="Times New Roman" w:hAnsi="Times New Roman" w:cs="Times New Roman"/>
          <w:sz w:val="24"/>
        </w:rPr>
        <w:t xml:space="preserve">2046 patients with FL were initially screened in the study, while 201 patients </w:t>
      </w:r>
      <w:r>
        <w:rPr>
          <w:rFonts w:ascii="Times New Roman" w:hAnsi="Times New Roman" w:cs="Times New Roman" w:hint="eastAsia"/>
          <w:sz w:val="24"/>
        </w:rPr>
        <w:t xml:space="preserve">were </w:t>
      </w:r>
      <w:r>
        <w:rPr>
          <w:rFonts w:ascii="Times New Roman" w:hAnsi="Times New Roman" w:cs="Times New Roman"/>
          <w:sz w:val="24"/>
        </w:rPr>
        <w:t xml:space="preserve">subsequently </w:t>
      </w:r>
      <w:r>
        <w:rPr>
          <w:rFonts w:ascii="Times New Roman" w:hAnsi="Times New Roman" w:cs="Times New Roman" w:hint="eastAsia"/>
          <w:sz w:val="24"/>
        </w:rPr>
        <w:t>excluded</w:t>
      </w:r>
      <w:r>
        <w:rPr>
          <w:rFonts w:ascii="Times New Roman" w:hAnsi="Times New Roman" w:cs="Times New Roman"/>
          <w:sz w:val="24"/>
        </w:rPr>
        <w:t xml:space="preserve"> due to ineligible to our enrollment criteria, including those aged &lt;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18 years</w:t>
      </w:r>
      <w:r>
        <w:rPr>
          <w:rFonts w:ascii="Times New Roman" w:hAnsi="Times New Roman" w:cs="Times New Roman" w:hint="eastAsia"/>
          <w:sz w:val="24"/>
        </w:rPr>
        <w:t xml:space="preserve"> old</w:t>
      </w:r>
      <w:r>
        <w:rPr>
          <w:rFonts w:ascii="Times New Roman" w:hAnsi="Times New Roman" w:cs="Times New Roman"/>
          <w:sz w:val="24"/>
        </w:rPr>
        <w:t>, diagnosed with FL3b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lacked </w:t>
      </w:r>
      <w:r>
        <w:rPr>
          <w:rFonts w:ascii="Times New Roman" w:hAnsi="Times New Roman" w:cs="Times New Roman" w:hint="eastAsia"/>
          <w:sz w:val="24"/>
        </w:rPr>
        <w:t xml:space="preserve">adequate </w:t>
      </w:r>
      <w:r>
        <w:rPr>
          <w:rFonts w:ascii="Times New Roman" w:hAnsi="Times New Roman" w:cs="Times New Roman"/>
          <w:sz w:val="24"/>
        </w:rPr>
        <w:t>clinical information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or </w:t>
      </w:r>
      <w:bookmarkStart w:id="1" w:name="_Hlk69638691"/>
      <w:r>
        <w:rPr>
          <w:rFonts w:ascii="Times New Roman" w:hAnsi="Times New Roman" w:cs="Times New Roman"/>
          <w:sz w:val="24"/>
        </w:rPr>
        <w:t>lost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follow-up</w:t>
      </w:r>
      <w:bookmarkEnd w:id="1"/>
      <w:r>
        <w:rPr>
          <w:rFonts w:ascii="Times New Roman" w:hAnsi="Times New Roman" w:cs="Times New Roman"/>
          <w:sz w:val="24"/>
        </w:rPr>
        <w:t>.</w:t>
      </w:r>
    </w:p>
    <w:p w14:paraId="764E634E" w14:textId="77777777" w:rsidR="00BD7535" w:rsidRDefault="00BD7535" w:rsidP="00BD7535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Diagnosis was </w:t>
      </w:r>
      <w:r>
        <w:rPr>
          <w:rFonts w:ascii="Times New Roman" w:hAnsi="Times New Roman" w:cs="Times New Roman" w:hint="eastAsia"/>
          <w:sz w:val="24"/>
        </w:rPr>
        <w:t>made</w:t>
      </w:r>
      <w:r>
        <w:rPr>
          <w:rFonts w:ascii="Times New Roman" w:hAnsi="Times New Roman" w:cs="Times New Roman"/>
          <w:sz w:val="24"/>
        </w:rPr>
        <w:t xml:space="preserve"> by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institutional hematopathology expert review</w:t>
      </w:r>
      <w:r>
        <w:rPr>
          <w:rFonts w:ascii="Times New Roman" w:hAnsi="Times New Roman" w:cs="Times New Roman" w:hint="eastAsia"/>
          <w:sz w:val="24"/>
        </w:rPr>
        <w:t xml:space="preserve"> board at each site, while</w:t>
      </w:r>
      <w:r>
        <w:rPr>
          <w:rFonts w:ascii="Times New Roman" w:hAnsi="Times New Roman" w:cs="Times New Roman"/>
          <w:sz w:val="24"/>
        </w:rPr>
        <w:t xml:space="preserve"> central pathologic review was not </w:t>
      </w:r>
      <w:r>
        <w:rPr>
          <w:rFonts w:ascii="Times New Roman" w:eastAsia="DengXian" w:hAnsi="Times New Roman" w:cs="Times New Roman"/>
          <w:sz w:val="24"/>
        </w:rPr>
        <w:t>performed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ransformation </w:t>
      </w:r>
      <w:r>
        <w:rPr>
          <w:rFonts w:ascii="Times New Roman" w:hAnsi="Times New Roman" w:cs="Times New Roman" w:hint="eastAsia"/>
          <w:sz w:val="24"/>
        </w:rPr>
        <w:t xml:space="preserve">from FL </w:t>
      </w:r>
      <w:r>
        <w:rPr>
          <w:rFonts w:ascii="Times New Roman" w:hAnsi="Times New Roman" w:cs="Times New Roman"/>
          <w:sz w:val="24"/>
        </w:rPr>
        <w:t xml:space="preserve">to other forms of lymphomas was 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>onfirm</w:t>
      </w:r>
      <w:r>
        <w:rPr>
          <w:rFonts w:ascii="Times New Roman" w:hAnsi="Times New Roman" w:cs="Times New Roman" w:hint="eastAsia"/>
          <w:sz w:val="24"/>
        </w:rPr>
        <w:t>ed by</w:t>
      </w:r>
      <w:r>
        <w:rPr>
          <w:rFonts w:ascii="Times New Roman" w:hAnsi="Times New Roman" w:cs="Times New Roman"/>
          <w:sz w:val="24"/>
        </w:rPr>
        <w:t xml:space="preserve"> biopsy. 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ccording to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institutional standard</w:t>
      </w:r>
      <w:r>
        <w:rPr>
          <w:rFonts w:ascii="Times New Roman" w:hAnsi="Times New Roman" w:cs="Times New Roman" w:hint="eastAsia"/>
          <w:sz w:val="24"/>
        </w:rPr>
        <w:t xml:space="preserve"> of care for FL patients, disease s</w:t>
      </w:r>
      <w:r>
        <w:rPr>
          <w:rFonts w:ascii="Times New Roman" w:hAnsi="Times New Roman" w:cs="Times New Roman"/>
          <w:sz w:val="24"/>
        </w:rPr>
        <w:t>taging, t</w:t>
      </w:r>
      <w:r>
        <w:rPr>
          <w:rFonts w:ascii="Times New Roman" w:hAnsi="Times New Roman" w:cs="Times New Roman" w:hint="eastAsia"/>
          <w:sz w:val="24"/>
        </w:rPr>
        <w:t>reatment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selection,</w:t>
      </w:r>
      <w:r>
        <w:rPr>
          <w:rFonts w:ascii="Times New Roman" w:hAnsi="Times New Roman" w:cs="Times New Roman"/>
          <w:sz w:val="24"/>
        </w:rPr>
        <w:t xml:space="preserve"> and response </w:t>
      </w:r>
      <w:r>
        <w:rPr>
          <w:rFonts w:ascii="Times New Roman" w:hAnsi="Times New Roman" w:cs="Times New Roman" w:hint="eastAsia"/>
          <w:sz w:val="24"/>
        </w:rPr>
        <w:t>assessment</w:t>
      </w:r>
      <w:r>
        <w:rPr>
          <w:rFonts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 w:hint="eastAsia"/>
          <w:sz w:val="24"/>
        </w:rPr>
        <w:t>carried out</w:t>
      </w:r>
      <w:r>
        <w:rPr>
          <w:rFonts w:ascii="Times New Roman" w:hAnsi="Times New Roman" w:cs="Times New Roman"/>
          <w:sz w:val="24"/>
        </w:rPr>
        <w:t xml:space="preserve"> at the discretion of treating physicians.</w:t>
      </w:r>
    </w:p>
    <w:p w14:paraId="38449029" w14:textId="77777777" w:rsidR="00BD7535" w:rsidRDefault="00BD7535" w:rsidP="00BD75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95B533B" w14:textId="77777777" w:rsidR="00BD7535" w:rsidRDefault="00BD7535" w:rsidP="00BD75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Variables and endpoints</w:t>
      </w:r>
    </w:p>
    <w:p w14:paraId="7F94CC35" w14:textId="7FACAB2A" w:rsidR="00BD7535" w:rsidRDefault="00BD7535" w:rsidP="00BD7535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demographic and clinical characteristics </w:t>
      </w:r>
      <w:r>
        <w:rPr>
          <w:rFonts w:ascii="Times New Roman" w:hAnsi="Times New Roman" w:cs="Times New Roman" w:hint="eastAsia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>FL patient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were </w:t>
      </w:r>
      <w:r>
        <w:rPr>
          <w:rFonts w:ascii="Times New Roman" w:hAnsi="Times New Roman" w:cs="Times New Roman"/>
          <w:sz w:val="24"/>
        </w:rPr>
        <w:t>assessed at initial diagnosis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includ</w:t>
      </w:r>
      <w:r>
        <w:rPr>
          <w:rFonts w:ascii="Times New Roman" w:hAnsi="Times New Roman" w:cs="Times New Roman" w:hint="eastAsia"/>
          <w:sz w:val="24"/>
        </w:rPr>
        <w:t>ing</w:t>
      </w:r>
      <w:r>
        <w:rPr>
          <w:rFonts w:ascii="Times New Roman" w:hAnsi="Times New Roman" w:cs="Times New Roman"/>
          <w:sz w:val="24"/>
        </w:rPr>
        <w:t xml:space="preserve"> age, </w:t>
      </w:r>
      <w:r>
        <w:rPr>
          <w:rFonts w:ascii="Times New Roman" w:eastAsia="DengXian" w:hAnsi="Times New Roman" w:cs="Times New Roman"/>
          <w:sz w:val="24"/>
        </w:rPr>
        <w:t>sex</w:t>
      </w:r>
      <w:r>
        <w:rPr>
          <w:rFonts w:ascii="Times New Roman" w:hAnsi="Times New Roman" w:cs="Times New Roman"/>
          <w:sz w:val="24"/>
        </w:rPr>
        <w:t xml:space="preserve">, </w:t>
      </w:r>
      <w:r w:rsidR="000C3BA7">
        <w:rPr>
          <w:rFonts w:ascii="Times New Roman" w:hAnsi="Times New Roman" w:cs="Times New Roman"/>
          <w:sz w:val="24"/>
        </w:rPr>
        <w:t>performance status (</w:t>
      </w:r>
      <w:r>
        <w:rPr>
          <w:rFonts w:ascii="Times New Roman" w:hAnsi="Times New Roman" w:cs="Times New Roman"/>
          <w:sz w:val="24"/>
        </w:rPr>
        <w:t>PS</w:t>
      </w:r>
      <w:r w:rsidR="000C3BA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disease stage, histological grade, B symptoms, </w:t>
      </w:r>
      <w:r>
        <w:rPr>
          <w:rFonts w:ascii="Times New Roman" w:hAnsi="Times New Roman" w:cs="Times New Roman" w:hint="eastAsia"/>
          <w:sz w:val="24"/>
        </w:rPr>
        <w:t xml:space="preserve">involved </w:t>
      </w:r>
      <w:r>
        <w:rPr>
          <w:rFonts w:ascii="Times New Roman" w:hAnsi="Times New Roman" w:cs="Times New Roman"/>
          <w:sz w:val="24"/>
        </w:rPr>
        <w:t>lymph node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(LN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extranodal</w:t>
      </w:r>
      <w:proofErr w:type="spellEnd"/>
      <w:r>
        <w:rPr>
          <w:rFonts w:ascii="Times New Roman" w:hAnsi="Times New Roman" w:cs="Times New Roman"/>
          <w:sz w:val="24"/>
        </w:rPr>
        <w:t xml:space="preserve"> disease, </w:t>
      </w:r>
      <w:r w:rsidR="000C3BA7">
        <w:rPr>
          <w:rFonts w:ascii="Times New Roman" w:hAnsi="Times New Roman" w:cs="Times New Roman"/>
          <w:sz w:val="24"/>
        </w:rPr>
        <w:t>bone marrow</w:t>
      </w:r>
      <w:r>
        <w:rPr>
          <w:rFonts w:ascii="Times New Roman" w:hAnsi="Times New Roman" w:cs="Times New Roman"/>
          <w:sz w:val="24"/>
        </w:rPr>
        <w:t xml:space="preserve"> involvement, bulky disease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laboratory </w:t>
      </w:r>
      <w:r>
        <w:rPr>
          <w:rFonts w:ascii="Times New Roman" w:hAnsi="Times New Roman" w:cs="Times New Roman" w:hint="eastAsia"/>
          <w:sz w:val="24"/>
        </w:rPr>
        <w:t>examination</w:t>
      </w:r>
      <w:r>
        <w:rPr>
          <w:rFonts w:ascii="Times New Roman" w:hAnsi="Times New Roman" w:cs="Times New Roman"/>
          <w:sz w:val="24"/>
        </w:rPr>
        <w:t xml:space="preserve"> includ</w:t>
      </w:r>
      <w:r>
        <w:rPr>
          <w:rFonts w:ascii="Times New Roman" w:hAnsi="Times New Roman" w:cs="Times New Roman" w:hint="eastAsia"/>
          <w:sz w:val="24"/>
        </w:rPr>
        <w:t>ed</w:t>
      </w:r>
      <w:r>
        <w:rPr>
          <w:rFonts w:ascii="Times New Roman" w:hAnsi="Times New Roman" w:cs="Times New Roman"/>
          <w:sz w:val="24"/>
        </w:rPr>
        <w:t xml:space="preserve"> serum lactate dehydrogenase (LDH), hemoglobin (HGB)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β</m:t>
        </m:r>
      </m:oMath>
      <w:r>
        <w:rPr>
          <w:rFonts w:ascii="Times New Roman" w:hAnsi="Times New Roman" w:cs="Times New Roman"/>
          <w:sz w:val="24"/>
        </w:rPr>
        <w:t>2-microglobulin (β2-MG). Treatment response was classified as complete remission (CR), partial response (PR), stable disease (SD)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or progression of disease (PD)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according to the Lugano </w:t>
      </w:r>
      <w:r>
        <w:rPr>
          <w:rFonts w:ascii="Times New Roman" w:eastAsia="DengXian" w:hAnsi="Times New Roman" w:cs="Times New Roman"/>
          <w:sz w:val="24"/>
        </w:rPr>
        <w:t>criteria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0C3BA7">
        <w:rPr>
          <w:rFonts w:ascii="Times New Roman" w:hAnsi="Times New Roman" w:cs="Times New Roman"/>
          <w:sz w:val="24"/>
        </w:rPr>
        <w:t>[1</w:t>
      </w:r>
      <w:r>
        <w:rPr>
          <w:rFonts w:ascii="Times New Roman" w:hAnsi="Times New Roman" w:cs="Times New Roman"/>
          <w:sz w:val="24"/>
        </w:rPr>
        <w:t xml:space="preserve">]. </w:t>
      </w:r>
      <w:r w:rsidR="000C3BA7">
        <w:rPr>
          <w:rFonts w:ascii="Times New Roman" w:hAnsi="Times New Roman" w:cs="Times New Roman"/>
          <w:sz w:val="24"/>
        </w:rPr>
        <w:t>Overall survival (</w:t>
      </w:r>
      <w:r>
        <w:rPr>
          <w:rFonts w:ascii="Times New Roman" w:hAnsi="Times New Roman" w:cs="Times New Roman"/>
          <w:sz w:val="24"/>
        </w:rPr>
        <w:t>OS</w:t>
      </w:r>
      <w:r w:rsidR="000C3BA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was </w:t>
      </w:r>
      <w:r>
        <w:rPr>
          <w:rFonts w:ascii="Times New Roman" w:hAnsi="Times New Roman" w:cs="Times New Roman" w:hint="eastAsia"/>
          <w:sz w:val="24"/>
        </w:rPr>
        <w:t>defined as the time</w:t>
      </w:r>
      <w:r>
        <w:rPr>
          <w:rFonts w:ascii="Times New Roman" w:hAnsi="Times New Roman" w:cs="Times New Roman"/>
          <w:sz w:val="24"/>
        </w:rPr>
        <w:t xml:space="preserve"> from diagnosis </w:t>
      </w:r>
      <w:r>
        <w:rPr>
          <w:rFonts w:ascii="Times New Roman" w:hAnsi="Times New Roman" w:cs="Times New Roman" w:hint="eastAsia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death or la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t follow-up. </w:t>
      </w:r>
      <w:r w:rsidR="000C3BA7">
        <w:rPr>
          <w:rFonts w:ascii="Times New Roman" w:hAnsi="Times New Roman" w:cs="Times New Roman"/>
          <w:sz w:val="24"/>
        </w:rPr>
        <w:t>Progressive-free survival (</w:t>
      </w:r>
      <w:r>
        <w:rPr>
          <w:rFonts w:ascii="Times New Roman" w:hAnsi="Times New Roman" w:cs="Times New Roman"/>
          <w:sz w:val="24"/>
        </w:rPr>
        <w:t>PFS</w:t>
      </w:r>
      <w:r w:rsidR="000C3BA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was defined as </w:t>
      </w:r>
      <w:r>
        <w:rPr>
          <w:rFonts w:ascii="Times New Roman" w:eastAsia="DengXi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time from diagnosis to progression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relapse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death from any cause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or la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t follow-up. </w:t>
      </w:r>
    </w:p>
    <w:p w14:paraId="0A6AFBED" w14:textId="77777777" w:rsidR="00BD7535" w:rsidRDefault="00BD7535" w:rsidP="00BD75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54F7183" w14:textId="77777777" w:rsidR="00BD7535" w:rsidRDefault="00BD7535" w:rsidP="00BD75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Statistical analysis</w:t>
      </w:r>
    </w:p>
    <w:p w14:paraId="13C29432" w14:textId="1AF76F58" w:rsidR="00BD7535" w:rsidRDefault="00BD7535" w:rsidP="00BD7535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linicopathologic characteristics between patients </w:t>
      </w:r>
      <w:r>
        <w:rPr>
          <w:rFonts w:ascii="Times New Roman" w:hAnsi="Times New Roman" w:cs="Times New Roman" w:hint="eastAsia"/>
          <w:sz w:val="24"/>
        </w:rPr>
        <w:t xml:space="preserve">were compared </w:t>
      </w:r>
      <w:r>
        <w:rPr>
          <w:rFonts w:ascii="Times New Roman" w:hAnsi="Times New Roman" w:cs="Times New Roman"/>
          <w:sz w:val="24"/>
        </w:rPr>
        <w:t xml:space="preserve">using Wilcoxon rank-sum tests for continuous variables and </w:t>
      </w:r>
      <m:oMath>
        <m:r>
          <w:rPr>
            <w:rFonts w:ascii="Cambria Math" w:hAnsi="Cambria Math" w:cs="Times New Roman"/>
            <w:sz w:val="24"/>
          </w:rPr>
          <m:t>χ</m:t>
        </m:r>
      </m:oMath>
      <w:r>
        <w:rPr>
          <w:rFonts w:ascii="Times New Roman" w:hAnsi="Times New Roman" w:cs="Times New Roman"/>
          <w:sz w:val="24"/>
        </w:rPr>
        <w:t xml:space="preserve">2 tests for categorical variables. Median follow-up was determined by reverse Kaplan-Meier analysis. Kaplan-Meier </w:t>
      </w:r>
      <w:r>
        <w:rPr>
          <w:rFonts w:ascii="Times New Roman" w:hAnsi="Times New Roman" w:cs="Times New Roman" w:hint="eastAsia"/>
          <w:sz w:val="24"/>
        </w:rPr>
        <w:t>curve</w:t>
      </w:r>
      <w:r>
        <w:rPr>
          <w:rFonts w:ascii="Times New Roman" w:hAnsi="Times New Roman" w:cs="Times New Roman"/>
          <w:sz w:val="24"/>
        </w:rPr>
        <w:t xml:space="preserve"> was used to estimate PFS and OS. Proportional hazards regression was used to estimate the effect of risk factors on PFS and OS</w:t>
      </w:r>
      <w:r>
        <w:rPr>
          <w:rFonts w:ascii="Times New Roman" w:hAnsi="Times New Roman" w:cs="Times New Roman" w:hint="eastAsia"/>
          <w:sz w:val="24"/>
        </w:rPr>
        <w:t xml:space="preserve">, for which </w:t>
      </w:r>
      <w:r>
        <w:rPr>
          <w:rFonts w:ascii="Times New Roman" w:eastAsia="DengXian" w:hAnsi="Times New Roman" w:cs="Times New Roman" w:hint="eastAsia"/>
          <w:sz w:val="24"/>
        </w:rPr>
        <w:t>t</w:t>
      </w:r>
      <w:r>
        <w:rPr>
          <w:rFonts w:ascii="Times New Roman" w:eastAsia="DengXian" w:hAnsi="Times New Roman" w:cs="Times New Roman"/>
          <w:sz w:val="24"/>
        </w:rPr>
        <w:t>he results</w:t>
      </w:r>
      <w:r>
        <w:rPr>
          <w:rFonts w:ascii="Times New Roman" w:hAnsi="Times New Roman" w:cs="Times New Roman"/>
          <w:sz w:val="24"/>
        </w:rPr>
        <w:t xml:space="preserve"> are presented as hazard ratios (</w:t>
      </w:r>
      <w:r>
        <w:rPr>
          <w:rFonts w:ascii="Times New Roman" w:eastAsia="DengXian" w:hAnsi="Times New Roman" w:cs="Times New Roman"/>
          <w:sz w:val="24"/>
        </w:rPr>
        <w:t>HRs</w:t>
      </w:r>
      <w:r>
        <w:rPr>
          <w:rFonts w:ascii="Times New Roman" w:hAnsi="Times New Roman" w:cs="Times New Roman"/>
          <w:sz w:val="24"/>
        </w:rPr>
        <w:t>) together with 95% confidence intervals (</w:t>
      </w:r>
      <w:r>
        <w:rPr>
          <w:rFonts w:ascii="Times New Roman" w:eastAsia="DengXian" w:hAnsi="Times New Roman" w:cs="Times New Roman"/>
          <w:sz w:val="24"/>
        </w:rPr>
        <w:t>CIs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these </w:t>
      </w:r>
      <w:r>
        <w:rPr>
          <w:rFonts w:ascii="Times New Roman" w:hAnsi="Times New Roman" w:cs="Times New Roman" w:hint="eastAsia"/>
          <w:sz w:val="24"/>
        </w:rPr>
        <w:t>analyse</w:t>
      </w:r>
      <w:r>
        <w:rPr>
          <w:rFonts w:ascii="Times New Roman" w:hAnsi="Times New Roman" w:cs="Times New Roman"/>
          <w:sz w:val="24"/>
        </w:rPr>
        <w:t>s were calculated by Wald tests.</w:t>
      </w:r>
    </w:p>
    <w:bookmarkEnd w:id="0"/>
    <w:p w14:paraId="16C984C0" w14:textId="73ED50A6" w:rsidR="00EF617F" w:rsidRDefault="00EF617F" w:rsidP="00BD7535"/>
    <w:p w14:paraId="723BEBA2" w14:textId="7D155DC8" w:rsidR="00D1378B" w:rsidRPr="00D1378B" w:rsidRDefault="00D1378B" w:rsidP="00BD7535">
      <w:pPr>
        <w:rPr>
          <w:rFonts w:ascii="Times New Roman" w:hAnsi="Times New Roman" w:cs="Times New Roman"/>
          <w:sz w:val="24"/>
        </w:rPr>
      </w:pPr>
      <w:r w:rsidRPr="00D1378B">
        <w:rPr>
          <w:rFonts w:ascii="Times New Roman" w:hAnsi="Times New Roman" w:cs="Times New Roman"/>
          <w:sz w:val="24"/>
        </w:rPr>
        <w:t>Reference</w:t>
      </w:r>
    </w:p>
    <w:p w14:paraId="3770B909" w14:textId="418FDD93" w:rsidR="00D1378B" w:rsidRPr="00962697" w:rsidRDefault="00D1378B" w:rsidP="00D1378B">
      <w:pPr>
        <w:pStyle w:val="1"/>
        <w:spacing w:line="48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eastAsia="DengXian" w:hAnsi="Times New Roman"/>
          <w:sz w:val="22"/>
          <w:szCs w:val="22"/>
        </w:rPr>
        <w:t>1</w:t>
      </w:r>
      <w:r w:rsidRPr="00962697">
        <w:rPr>
          <w:rFonts w:ascii="Times New Roman" w:eastAsia="DengXian" w:hAnsi="Times New Roman"/>
          <w:sz w:val="22"/>
          <w:szCs w:val="22"/>
        </w:rPr>
        <w:t xml:space="preserve">. </w:t>
      </w:r>
      <w:proofErr w:type="spellStart"/>
      <w:r w:rsidRPr="00962697">
        <w:rPr>
          <w:rFonts w:ascii="Times New Roman" w:eastAsia="DengXian" w:hAnsi="Times New Roman"/>
          <w:sz w:val="22"/>
          <w:szCs w:val="22"/>
        </w:rPr>
        <w:t>Cheson</w:t>
      </w:r>
      <w:proofErr w:type="spellEnd"/>
      <w:r w:rsidRPr="00962697">
        <w:rPr>
          <w:rFonts w:ascii="Times New Roman" w:eastAsia="DengXian" w:hAnsi="Times New Roman"/>
          <w:sz w:val="22"/>
          <w:szCs w:val="22"/>
        </w:rPr>
        <w:t xml:space="preserve"> BD, Fisher RI, Barrington SF, Cavalli F, Schwartz LH, </w:t>
      </w:r>
      <w:proofErr w:type="spellStart"/>
      <w:r w:rsidRPr="00962697">
        <w:rPr>
          <w:rFonts w:ascii="Times New Roman" w:eastAsia="DengXian" w:hAnsi="Times New Roman"/>
          <w:sz w:val="22"/>
          <w:szCs w:val="22"/>
        </w:rPr>
        <w:t>Zucca</w:t>
      </w:r>
      <w:proofErr w:type="spellEnd"/>
      <w:r w:rsidRPr="00962697">
        <w:rPr>
          <w:rFonts w:ascii="Times New Roman" w:eastAsia="DengXian" w:hAnsi="Times New Roman"/>
          <w:sz w:val="22"/>
          <w:szCs w:val="22"/>
        </w:rPr>
        <w:t xml:space="preserve"> E, et al. </w:t>
      </w:r>
      <w:r w:rsidRPr="00962697">
        <w:rPr>
          <w:rFonts w:ascii="Times New Roman" w:eastAsia="DengXian" w:hAnsi="Times New Roman"/>
          <w:color w:val="000000"/>
          <w:sz w:val="22"/>
          <w:szCs w:val="22"/>
        </w:rPr>
        <w:t xml:space="preserve">Recommendations for initial evaluation, staging, and response assessment of Hodgkin and non-Hodgkin lymphoma: the Lugano classification. </w:t>
      </w:r>
      <w:r w:rsidRPr="00D1378B">
        <w:rPr>
          <w:rFonts w:ascii="Times New Roman" w:eastAsia="DengXian" w:hAnsi="Times New Roman"/>
          <w:i/>
          <w:iCs/>
          <w:color w:val="000000"/>
          <w:sz w:val="22"/>
          <w:szCs w:val="22"/>
        </w:rPr>
        <w:t>J Clin Oncol</w:t>
      </w:r>
      <w:r w:rsidRPr="00962697">
        <w:rPr>
          <w:rFonts w:ascii="Times New Roman" w:eastAsia="DengXian" w:hAnsi="Times New Roman"/>
          <w:color w:val="000000"/>
          <w:sz w:val="22"/>
          <w:szCs w:val="22"/>
        </w:rPr>
        <w:t xml:space="preserve"> 2014;</w:t>
      </w:r>
      <w:r w:rsidRPr="00D1378B">
        <w:rPr>
          <w:rFonts w:ascii="Times New Roman" w:eastAsia="DengXian" w:hAnsi="Times New Roman"/>
          <w:b/>
          <w:bCs/>
          <w:color w:val="000000"/>
          <w:sz w:val="22"/>
          <w:szCs w:val="22"/>
        </w:rPr>
        <w:t>32</w:t>
      </w:r>
      <w:r w:rsidRPr="00962697">
        <w:rPr>
          <w:rFonts w:ascii="Times New Roman" w:eastAsia="DengXian" w:hAnsi="Times New Roman"/>
          <w:color w:val="000000"/>
          <w:sz w:val="22"/>
          <w:szCs w:val="22"/>
        </w:rPr>
        <w:t>(27):3059-68.</w:t>
      </w:r>
    </w:p>
    <w:p w14:paraId="37BBB738" w14:textId="77777777" w:rsidR="00D1378B" w:rsidRPr="00BD7535" w:rsidRDefault="00D1378B" w:rsidP="00BD7535"/>
    <w:sectPr w:rsidR="00D1378B" w:rsidRPr="00BD7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D2C6" w14:textId="77777777" w:rsidR="00407D8F" w:rsidRDefault="00407D8F" w:rsidP="00910671">
      <w:r>
        <w:separator/>
      </w:r>
    </w:p>
  </w:endnote>
  <w:endnote w:type="continuationSeparator" w:id="0">
    <w:p w14:paraId="345F027B" w14:textId="77777777" w:rsidR="00407D8F" w:rsidRDefault="00407D8F" w:rsidP="0091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45DAC" w14:textId="77777777" w:rsidR="00407D8F" w:rsidRDefault="00407D8F" w:rsidP="00910671">
      <w:r>
        <w:separator/>
      </w:r>
    </w:p>
  </w:footnote>
  <w:footnote w:type="continuationSeparator" w:id="0">
    <w:p w14:paraId="26E6C517" w14:textId="77777777" w:rsidR="00407D8F" w:rsidRDefault="00407D8F" w:rsidP="00910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7F"/>
    <w:rsid w:val="00030F4E"/>
    <w:rsid w:val="000C3BA7"/>
    <w:rsid w:val="000C7A50"/>
    <w:rsid w:val="00127CA7"/>
    <w:rsid w:val="0019298F"/>
    <w:rsid w:val="002B60DC"/>
    <w:rsid w:val="003B0F9E"/>
    <w:rsid w:val="00407D8F"/>
    <w:rsid w:val="0078315D"/>
    <w:rsid w:val="007A7E58"/>
    <w:rsid w:val="00910671"/>
    <w:rsid w:val="009360EE"/>
    <w:rsid w:val="00A30A26"/>
    <w:rsid w:val="00A544D8"/>
    <w:rsid w:val="00B613A1"/>
    <w:rsid w:val="00BD7535"/>
    <w:rsid w:val="00D1378B"/>
    <w:rsid w:val="00D4795E"/>
    <w:rsid w:val="00EF617F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2A38F"/>
  <w15:chartTrackingRefBased/>
  <w15:docId w15:val="{75E1789D-17BC-A245-9B3A-97E1743A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0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671"/>
  </w:style>
  <w:style w:type="paragraph" w:styleId="Footer">
    <w:name w:val="footer"/>
    <w:basedOn w:val="Normal"/>
    <w:link w:val="FooterChar"/>
    <w:uiPriority w:val="99"/>
    <w:unhideWhenUsed/>
    <w:rsid w:val="00910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671"/>
  </w:style>
  <w:style w:type="paragraph" w:styleId="NormalWeb">
    <w:name w:val="Normal (Web)"/>
    <w:basedOn w:val="Normal"/>
    <w:uiPriority w:val="99"/>
    <w:unhideWhenUsed/>
    <w:qFormat/>
    <w:rsid w:val="00BD7535"/>
    <w:pPr>
      <w:widowControl/>
      <w:spacing w:before="100" w:beforeAutospacing="1" w:after="100" w:afterAutospacing="1" w:line="259" w:lineRule="auto"/>
      <w:jc w:val="left"/>
    </w:pPr>
    <w:rPr>
      <w:rFonts w:ascii="SimSun" w:eastAsia="SimSun" w:hAnsi="SimSun" w:cs="SimSun"/>
      <w:kern w:val="0"/>
      <w:sz w:val="24"/>
    </w:rPr>
  </w:style>
  <w:style w:type="paragraph" w:customStyle="1" w:styleId="1">
    <w:name w:val="正文1"/>
    <w:rsid w:val="00D1378B"/>
    <w:pPr>
      <w:widowControl w:val="0"/>
      <w:spacing w:after="160" w:line="259" w:lineRule="auto"/>
      <w:jc w:val="both"/>
    </w:pPr>
    <w:rPr>
      <w:rFonts w:ascii="Calibri" w:eastAsia="SimSu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 jie</dc:creator>
  <cp:keywords/>
  <dc:description/>
  <cp:lastModifiedBy>Manman Deng</cp:lastModifiedBy>
  <cp:revision>5</cp:revision>
  <dcterms:created xsi:type="dcterms:W3CDTF">2021-05-21T08:48:00Z</dcterms:created>
  <dcterms:modified xsi:type="dcterms:W3CDTF">2021-05-30T05:33:00Z</dcterms:modified>
</cp:coreProperties>
</file>