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5D206" w14:textId="77777777" w:rsidR="00E63CDC" w:rsidRDefault="000925A1">
      <w:pPr>
        <w:autoSpaceDE w:val="0"/>
        <w:autoSpaceDN w:val="0"/>
        <w:jc w:val="left"/>
        <w:rPr>
          <w:rFonts w:ascii="Arial" w:hAnsi="Arial" w:cs="Arial"/>
          <w:b/>
          <w:bCs/>
          <w:kern w:val="0"/>
          <w:sz w:val="22"/>
          <w:szCs w:val="22"/>
        </w:rPr>
      </w:pPr>
      <w:r>
        <w:rPr>
          <w:rFonts w:ascii="Arial" w:hAnsi="Arial" w:cs="Arial" w:hint="eastAsia"/>
          <w:b/>
          <w:bCs/>
          <w:kern w:val="0"/>
          <w:sz w:val="22"/>
          <w:szCs w:val="22"/>
        </w:rPr>
        <w:t>Methods</w:t>
      </w:r>
    </w:p>
    <w:p w14:paraId="39C71F00" w14:textId="77777777" w:rsidR="00E63CDC" w:rsidRDefault="000925A1">
      <w:pPr>
        <w:autoSpaceDE w:val="0"/>
        <w:autoSpaceDN w:val="0"/>
        <w:jc w:val="left"/>
        <w:rPr>
          <w:rFonts w:ascii="Arial" w:hAnsi="Arial" w:cs="Arial"/>
          <w:b/>
          <w:bCs/>
        </w:rPr>
      </w:pPr>
      <w:r>
        <w:rPr>
          <w:rFonts w:ascii="Arial" w:hAnsi="Arial" w:cs="Arial"/>
          <w:b/>
          <w:bCs/>
          <w:kern w:val="0"/>
          <w:sz w:val="22"/>
          <w:szCs w:val="22"/>
        </w:rPr>
        <w:t>Cell lines</w:t>
      </w:r>
    </w:p>
    <w:p w14:paraId="26FD0F47"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 xml:space="preserve">NIH 3T3, MOLT-4, Jurkat, THP-1, K-562, A-673, U251-MG, MCF-7, HeLa, SK-OV-3, A549, and SW480 cell lines were purchased from the Chinese Academy of Sciences Cell Bank (CASCB, China). U266B1, RD-ES, OVCAR-8 and HCT116 cell lines were </w:t>
      </w:r>
      <w:r>
        <w:rPr>
          <w:rFonts w:ascii="Arial" w:eastAsiaTheme="minorEastAsia" w:hAnsi="Arial" w:cs="Arial"/>
          <w:sz w:val="22"/>
          <w:szCs w:val="22"/>
        </w:rPr>
        <w:t>purchased from the American Type Tissue Culture Collection (ATCC, USA). SKM-1, MOLM-13 and OCI-AML3 were purchased from DSMZ(Germany). The Lenti-X 293T cell line was obtained from TAKARA. All the cells identity was confirmed by STR loci profiling performed</w:t>
      </w:r>
      <w:r>
        <w:rPr>
          <w:rFonts w:ascii="Arial" w:eastAsiaTheme="minorEastAsia" w:hAnsi="Arial" w:cs="Arial"/>
          <w:sz w:val="22"/>
          <w:szCs w:val="22"/>
        </w:rPr>
        <w:t xml:space="preserve"> by source of institutes.</w:t>
      </w:r>
    </w:p>
    <w:p w14:paraId="553FED2F"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NIH</w:t>
      </w:r>
      <w:r>
        <w:rPr>
          <w:rFonts w:ascii="Arial" w:eastAsiaTheme="minorEastAsia" w:hAnsi="Arial" w:cs="Arial" w:hint="eastAsia"/>
          <w:sz w:val="22"/>
          <w:szCs w:val="22"/>
        </w:rPr>
        <w:t xml:space="preserve"> </w:t>
      </w:r>
      <w:r>
        <w:rPr>
          <w:rFonts w:ascii="Arial" w:eastAsiaTheme="minorEastAsia" w:hAnsi="Arial" w:cs="Arial"/>
          <w:sz w:val="22"/>
          <w:szCs w:val="22"/>
        </w:rPr>
        <w:t>3T3, A-673, U251-MG, MCF-7, HeLa, SK-OV-3, A549, OVCAR-8, HCT116 and Lenti-X 293T cell lines were cultured in DMEM with 10% FBS. Jurkat, MOLT-4, THP-1, K-562, U266B1, RD-ES, SW480, SKM-1 and MOLM-13 and cell lines were culture</w:t>
      </w:r>
      <w:r>
        <w:rPr>
          <w:rFonts w:ascii="Arial" w:eastAsiaTheme="minorEastAsia" w:hAnsi="Arial" w:cs="Arial"/>
          <w:sz w:val="22"/>
          <w:szCs w:val="22"/>
        </w:rPr>
        <w:t>d in RPMI 1640 medium with 10% FBS</w:t>
      </w:r>
      <w:r>
        <w:rPr>
          <w:rFonts w:ascii="Arial" w:eastAsiaTheme="minorEastAsia" w:hAnsi="Arial" w:cs="Arial" w:hint="eastAsia"/>
          <w:sz w:val="22"/>
          <w:szCs w:val="22"/>
        </w:rPr>
        <w:t>.</w:t>
      </w:r>
      <w:r>
        <w:rPr>
          <w:rFonts w:ascii="Arial" w:eastAsiaTheme="minorEastAsia" w:hAnsi="Arial" w:cs="Arial"/>
          <w:sz w:val="22"/>
          <w:szCs w:val="22"/>
        </w:rPr>
        <w:t xml:space="preserve"> Cell lines were placed in a 37°C and 5% CO2 humidified incubator and tested to ensure the lack of mycoplasma contamination.</w:t>
      </w:r>
    </w:p>
    <w:p w14:paraId="107B0E7A" w14:textId="77777777" w:rsidR="00E63CDC" w:rsidRDefault="000925A1">
      <w:pPr>
        <w:autoSpaceDE w:val="0"/>
        <w:autoSpaceDN w:val="0"/>
        <w:jc w:val="left"/>
        <w:rPr>
          <w:rFonts w:ascii="Arial" w:hAnsi="Arial" w:cs="Arial"/>
          <w:b/>
          <w:bCs/>
        </w:rPr>
      </w:pPr>
      <w:r>
        <w:rPr>
          <w:rFonts w:ascii="Arial" w:hAnsi="Arial" w:cs="Arial"/>
          <w:b/>
          <w:bCs/>
          <w:kern w:val="0"/>
          <w:sz w:val="22"/>
          <w:szCs w:val="22"/>
        </w:rPr>
        <w:t>Biolayer interferometry (BLI)</w:t>
      </w:r>
    </w:p>
    <w:p w14:paraId="5BE70F19" w14:textId="5A9F5640" w:rsidR="00E63CDC" w:rsidRDefault="000925A1" w:rsidP="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To analyse the binding kinetics of the anti-CD99 scFv or antibodie</w:t>
      </w:r>
      <w:r>
        <w:rPr>
          <w:rFonts w:ascii="Arial" w:eastAsiaTheme="minorEastAsia" w:hAnsi="Arial" w:cs="Arial"/>
          <w:sz w:val="22"/>
          <w:szCs w:val="22"/>
        </w:rPr>
        <w:t>s with CD99 protein, we performed biolayer interferometry on an Octet QK system against anti-CD99 scFv. The biosensor was coated with streptavidin, and the CD99 protein was biotinylated. Then, the CD99 protein was immobilized onto the biosensor by biotin-s</w:t>
      </w:r>
      <w:r>
        <w:rPr>
          <w:rFonts w:ascii="Arial" w:eastAsiaTheme="minorEastAsia" w:hAnsi="Arial" w:cs="Arial"/>
          <w:sz w:val="22"/>
          <w:szCs w:val="22"/>
        </w:rPr>
        <w:t xml:space="preserve">treptavidin interactions. After removal of excess biotin, anti-CD99 scFv or antibodies was injected over the surface of the biosensor for association. Then, ForteBio BLItz was used to assess the binding </w:t>
      </w:r>
      <w:r w:rsidRPr="000925A1">
        <w:rPr>
          <w:rFonts w:ascii="Arial" w:eastAsiaTheme="minorEastAsia" w:hAnsi="Arial" w:cs="Arial"/>
          <w:sz w:val="22"/>
          <w:szCs w:val="22"/>
        </w:rPr>
        <w:t>affinities</w:t>
      </w:r>
      <w:r>
        <w:rPr>
          <w:rFonts w:ascii="Arial" w:eastAsiaTheme="minorEastAsia" w:hAnsi="Arial" w:cs="Arial"/>
          <w:sz w:val="22"/>
          <w:szCs w:val="22"/>
        </w:rPr>
        <w:t xml:space="preserve"> following the protocol. All BLI experiments were repe</w:t>
      </w:r>
      <w:r>
        <w:rPr>
          <w:rFonts w:ascii="Arial" w:eastAsiaTheme="minorEastAsia" w:hAnsi="Arial" w:cs="Arial"/>
          <w:sz w:val="22"/>
          <w:szCs w:val="22"/>
        </w:rPr>
        <w:t>ated at least three times, and the affinities of CD99 and anti-CD99 scFv or antibody were determined by binding curves using GraphPad Prism.</w:t>
      </w:r>
    </w:p>
    <w:p w14:paraId="4A3B1570" w14:textId="77777777" w:rsidR="00E63CDC" w:rsidRDefault="000925A1">
      <w:pPr>
        <w:autoSpaceDE w:val="0"/>
        <w:autoSpaceDN w:val="0"/>
        <w:jc w:val="left"/>
        <w:rPr>
          <w:rFonts w:ascii="Arial" w:hAnsi="Arial" w:cs="Arial"/>
          <w:b/>
        </w:rPr>
      </w:pPr>
      <w:r>
        <w:rPr>
          <w:rFonts w:ascii="Arial" w:hAnsi="Arial" w:cs="Arial" w:hint="eastAsia"/>
          <w:b/>
          <w:kern w:val="0"/>
          <w:sz w:val="22"/>
          <w:szCs w:val="22"/>
        </w:rPr>
        <w:t>CAR</w:t>
      </w:r>
      <w:r>
        <w:rPr>
          <w:rFonts w:ascii="Arial" w:hAnsi="Arial" w:cs="Arial"/>
          <w:b/>
          <w:kern w:val="0"/>
          <w:sz w:val="22"/>
          <w:szCs w:val="22"/>
        </w:rPr>
        <w:t xml:space="preserve"> construction and lentivirus production</w:t>
      </w:r>
    </w:p>
    <w:p w14:paraId="57B23DFB" w14:textId="1E9887FB"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The CAR backbone consists of a CD8 hinge, a transmembrane domain</w:t>
      </w:r>
      <w:r>
        <w:rPr>
          <w:rFonts w:ascii="Arial" w:eastAsiaTheme="minorEastAsia" w:hAnsi="Arial" w:cs="Arial" w:hint="eastAsia"/>
          <w:sz w:val="22"/>
          <w:szCs w:val="22"/>
        </w:rPr>
        <w:t>,</w:t>
      </w:r>
      <w:r>
        <w:rPr>
          <w:rFonts w:ascii="Arial" w:eastAsiaTheme="minorEastAsia" w:hAnsi="Arial" w:cs="Arial"/>
          <w:sz w:val="22"/>
          <w:szCs w:val="22"/>
        </w:rPr>
        <w:t xml:space="preserve"> a</w:t>
      </w:r>
      <w:r>
        <w:rPr>
          <w:rFonts w:ascii="Arial" w:eastAsiaTheme="minorEastAsia" w:hAnsi="Arial" w:cs="Arial"/>
          <w:sz w:val="22"/>
          <w:szCs w:val="22"/>
        </w:rPr>
        <w:t xml:space="preserve"> </w:t>
      </w:r>
      <w:r>
        <w:rPr>
          <w:rFonts w:ascii="Arial" w:eastAsiaTheme="minorEastAsia" w:hAnsi="Arial" w:cs="Arial"/>
          <w:sz w:val="22"/>
          <w:szCs w:val="22"/>
        </w:rPr>
        <w:t xml:space="preserve">CD28 </w:t>
      </w:r>
      <w:r>
        <w:rPr>
          <w:rFonts w:ascii="Arial" w:eastAsiaTheme="minorEastAsia" w:hAnsi="Arial" w:cs="Arial"/>
          <w:sz w:val="22"/>
          <w:szCs w:val="22"/>
        </w:rPr>
        <w:t>int</w:t>
      </w:r>
      <w:r>
        <w:rPr>
          <w:rFonts w:ascii="Arial" w:eastAsiaTheme="minorEastAsia" w:hAnsi="Arial" w:cs="Arial"/>
          <w:sz w:val="22"/>
          <w:szCs w:val="22"/>
        </w:rPr>
        <w:t xml:space="preserve">racellular </w:t>
      </w:r>
      <w:r>
        <w:rPr>
          <w:rFonts w:ascii="Arial" w:eastAsiaTheme="minorEastAsia" w:hAnsi="Arial" w:cs="Arial"/>
          <w:sz w:val="22"/>
          <w:szCs w:val="22"/>
        </w:rPr>
        <w:t>costimulatory domain, a 4-1BB costimulatory domain and a CD3ζ activation domain, as illustrated in Figure1d</w:t>
      </w:r>
      <w:r>
        <w:rPr>
          <w:rFonts w:ascii="Arial" w:eastAsiaTheme="minorEastAsia" w:hAnsi="Arial" w:cs="Arial" w:hint="eastAsia"/>
          <w:sz w:val="22"/>
          <w:szCs w:val="22"/>
        </w:rPr>
        <w:t xml:space="preserve">. </w:t>
      </w:r>
      <w:r>
        <w:rPr>
          <w:rFonts w:ascii="Arial" w:eastAsiaTheme="minorEastAsia" w:hAnsi="Arial" w:cs="Arial"/>
          <w:sz w:val="22"/>
          <w:szCs w:val="22"/>
        </w:rPr>
        <w:t xml:space="preserve">The sequence of 12E7 scFv come from previous patent (patent number: WO2015/161267 A2). The codon-optimized CD99 </w:t>
      </w:r>
      <w:r>
        <w:rPr>
          <w:rFonts w:ascii="Arial" w:eastAsiaTheme="minorEastAsia" w:hAnsi="Arial" w:cs="Arial"/>
          <w:sz w:val="22"/>
          <w:szCs w:val="22"/>
        </w:rPr>
        <w:lastRenderedPageBreak/>
        <w:t>CAR was synthesized</w:t>
      </w:r>
      <w:r>
        <w:rPr>
          <w:rFonts w:ascii="Arial" w:eastAsiaTheme="minorEastAsia" w:hAnsi="Arial" w:cs="Arial"/>
          <w:sz w:val="22"/>
          <w:szCs w:val="22"/>
        </w:rPr>
        <w:t xml:space="preserve"> (Sangon Biotech; China) and cloned into the lentiviral vector PTK. To produce CD99-CAR lentivirus, 293T cells were transfected with a combination of plasmids containing PTK-anti-CD99 CAR, pMDLg-pRRE, pRSV-rev and pMD2.G.</w:t>
      </w:r>
    </w:p>
    <w:p w14:paraId="6C00AD48" w14:textId="77777777" w:rsidR="00E63CDC" w:rsidRDefault="000925A1">
      <w:pPr>
        <w:widowControl/>
        <w:spacing w:after="200" w:line="360" w:lineRule="auto"/>
        <w:rPr>
          <w:rFonts w:ascii="Arial" w:hAnsi="Arial" w:cs="Arial"/>
          <w:b/>
          <w:bCs/>
        </w:rPr>
      </w:pPr>
      <w:r>
        <w:rPr>
          <w:rFonts w:ascii="Arial" w:hAnsi="Arial" w:cs="Arial"/>
          <w:b/>
          <w:bCs/>
          <w:kern w:val="0"/>
          <w:sz w:val="22"/>
          <w:szCs w:val="22"/>
        </w:rPr>
        <w:t>CAR T cell manufacturing</w:t>
      </w:r>
    </w:p>
    <w:p w14:paraId="7104A0F5"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The perip</w:t>
      </w:r>
      <w:r>
        <w:rPr>
          <w:rFonts w:ascii="Arial" w:eastAsiaTheme="minorEastAsia" w:hAnsi="Arial" w:cs="Arial"/>
          <w:sz w:val="22"/>
          <w:szCs w:val="22"/>
        </w:rPr>
        <w:t>heral blood mononuclear cells (PBMCs) from the volunteers were isolated through Ficoll-Hypaque density gradient centrifugation (GE Healthcare, Sweden), and T lymphocytes were positively selected from PBMCs using MACS® human CD3 microbeads (MACS, Germany) f</w:t>
      </w:r>
      <w:r>
        <w:rPr>
          <w:rFonts w:ascii="Arial" w:eastAsiaTheme="minorEastAsia" w:hAnsi="Arial" w:cs="Arial"/>
          <w:sz w:val="22"/>
          <w:szCs w:val="22"/>
        </w:rPr>
        <w:t>ollowing the manufacturer’s instructions. T cells were activated with Transact (MACS, USA) for 1 day and then transduced with the above lentivirus at a multiplicity of infection (MOI) ranging from 3 to 5. To determine the transduction efficiency of anti-CD</w:t>
      </w:r>
      <w:r>
        <w:rPr>
          <w:rFonts w:ascii="Arial" w:eastAsiaTheme="minorEastAsia" w:hAnsi="Arial" w:cs="Arial"/>
          <w:sz w:val="22"/>
          <w:szCs w:val="22"/>
        </w:rPr>
        <w:t>99 CAR, cells were stained with Strep-Tag II antibody and analyzed by flow cytometry after 3 days. Throughout manufacturing, all CD3+ T cells were cultured using GMP medium (TexMACS™, USA) with additional IL-2 (Miltenyi, Germany), HEPES (InvivoGen, USA) an</w:t>
      </w:r>
      <w:r>
        <w:rPr>
          <w:rFonts w:ascii="Arial" w:eastAsiaTheme="minorEastAsia" w:hAnsi="Arial" w:cs="Arial"/>
          <w:sz w:val="22"/>
          <w:szCs w:val="22"/>
        </w:rPr>
        <w:t>d L-glutamine (Gibco, USA). The viability, potency, copy number, replication-competent lentivirus, sterility, mycoplasma, and of CAR T cells were analyzed for quality control purposes.</w:t>
      </w:r>
    </w:p>
    <w:p w14:paraId="599FD64E" w14:textId="77777777" w:rsidR="00E63CDC" w:rsidRDefault="000925A1">
      <w:pPr>
        <w:pStyle w:val="a9"/>
        <w:jc w:val="left"/>
        <w:rPr>
          <w:rFonts w:ascii="Arial" w:hAnsi="Arial" w:cs="Arial"/>
          <w:b/>
          <w:bCs/>
          <w:sz w:val="22"/>
          <w:szCs w:val="22"/>
        </w:rPr>
      </w:pPr>
      <w:r>
        <w:rPr>
          <w:rFonts w:ascii="Arial" w:hAnsi="Arial" w:cs="Arial"/>
          <w:b/>
          <w:bCs/>
          <w:sz w:val="22"/>
          <w:szCs w:val="22"/>
        </w:rPr>
        <w:t>Enrichment of CAR positive T cells</w:t>
      </w:r>
    </w:p>
    <w:p w14:paraId="63ED5F8D" w14:textId="5CA56878"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 xml:space="preserve">CAR T cells were enriched using </w:t>
      </w:r>
      <w:r>
        <w:rPr>
          <w:rFonts w:ascii="Arial" w:eastAsiaTheme="minorEastAsia" w:hAnsi="Arial" w:cs="Arial" w:hint="eastAsia"/>
          <w:sz w:val="22"/>
          <w:szCs w:val="22"/>
        </w:rPr>
        <w:t>a</w:t>
      </w:r>
      <w:r>
        <w:rPr>
          <w:rFonts w:ascii="Arial" w:eastAsiaTheme="minorEastAsia" w:hAnsi="Arial" w:cs="Arial"/>
          <w:sz w:val="22"/>
          <w:szCs w:val="22"/>
        </w:rPr>
        <w:t>nti-FITC MicroBeads (Miltenyi Biotec) according to the manufacturer's instructions. Briefly, the CAR T cells were labeled with FITC-conjugated antibody (Strep-Tag II-FITC)</w:t>
      </w:r>
      <w:r>
        <w:rPr>
          <w:rFonts w:ascii="Arial" w:eastAsiaTheme="minorEastAsia" w:hAnsi="Arial" w:cs="Arial" w:hint="eastAsia"/>
          <w:sz w:val="22"/>
          <w:szCs w:val="22"/>
        </w:rPr>
        <w:t xml:space="preserve"> and</w:t>
      </w:r>
      <w:r>
        <w:rPr>
          <w:rFonts w:ascii="Arial" w:eastAsiaTheme="minorEastAsia" w:hAnsi="Arial" w:cs="Arial"/>
          <w:sz w:val="22"/>
          <w:szCs w:val="22"/>
        </w:rPr>
        <w:t xml:space="preserve"> anti-FITC MicroBeads, and then the labeled cell</w:t>
      </w:r>
      <w:r>
        <w:rPr>
          <w:rFonts w:ascii="Arial" w:eastAsiaTheme="minorEastAsia" w:hAnsi="Arial" w:cs="Arial"/>
          <w:sz w:val="22"/>
          <w:szCs w:val="22"/>
        </w:rPr>
        <w:t xml:space="preserve">s were put into a magnetic field. Using this procedure, the magnetically labeled </w:t>
      </w:r>
      <w:bookmarkStart w:id="0" w:name="OLE_LINK80"/>
      <w:bookmarkStart w:id="1" w:name="OLE_LINK79"/>
      <w:bookmarkEnd w:id="0"/>
      <w:r>
        <w:rPr>
          <w:rFonts w:ascii="Arial" w:eastAsiaTheme="minorEastAsia" w:hAnsi="Arial" w:cs="Arial"/>
          <w:sz w:val="22"/>
          <w:szCs w:val="22"/>
        </w:rPr>
        <w:t>FITC-positive cells</w:t>
      </w:r>
      <w:bookmarkEnd w:id="1"/>
      <w:r>
        <w:rPr>
          <w:rFonts w:ascii="Arial" w:eastAsiaTheme="minorEastAsia" w:hAnsi="Arial" w:cs="Arial"/>
          <w:sz w:val="22"/>
          <w:szCs w:val="22"/>
        </w:rPr>
        <w:t xml:space="preserve"> were retained in the tube</w:t>
      </w:r>
      <w:r>
        <w:rPr>
          <w:rFonts w:ascii="Arial" w:eastAsiaTheme="minorEastAsia" w:hAnsi="Arial" w:cs="Arial"/>
          <w:sz w:val="22"/>
          <w:szCs w:val="22"/>
        </w:rPr>
        <w:t>.</w:t>
      </w:r>
    </w:p>
    <w:p w14:paraId="24778FAC" w14:textId="77777777" w:rsidR="00E63CDC" w:rsidRDefault="000925A1">
      <w:pPr>
        <w:autoSpaceDE w:val="0"/>
        <w:autoSpaceDN w:val="0"/>
        <w:jc w:val="left"/>
        <w:rPr>
          <w:rFonts w:ascii="Arial" w:hAnsi="Arial" w:cs="Arial"/>
          <w:b/>
          <w:bCs/>
        </w:rPr>
      </w:pPr>
      <w:r>
        <w:rPr>
          <w:rFonts w:ascii="Arial" w:hAnsi="Arial" w:cs="Arial"/>
          <w:b/>
          <w:bCs/>
          <w:kern w:val="0"/>
          <w:sz w:val="22"/>
          <w:szCs w:val="22"/>
        </w:rPr>
        <w:t>Flow cytometry</w:t>
      </w:r>
    </w:p>
    <w:p w14:paraId="19CF7F18"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All reagents and antibodies for flo</w:t>
      </w:r>
      <w:r>
        <w:rPr>
          <w:rFonts w:ascii="Arial" w:eastAsiaTheme="minorEastAsia" w:hAnsi="Arial" w:cs="Arial"/>
          <w:sz w:val="22"/>
          <w:szCs w:val="22"/>
        </w:rPr>
        <w:t>w cytometr</w:t>
      </w:r>
      <w:r>
        <w:rPr>
          <w:rFonts w:ascii="Arial" w:eastAsiaTheme="minorEastAsia" w:hAnsi="Arial" w:cs="Arial" w:hint="eastAsia"/>
          <w:sz w:val="22"/>
          <w:szCs w:val="22"/>
        </w:rPr>
        <w:t>y</w:t>
      </w:r>
      <w:r>
        <w:rPr>
          <w:rFonts w:ascii="Arial" w:eastAsiaTheme="minorEastAsia" w:hAnsi="Arial" w:cs="Arial"/>
          <w:sz w:val="22"/>
          <w:szCs w:val="22"/>
        </w:rPr>
        <w:t xml:space="preserve"> analysis were purchased from Biolegend</w:t>
      </w:r>
      <w:r>
        <w:rPr>
          <w:rFonts w:ascii="Arial" w:eastAsiaTheme="minorEastAsia" w:hAnsi="Arial" w:cs="Arial" w:hint="eastAsia"/>
          <w:sz w:val="22"/>
          <w:szCs w:val="22"/>
        </w:rPr>
        <w:t xml:space="preserve"> </w:t>
      </w:r>
      <w:r>
        <w:rPr>
          <w:rFonts w:ascii="Arial" w:eastAsiaTheme="minorEastAsia" w:hAnsi="Arial" w:cs="Arial"/>
          <w:sz w:val="22"/>
          <w:szCs w:val="22"/>
        </w:rPr>
        <w:t>/</w:t>
      </w:r>
      <w:r>
        <w:rPr>
          <w:rFonts w:ascii="Arial" w:eastAsiaTheme="minorEastAsia" w:hAnsi="Arial" w:cs="Arial" w:hint="eastAsia"/>
          <w:sz w:val="22"/>
          <w:szCs w:val="22"/>
        </w:rPr>
        <w:t xml:space="preserve"> </w:t>
      </w:r>
      <w:r>
        <w:rPr>
          <w:rFonts w:ascii="Arial" w:eastAsiaTheme="minorEastAsia" w:hAnsi="Arial" w:cs="Arial"/>
          <w:sz w:val="22"/>
          <w:szCs w:val="22"/>
        </w:rPr>
        <w:t>BD</w:t>
      </w:r>
      <w:r>
        <w:rPr>
          <w:rFonts w:ascii="Arial" w:eastAsiaTheme="minorEastAsia" w:hAnsi="Arial" w:cs="Arial" w:hint="eastAsia"/>
          <w:sz w:val="22"/>
          <w:szCs w:val="22"/>
        </w:rPr>
        <w:t xml:space="preserve"> </w:t>
      </w:r>
      <w:r>
        <w:rPr>
          <w:rFonts w:ascii="Arial" w:eastAsiaTheme="minorEastAsia" w:hAnsi="Arial" w:cs="Arial"/>
          <w:sz w:val="22"/>
          <w:szCs w:val="22"/>
        </w:rPr>
        <w:t>/</w:t>
      </w:r>
      <w:r>
        <w:rPr>
          <w:rFonts w:ascii="Arial" w:eastAsiaTheme="minorEastAsia" w:hAnsi="Arial" w:cs="Arial" w:hint="eastAsia"/>
          <w:sz w:val="22"/>
          <w:szCs w:val="22"/>
        </w:rPr>
        <w:t xml:space="preserve"> </w:t>
      </w:r>
      <w:r>
        <w:rPr>
          <w:rFonts w:ascii="Arial" w:eastAsiaTheme="minorEastAsia" w:hAnsi="Arial" w:cs="Arial"/>
          <w:sz w:val="22"/>
          <w:szCs w:val="22"/>
        </w:rPr>
        <w:t>R&amp;D unless stated otherwise. Flow cytometry was performed using a Beckman CytoFLEX flow cytometer. FACS sorting was performed using a BD FACSAria (BD Biosciences, USA). Cell lines were incubated wit</w:t>
      </w:r>
      <w:r>
        <w:rPr>
          <w:rFonts w:ascii="Arial" w:eastAsiaTheme="minorEastAsia" w:hAnsi="Arial" w:cs="Arial"/>
          <w:sz w:val="22"/>
          <w:szCs w:val="22"/>
        </w:rPr>
        <w:t xml:space="preserve">h antibodies at the recommended dilution on ice for 30 mins in the dark and then washed twice with PBS containing 2% FBS (Gibco, USA). PB were lysed with red blood cell (RBC) lysis buffer </w:t>
      </w:r>
      <w:r>
        <w:rPr>
          <w:rFonts w:ascii="Arial" w:eastAsiaTheme="minorEastAsia" w:hAnsi="Arial" w:cs="Arial"/>
          <w:sz w:val="22"/>
          <w:szCs w:val="22"/>
        </w:rPr>
        <w:lastRenderedPageBreak/>
        <w:t>to remove the red blood cells to obtain mononuclear cell suspensions</w:t>
      </w:r>
      <w:r>
        <w:rPr>
          <w:rFonts w:ascii="Arial" w:eastAsiaTheme="minorEastAsia" w:hAnsi="Arial" w:cs="Arial"/>
          <w:sz w:val="22"/>
          <w:szCs w:val="22"/>
        </w:rPr>
        <w:t xml:space="preserve"> and prepared through the process described above. Cells were subsequently stained with 7-AAD to exclude dead cells. Positive events were determined by isotype control gating for each antibody. The efficiency of anti-CD99 CAR transduction was calculated us</w:t>
      </w:r>
      <w:r>
        <w:rPr>
          <w:rFonts w:ascii="Arial" w:eastAsiaTheme="minorEastAsia" w:hAnsi="Arial" w:cs="Arial"/>
          <w:sz w:val="22"/>
          <w:szCs w:val="22"/>
        </w:rPr>
        <w:t>ing Strep-Tag II. Information pertaining to all antibodies used in this study is shown in Antibody Table showed below. Data analysis was carried out using FlowJo (v10.0.7, FlowJo, LLC, Ashland, OR, USA).</w:t>
      </w:r>
    </w:p>
    <w:p w14:paraId="484B8BBE" w14:textId="77777777" w:rsidR="00E63CDC" w:rsidRDefault="000925A1">
      <w:pPr>
        <w:widowControl/>
        <w:spacing w:after="200" w:line="360" w:lineRule="auto"/>
        <w:rPr>
          <w:rFonts w:ascii="Arial" w:eastAsiaTheme="minorEastAsia" w:hAnsi="Arial" w:cs="Arial"/>
          <w:b/>
          <w:bCs/>
          <w:kern w:val="0"/>
          <w:sz w:val="22"/>
          <w:szCs w:val="22"/>
        </w:rPr>
      </w:pPr>
      <w:r>
        <w:rPr>
          <w:rFonts w:ascii="Arial" w:eastAsiaTheme="minorEastAsia" w:hAnsi="Arial" w:cs="Arial"/>
          <w:b/>
          <w:bCs/>
          <w:kern w:val="0"/>
          <w:sz w:val="22"/>
          <w:szCs w:val="22"/>
        </w:rPr>
        <w:t xml:space="preserve">Knockdown and </w:t>
      </w:r>
      <w:r>
        <w:rPr>
          <w:rFonts w:ascii="Arial" w:eastAsiaTheme="minorEastAsia" w:hAnsi="Arial" w:cs="Arial" w:hint="eastAsia"/>
          <w:b/>
          <w:bCs/>
          <w:kern w:val="0"/>
          <w:sz w:val="22"/>
          <w:szCs w:val="22"/>
        </w:rPr>
        <w:t>Overexpression</w:t>
      </w:r>
    </w:p>
    <w:p w14:paraId="153CD191" w14:textId="77777777" w:rsidR="00E63CDC" w:rsidRDefault="000925A1">
      <w:pPr>
        <w:widowControl/>
        <w:spacing w:after="200" w:line="360" w:lineRule="auto"/>
        <w:ind w:firstLineChars="200" w:firstLine="440"/>
        <w:jc w:val="left"/>
        <w:rPr>
          <w:rFonts w:ascii="Arial" w:eastAsiaTheme="minorEastAsia" w:hAnsi="Arial" w:cs="Arial"/>
          <w:kern w:val="0"/>
          <w:sz w:val="22"/>
          <w:szCs w:val="22"/>
        </w:rPr>
      </w:pPr>
      <w:r>
        <w:rPr>
          <w:rFonts w:ascii="Arial" w:eastAsiaTheme="minorEastAsia" w:hAnsi="Arial" w:cs="Arial"/>
          <w:kern w:val="0"/>
          <w:sz w:val="22"/>
          <w:szCs w:val="22"/>
        </w:rPr>
        <w:t xml:space="preserve">For antigen </w:t>
      </w:r>
      <w:r>
        <w:rPr>
          <w:rFonts w:ascii="Arial" w:eastAsiaTheme="minorEastAsia" w:hAnsi="Arial" w:cs="Arial"/>
          <w:kern w:val="0"/>
          <w:sz w:val="22"/>
          <w:szCs w:val="22"/>
        </w:rPr>
        <w:t>specificity analysis of anti-CD99 CAR T cells, knockdown or overexpression cell lines were generated as follows. To establish short hairpin (sh) CD99 knockdown cell lines, MOLT-4 cells were infected with lentivirus packaged by the silencing plasmid (PLVX-H</w:t>
      </w:r>
      <w:r>
        <w:rPr>
          <w:rFonts w:ascii="Arial" w:eastAsiaTheme="minorEastAsia" w:hAnsi="Arial" w:cs="Arial"/>
          <w:kern w:val="0"/>
          <w:sz w:val="22"/>
          <w:szCs w:val="22"/>
        </w:rPr>
        <w:t>1-EF1a-GFP-IRES-puro), which includes a puromycin resistance region, and an shRNA construct to target CD99 (shRNA2: 5’-</w:t>
      </w:r>
      <w:r>
        <w:rPr>
          <w:rFonts w:ascii="Arial" w:hAnsi="Arial" w:cs="Arial"/>
        </w:rPr>
        <w:t xml:space="preserve"> </w:t>
      </w:r>
      <w:r>
        <w:rPr>
          <w:rFonts w:ascii="Arial" w:eastAsiaTheme="minorEastAsia" w:hAnsi="Arial" w:cs="Arial"/>
          <w:kern w:val="0"/>
          <w:sz w:val="22"/>
          <w:szCs w:val="22"/>
        </w:rPr>
        <w:t>CGGATGGTGGTTTCGATTTATCTCGAGATAAATCGAAACCACCATCCGTTTTTT-3’; shRNA5: 5’-CCAGCTGTTCAGCGTACTCTTCTCGAGAAGAGTACGCTGAACAGCTGGTTTTTT-3’) or a no</w:t>
      </w:r>
      <w:r>
        <w:rPr>
          <w:rFonts w:ascii="Arial" w:eastAsiaTheme="minorEastAsia" w:hAnsi="Arial" w:cs="Arial"/>
          <w:kern w:val="0"/>
          <w:sz w:val="22"/>
          <w:szCs w:val="22"/>
        </w:rPr>
        <w:t>n-specific shRNA control (shRNA C: 5’- CAACACAGATGATAGAGCACCAATTGGTGCTCTATCATCTGTGTTGTTTTT-3’). MOLT- 4 cells stably expressing CD99-targeted shRNA (MOLT-4 sh2 and MOLT-4 sh5) and nonspecific shRNA control (MOLT-4 shC) were analyzed by flow cytometry to me</w:t>
      </w:r>
      <w:r>
        <w:rPr>
          <w:rFonts w:ascii="Arial" w:eastAsiaTheme="minorEastAsia" w:hAnsi="Arial" w:cs="Arial"/>
          <w:kern w:val="0"/>
          <w:sz w:val="22"/>
          <w:szCs w:val="22"/>
        </w:rPr>
        <w:t>asure the knockdown efficiency. To construct a stable cell line overexpressing human CD99, a Lentivirus vector containing the CDS of CD99 was transfected into NIH 3T3 cell lines. The overexpression efficiency of NIH 3T3-hCD99 was measured by flow cytometry</w:t>
      </w:r>
      <w:r>
        <w:rPr>
          <w:rFonts w:ascii="Arial" w:eastAsiaTheme="minorEastAsia" w:hAnsi="Arial" w:cs="Arial"/>
          <w:kern w:val="0"/>
          <w:sz w:val="22"/>
          <w:szCs w:val="22"/>
        </w:rPr>
        <w:t xml:space="preserve"> as described above.</w:t>
      </w:r>
    </w:p>
    <w:p w14:paraId="59405D79" w14:textId="77777777" w:rsidR="00E63CDC" w:rsidRDefault="000925A1">
      <w:pPr>
        <w:widowControl/>
        <w:spacing w:after="200" w:line="360" w:lineRule="auto"/>
        <w:rPr>
          <w:rFonts w:ascii="Arial" w:eastAsiaTheme="minorEastAsia" w:hAnsi="Arial" w:cs="Arial"/>
          <w:sz w:val="22"/>
          <w:szCs w:val="22"/>
        </w:rPr>
      </w:pPr>
      <w:r>
        <w:rPr>
          <w:rFonts w:ascii="Arial" w:hAnsi="Arial" w:cs="Arial"/>
          <w:b/>
          <w:bCs/>
          <w:kern w:val="0"/>
          <w:sz w:val="22"/>
          <w:szCs w:val="22"/>
        </w:rPr>
        <w:t>Cytotoxicity assay</w:t>
      </w:r>
    </w:p>
    <w:p w14:paraId="154ED4D5" w14:textId="77777777" w:rsidR="00E63CDC" w:rsidRDefault="000925A1">
      <w:pPr>
        <w:widowControl/>
        <w:spacing w:after="200" w:line="360" w:lineRule="auto"/>
        <w:ind w:firstLineChars="200" w:firstLine="440"/>
        <w:jc w:val="left"/>
        <w:rPr>
          <w:rFonts w:ascii="Arial" w:eastAsiaTheme="minorEastAsia" w:hAnsi="Arial" w:cs="Arial"/>
          <w:sz w:val="22"/>
          <w:szCs w:val="22"/>
        </w:rPr>
      </w:pPr>
      <w:r>
        <w:rPr>
          <w:rFonts w:ascii="Arial" w:eastAsiaTheme="minorEastAsia" w:hAnsi="Arial" w:cs="Arial"/>
          <w:sz w:val="22"/>
          <w:szCs w:val="22"/>
        </w:rPr>
        <w:t>The cytotoxicity of CAR T cells was measured by the calcein release assay with all assays performed in triplicate at least. Target cells were labelled with 25 µM calcein-AM (Aladdin, China) at 37°C for 30 mins, washe</w:t>
      </w:r>
      <w:r>
        <w:rPr>
          <w:rFonts w:ascii="Arial" w:eastAsiaTheme="minorEastAsia" w:hAnsi="Arial" w:cs="Arial"/>
          <w:sz w:val="22"/>
          <w:szCs w:val="22"/>
        </w:rPr>
        <w:t>d three times and then co-</w:t>
      </w:r>
      <w:r>
        <w:rPr>
          <w:rFonts w:ascii="Arial" w:eastAsiaTheme="minorEastAsia" w:hAnsi="Arial" w:cs="Arial"/>
          <w:sz w:val="22"/>
          <w:szCs w:val="22"/>
        </w:rPr>
        <w:lastRenderedPageBreak/>
        <w:t>cultured with effector cells at the Effector: Target cells ratios of 25:1, 5:1, and 1:1 in 96-well plates. After 2.5h of co-incubation, the supernatant was harvested, and the fluorescence intensity (FI) of the calcein released int</w:t>
      </w:r>
      <w:r>
        <w:rPr>
          <w:rFonts w:ascii="Arial" w:eastAsiaTheme="minorEastAsia" w:hAnsi="Arial" w:cs="Arial"/>
          <w:sz w:val="22"/>
          <w:szCs w:val="22"/>
        </w:rPr>
        <w:t>o the media was quantified using a microplate reader (PerkinElmer Victor X3, USA). The tumour killing efficiency was calculated as previously reported (Liu J et al. J Hemat</w:t>
      </w:r>
      <w:r>
        <w:rPr>
          <w:rFonts w:ascii="Arial" w:hAnsi="Arial" w:cs="Arial"/>
          <w:sz w:val="22"/>
        </w:rPr>
        <w:t>ol Oncol. 2021)</w:t>
      </w:r>
      <w:r>
        <w:rPr>
          <w:rFonts w:ascii="Arial" w:eastAsiaTheme="minorEastAsia" w:hAnsi="Arial" w:cs="Arial"/>
          <w:sz w:val="22"/>
          <w:szCs w:val="22"/>
        </w:rPr>
        <w:t>.</w:t>
      </w:r>
    </w:p>
    <w:p w14:paraId="0C47BC1C" w14:textId="77777777" w:rsidR="00E63CDC" w:rsidRDefault="000925A1">
      <w:pPr>
        <w:autoSpaceDE w:val="0"/>
        <w:autoSpaceDN w:val="0"/>
        <w:jc w:val="left"/>
        <w:rPr>
          <w:rFonts w:ascii="Arial" w:hAnsi="Arial" w:cs="Arial"/>
          <w:b/>
          <w:bCs/>
        </w:rPr>
      </w:pPr>
      <w:r>
        <w:rPr>
          <w:rFonts w:ascii="Arial" w:hAnsi="Arial" w:cs="Arial"/>
          <w:b/>
          <w:bCs/>
          <w:kern w:val="0"/>
          <w:sz w:val="22"/>
          <w:szCs w:val="22"/>
        </w:rPr>
        <w:t>Mouse model</w:t>
      </w:r>
      <w:r>
        <w:rPr>
          <w:rFonts w:ascii="Arial" w:hAnsi="Arial" w:cs="Arial" w:hint="eastAsia"/>
          <w:b/>
          <w:bCs/>
          <w:kern w:val="0"/>
          <w:sz w:val="22"/>
          <w:szCs w:val="22"/>
        </w:rPr>
        <w:t>s</w:t>
      </w:r>
    </w:p>
    <w:p w14:paraId="370831A6"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Mouse experiments were performed with equal numbers of</w:t>
      </w:r>
      <w:r>
        <w:rPr>
          <w:rFonts w:ascii="Arial" w:eastAsiaTheme="minorEastAsia" w:hAnsi="Arial" w:cs="Arial"/>
          <w:sz w:val="22"/>
          <w:szCs w:val="22"/>
        </w:rPr>
        <w:t xml:space="preserve"> 6-to 8-week-old NOD/SCID/IL-2Rγ-null (NCG) mice (Jiangsu GemPharmatech Co, Ltd,China) with the approval of the Animal Ethics Committee of Wuhan University of Science and Technology </w:t>
      </w:r>
      <w:bookmarkStart w:id="2" w:name="_Hlk79694911"/>
      <w:r>
        <w:rPr>
          <w:rFonts w:ascii="Arial" w:eastAsiaTheme="minorEastAsia" w:hAnsi="Arial" w:cs="Arial"/>
          <w:sz w:val="22"/>
          <w:szCs w:val="22"/>
        </w:rPr>
        <w:t>of ID WKD-Zhu-1</w:t>
      </w:r>
      <w:bookmarkEnd w:id="2"/>
      <w:r>
        <w:rPr>
          <w:rFonts w:ascii="Arial" w:eastAsiaTheme="minorEastAsia" w:hAnsi="Arial" w:cs="Arial"/>
          <w:sz w:val="22"/>
          <w:szCs w:val="22"/>
        </w:rPr>
        <w:t>.</w:t>
      </w:r>
    </w:p>
    <w:p w14:paraId="50657EFA"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To establish CDX mouse models, mice were sub-lethally irr</w:t>
      </w:r>
      <w:r>
        <w:rPr>
          <w:rFonts w:ascii="Arial" w:eastAsiaTheme="minorEastAsia" w:hAnsi="Arial" w:cs="Arial"/>
          <w:sz w:val="22"/>
          <w:szCs w:val="22"/>
        </w:rPr>
        <w:t>adiated and intravenously injected with 3x10</w:t>
      </w:r>
      <w:r>
        <w:rPr>
          <w:rFonts w:ascii="Arial" w:eastAsiaTheme="minorEastAsia" w:hAnsi="Arial" w:cs="Arial"/>
          <w:sz w:val="22"/>
          <w:szCs w:val="22"/>
          <w:vertAlign w:val="superscript"/>
        </w:rPr>
        <w:t>6</w:t>
      </w:r>
      <w:r>
        <w:rPr>
          <w:rFonts w:ascii="Arial" w:eastAsiaTheme="minorEastAsia" w:hAnsi="Arial" w:cs="Arial"/>
          <w:sz w:val="22"/>
          <w:szCs w:val="22"/>
        </w:rPr>
        <w:t xml:space="preserve"> Jurkat cells or 1x10</w:t>
      </w:r>
      <w:r>
        <w:rPr>
          <w:rFonts w:ascii="Arial" w:eastAsiaTheme="minorEastAsia" w:hAnsi="Arial" w:cs="Arial"/>
          <w:sz w:val="22"/>
          <w:szCs w:val="22"/>
          <w:vertAlign w:val="superscript"/>
        </w:rPr>
        <w:t>6</w:t>
      </w:r>
      <w:r>
        <w:rPr>
          <w:rFonts w:ascii="Arial" w:eastAsiaTheme="minorEastAsia" w:hAnsi="Arial" w:cs="Arial"/>
          <w:sz w:val="22"/>
          <w:szCs w:val="22"/>
        </w:rPr>
        <w:t xml:space="preserve"> MOLT-4 cells. The T-ALL cell lines used were transduced with </w:t>
      </w:r>
      <w:bookmarkStart w:id="3" w:name="OLE_LINK10"/>
      <w:r>
        <w:rPr>
          <w:rFonts w:ascii="Arial" w:eastAsiaTheme="minorEastAsia" w:hAnsi="Arial" w:cs="Arial"/>
          <w:sz w:val="22"/>
          <w:szCs w:val="22"/>
        </w:rPr>
        <w:t>pLVX</w:t>
      </w:r>
      <w:bookmarkEnd w:id="3"/>
      <w:r>
        <w:rPr>
          <w:rFonts w:ascii="Arial" w:eastAsiaTheme="minorEastAsia" w:hAnsi="Arial" w:cs="Arial"/>
          <w:sz w:val="22"/>
          <w:szCs w:val="22"/>
        </w:rPr>
        <w:t>-EF1α-Luciferase-GFP lentiviral vectors. Following engraftment, The luciferase signals by bioluminescent imaging on day 3 w</w:t>
      </w:r>
      <w:r>
        <w:rPr>
          <w:rFonts w:ascii="Arial" w:eastAsiaTheme="minorEastAsia" w:hAnsi="Arial" w:cs="Arial"/>
          <w:sz w:val="22"/>
          <w:szCs w:val="22"/>
        </w:rPr>
        <w:t>ere distributed evenly across the groups: one group received 5x10</w:t>
      </w:r>
      <w:r>
        <w:rPr>
          <w:rFonts w:ascii="Arial" w:eastAsiaTheme="minorEastAsia" w:hAnsi="Arial" w:cs="Arial"/>
          <w:sz w:val="22"/>
          <w:szCs w:val="22"/>
          <w:vertAlign w:val="superscript"/>
        </w:rPr>
        <w:t>6</w:t>
      </w:r>
      <w:r>
        <w:rPr>
          <w:rFonts w:ascii="Arial" w:eastAsiaTheme="minorEastAsia" w:hAnsi="Arial" w:cs="Arial"/>
          <w:sz w:val="22"/>
          <w:szCs w:val="22"/>
        </w:rPr>
        <w:t xml:space="preserve"> anti-CD99 CAR T cells, and one group received 5x10</w:t>
      </w:r>
      <w:r>
        <w:rPr>
          <w:rFonts w:ascii="Arial" w:eastAsiaTheme="minorEastAsia" w:hAnsi="Arial" w:cs="Arial"/>
          <w:sz w:val="22"/>
          <w:szCs w:val="22"/>
          <w:vertAlign w:val="superscript"/>
        </w:rPr>
        <w:t>6</w:t>
      </w:r>
      <w:r>
        <w:rPr>
          <w:rFonts w:ascii="Arial" w:eastAsiaTheme="minorEastAsia" w:hAnsi="Arial" w:cs="Arial"/>
          <w:sz w:val="22"/>
          <w:szCs w:val="22"/>
        </w:rPr>
        <w:t xml:space="preserve"> non-transduced T cells. Imaging of mice was acquired with a Xenogen </w:t>
      </w:r>
      <w:bookmarkStart w:id="4" w:name="OLE_LINK7"/>
      <w:r>
        <w:rPr>
          <w:rFonts w:ascii="Arial" w:eastAsiaTheme="minorEastAsia" w:hAnsi="Arial" w:cs="Arial"/>
          <w:sz w:val="22"/>
          <w:szCs w:val="22"/>
        </w:rPr>
        <w:t>IVIS</w:t>
      </w:r>
      <w:bookmarkEnd w:id="4"/>
      <w:r>
        <w:rPr>
          <w:rFonts w:ascii="Arial" w:eastAsiaTheme="minorEastAsia" w:hAnsi="Arial" w:cs="Arial"/>
          <w:sz w:val="22"/>
          <w:szCs w:val="22"/>
        </w:rPr>
        <w:t xml:space="preserve"> 200 instrument (Perkin Elmer, USA) weekly and analyzed using Liv</w:t>
      </w:r>
      <w:r>
        <w:rPr>
          <w:rFonts w:ascii="Arial" w:eastAsiaTheme="minorEastAsia" w:hAnsi="Arial" w:cs="Arial"/>
          <w:sz w:val="22"/>
          <w:szCs w:val="22"/>
        </w:rPr>
        <w:t>ing Image software (PerkinElmer, USA). The PB of animals was assessed every 7 days by flow cytometry. Studies were terminated by euthanasia of mice when</w:t>
      </w:r>
      <w:r>
        <w:t xml:space="preserve"> </w:t>
      </w:r>
      <w:r>
        <w:rPr>
          <w:rFonts w:ascii="Arial" w:eastAsiaTheme="minorEastAsia" w:hAnsi="Arial" w:cs="Arial"/>
          <w:sz w:val="22"/>
          <w:szCs w:val="22"/>
        </w:rPr>
        <w:t>total flux reached 10</w:t>
      </w:r>
      <w:r>
        <w:rPr>
          <w:rFonts w:ascii="Arial" w:eastAsiaTheme="minorEastAsia" w:hAnsi="Arial" w:cs="Arial"/>
          <w:sz w:val="22"/>
          <w:szCs w:val="22"/>
          <w:vertAlign w:val="superscript"/>
        </w:rPr>
        <w:t>9</w:t>
      </w:r>
      <w:r>
        <w:rPr>
          <w:rFonts w:ascii="Arial" w:eastAsiaTheme="minorEastAsia" w:hAnsi="Arial" w:cs="Arial"/>
          <w:sz w:val="22"/>
          <w:szCs w:val="22"/>
        </w:rPr>
        <w:t>(p/s/cm</w:t>
      </w:r>
      <w:r>
        <w:rPr>
          <w:rFonts w:ascii="Arial" w:eastAsiaTheme="minorEastAsia" w:hAnsi="Arial" w:cs="Arial"/>
          <w:sz w:val="22"/>
          <w:szCs w:val="22"/>
          <w:vertAlign w:val="superscript"/>
        </w:rPr>
        <w:t>2</w:t>
      </w:r>
      <w:r>
        <w:rPr>
          <w:rFonts w:ascii="Arial" w:eastAsiaTheme="minorEastAsia" w:hAnsi="Arial" w:cs="Arial"/>
          <w:sz w:val="22"/>
          <w:szCs w:val="22"/>
        </w:rPr>
        <w:t>sr), and the spleens were processed for weight measurement and IHC staini</w:t>
      </w:r>
      <w:r>
        <w:rPr>
          <w:rFonts w:ascii="Arial" w:eastAsiaTheme="minorEastAsia" w:hAnsi="Arial" w:cs="Arial"/>
          <w:sz w:val="22"/>
          <w:szCs w:val="22"/>
        </w:rPr>
        <w:t>ng.</w:t>
      </w:r>
    </w:p>
    <w:p w14:paraId="60C51635" w14:textId="77777777" w:rsidR="00E63CDC" w:rsidRDefault="000925A1">
      <w:pPr>
        <w:widowControl/>
        <w:spacing w:after="200" w:line="360" w:lineRule="auto"/>
        <w:ind w:firstLineChars="200" w:firstLine="440"/>
        <w:rPr>
          <w:rFonts w:ascii="Arial" w:eastAsiaTheme="minorEastAsia" w:hAnsi="Arial" w:cs="Arial"/>
          <w:sz w:val="22"/>
          <w:szCs w:val="22"/>
        </w:rPr>
      </w:pPr>
      <w:bookmarkStart w:id="5" w:name="OLE_LINK2"/>
      <w:bookmarkStart w:id="6" w:name="OLE_LINK1"/>
      <w:bookmarkEnd w:id="5"/>
      <w:r>
        <w:rPr>
          <w:rFonts w:ascii="Arial" w:eastAsiaTheme="minorEastAsia" w:hAnsi="Arial" w:cs="Arial"/>
          <w:sz w:val="22"/>
          <w:szCs w:val="22"/>
        </w:rPr>
        <w:t xml:space="preserve">For the </w:t>
      </w:r>
      <w:bookmarkEnd w:id="6"/>
      <w:r>
        <w:rPr>
          <w:rFonts w:ascii="Arial" w:eastAsiaTheme="minorEastAsia" w:hAnsi="Arial" w:cs="Arial"/>
          <w:sz w:val="22"/>
          <w:szCs w:val="22"/>
        </w:rPr>
        <w:t>PDX mouse models, briefly, the mice were sub-lethally irradiated and intravenously injected with 5x10</w:t>
      </w:r>
      <w:r>
        <w:rPr>
          <w:rFonts w:ascii="Arial" w:eastAsiaTheme="minorEastAsia" w:hAnsi="Arial" w:cs="Arial"/>
          <w:sz w:val="22"/>
          <w:szCs w:val="22"/>
          <w:vertAlign w:val="superscript"/>
        </w:rPr>
        <w:t xml:space="preserve">5 </w:t>
      </w:r>
      <w:r>
        <w:rPr>
          <w:rFonts w:ascii="Arial" w:eastAsiaTheme="minorEastAsia" w:hAnsi="Arial" w:cs="Arial"/>
          <w:sz w:val="22"/>
          <w:szCs w:val="22"/>
        </w:rPr>
        <w:t>fresh T-ALL Blast cells from patients(patient #1 and patient #2). After 3 days, the mice were randomized into groups and intravenously inject</w:t>
      </w:r>
      <w:r>
        <w:rPr>
          <w:rFonts w:ascii="Arial" w:eastAsiaTheme="minorEastAsia" w:hAnsi="Arial" w:cs="Arial"/>
          <w:sz w:val="22"/>
          <w:szCs w:val="22"/>
        </w:rPr>
        <w:t>ed with 5x10</w:t>
      </w:r>
      <w:r>
        <w:rPr>
          <w:rFonts w:ascii="Arial" w:eastAsiaTheme="minorEastAsia" w:hAnsi="Arial" w:cs="Arial"/>
          <w:sz w:val="22"/>
          <w:szCs w:val="22"/>
          <w:vertAlign w:val="superscript"/>
        </w:rPr>
        <w:t>6</w:t>
      </w:r>
      <w:r>
        <w:rPr>
          <w:rFonts w:ascii="Arial" w:eastAsiaTheme="minorEastAsia" w:hAnsi="Arial" w:cs="Arial"/>
          <w:sz w:val="22"/>
          <w:szCs w:val="22"/>
        </w:rPr>
        <w:t xml:space="preserve"> anti-CD99 CAR T cells or 5x10</w:t>
      </w:r>
      <w:r>
        <w:rPr>
          <w:rFonts w:ascii="Arial" w:eastAsiaTheme="minorEastAsia" w:hAnsi="Arial" w:cs="Arial"/>
          <w:sz w:val="22"/>
          <w:szCs w:val="22"/>
          <w:vertAlign w:val="superscript"/>
        </w:rPr>
        <w:t xml:space="preserve">6 </w:t>
      </w:r>
      <w:r>
        <w:rPr>
          <w:rFonts w:ascii="Arial" w:eastAsiaTheme="minorEastAsia" w:hAnsi="Arial" w:cs="Arial"/>
          <w:sz w:val="22"/>
          <w:szCs w:val="22"/>
        </w:rPr>
        <w:t>non-transduced T cells. We also collected PB at different stages of tumor progression, monitored the CAR copy number at each time point and performed other experiments as described.</w:t>
      </w:r>
      <w:bookmarkStart w:id="7" w:name="OLE_LINK16"/>
      <w:bookmarkStart w:id="8" w:name="OLE_LINK17"/>
      <w:bookmarkEnd w:id="7"/>
      <w:bookmarkEnd w:id="8"/>
    </w:p>
    <w:p w14:paraId="03F1E3D9" w14:textId="77777777" w:rsidR="00E63CDC" w:rsidRDefault="000925A1">
      <w:pPr>
        <w:widowControl/>
        <w:spacing w:after="200" w:line="360" w:lineRule="auto"/>
        <w:rPr>
          <w:rFonts w:ascii="Arial" w:eastAsiaTheme="minorEastAsia" w:hAnsi="Arial" w:cs="Arial"/>
          <w:b/>
          <w:bCs/>
          <w:sz w:val="22"/>
          <w:szCs w:val="22"/>
        </w:rPr>
      </w:pPr>
      <w:r>
        <w:rPr>
          <w:rFonts w:ascii="Arial" w:eastAsiaTheme="minorEastAsia" w:hAnsi="Arial" w:cs="Arial"/>
          <w:b/>
          <w:bCs/>
          <w:sz w:val="22"/>
          <w:szCs w:val="22"/>
        </w:rPr>
        <w:t xml:space="preserve">Quantitation of CAR in </w:t>
      </w:r>
      <w:r>
        <w:rPr>
          <w:rFonts w:ascii="Arial" w:eastAsiaTheme="minorEastAsia" w:hAnsi="Arial" w:cs="Arial"/>
          <w:b/>
          <w:bCs/>
          <w:sz w:val="22"/>
          <w:szCs w:val="22"/>
        </w:rPr>
        <w:t>mouse models</w:t>
      </w:r>
    </w:p>
    <w:p w14:paraId="71BEA138"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lastRenderedPageBreak/>
        <w:t xml:space="preserve">The copy number of </w:t>
      </w:r>
      <w:r>
        <w:rPr>
          <w:rFonts w:ascii="Arial" w:eastAsiaTheme="minorEastAsia" w:hAnsi="Arial" w:cs="Arial" w:hint="eastAsia"/>
          <w:sz w:val="22"/>
          <w:szCs w:val="22"/>
        </w:rPr>
        <w:t>anti</w:t>
      </w:r>
      <w:r>
        <w:rPr>
          <w:rFonts w:ascii="Arial" w:eastAsiaTheme="minorEastAsia" w:hAnsi="Arial" w:cs="Arial"/>
          <w:sz w:val="22"/>
          <w:szCs w:val="22"/>
        </w:rPr>
        <w:t xml:space="preserve">-CD99 CAR T was </w:t>
      </w:r>
      <w:r>
        <w:rPr>
          <w:rFonts w:ascii="Arial" w:eastAsiaTheme="minorEastAsia" w:hAnsi="Arial" w:cs="Arial" w:hint="eastAsia"/>
          <w:sz w:val="22"/>
          <w:szCs w:val="22"/>
        </w:rPr>
        <w:t>analyzed</w:t>
      </w:r>
      <w:r>
        <w:rPr>
          <w:rFonts w:ascii="Arial" w:eastAsiaTheme="minorEastAsia" w:hAnsi="Arial" w:cs="Arial"/>
          <w:sz w:val="22"/>
          <w:szCs w:val="22"/>
        </w:rPr>
        <w:t xml:space="preserve"> by quantitative PCR. Genomic DNA from CAR T cells was isolated using a DNA Isolation kit and diluted to a concentration of 50 ng/uL, according to the manufacturer’s instructions. </w:t>
      </w:r>
      <w:r>
        <w:rPr>
          <w:rFonts w:ascii="Arial" w:eastAsiaTheme="minorEastAsia" w:hAnsi="Arial" w:cs="Arial" w:hint="eastAsia"/>
          <w:sz w:val="22"/>
          <w:szCs w:val="22"/>
        </w:rPr>
        <w:t>q-</w:t>
      </w:r>
      <w:r>
        <w:rPr>
          <w:rFonts w:ascii="Arial" w:eastAsiaTheme="minorEastAsia" w:hAnsi="Arial" w:cs="Arial"/>
          <w:sz w:val="22"/>
          <w:szCs w:val="22"/>
        </w:rPr>
        <w:t>PCR was carried out with primers and fluorescent probe: anti-CD99-F:CTTCGC</w:t>
      </w:r>
      <w:r>
        <w:rPr>
          <w:rFonts w:ascii="Arial" w:eastAsiaTheme="minorEastAsia" w:hAnsi="Arial" w:cs="Arial"/>
          <w:sz w:val="22"/>
          <w:szCs w:val="22"/>
        </w:rPr>
        <w:t>AGCCTATCGCTCCAA anti-CD99-R:ACTTCACTCTCAGTTCACATCCTCC and anti-CD99-probe: Fam-</w:t>
      </w:r>
      <w:r>
        <w:rPr>
          <w:rFonts w:ascii="Arial" w:eastAsiaTheme="minorEastAsia" w:hAnsi="Arial" w:cs="Arial" w:hint="eastAsia"/>
          <w:sz w:val="22"/>
          <w:szCs w:val="22"/>
        </w:rPr>
        <w:t>TCGGCAGCTACAGCCATCTTCCTCTTGAGTAGT</w:t>
      </w:r>
      <w:r>
        <w:rPr>
          <w:rFonts w:ascii="Arial" w:eastAsiaTheme="minorEastAsia" w:hAnsi="Arial" w:cs="Arial"/>
          <w:sz w:val="22"/>
          <w:szCs w:val="22"/>
        </w:rPr>
        <w:t>-</w:t>
      </w:r>
      <w:r>
        <w:rPr>
          <w:rFonts w:ascii="微软雅黑" w:eastAsia="微软雅黑" w:hAnsi="微软雅黑" w:hint="eastAsia"/>
          <w:color w:val="31353B"/>
          <w:sz w:val="22"/>
          <w:szCs w:val="22"/>
        </w:rPr>
        <w:t>Tamra</w:t>
      </w:r>
      <w:r>
        <w:rPr>
          <w:rFonts w:ascii="Arial" w:eastAsiaTheme="minorEastAsia" w:hAnsi="Arial" w:cs="Arial"/>
          <w:sz w:val="22"/>
          <w:szCs w:val="22"/>
        </w:rPr>
        <w:t xml:space="preserve">. The anti-CD99 CAR genome copy number was normalized to the standard linear equation, which was obtained from serially diluted </w:t>
      </w:r>
      <w:bookmarkStart w:id="9" w:name="OLE_LINK3"/>
      <w:r>
        <w:rPr>
          <w:rFonts w:ascii="Arial" w:eastAsiaTheme="minorEastAsia" w:hAnsi="Arial" w:cs="Arial"/>
          <w:sz w:val="22"/>
          <w:szCs w:val="22"/>
        </w:rPr>
        <w:t xml:space="preserve">Anti-CD99 </w:t>
      </w:r>
      <w:r>
        <w:rPr>
          <w:rFonts w:ascii="Arial" w:eastAsiaTheme="minorEastAsia" w:hAnsi="Arial" w:cs="Arial"/>
          <w:sz w:val="22"/>
          <w:szCs w:val="22"/>
        </w:rPr>
        <w:t xml:space="preserve">CAR plasmid </w:t>
      </w:r>
      <w:bookmarkStart w:id="10" w:name="OLE_LINK4"/>
      <w:bookmarkEnd w:id="9"/>
      <w:r>
        <w:rPr>
          <w:rFonts w:ascii="Arial" w:eastAsiaTheme="minorEastAsia" w:hAnsi="Arial" w:cs="Arial"/>
          <w:sz w:val="22"/>
          <w:szCs w:val="22"/>
        </w:rPr>
        <w:t>standard DNA</w:t>
      </w:r>
      <w:bookmarkEnd w:id="10"/>
      <w:r>
        <w:rPr>
          <w:rFonts w:ascii="Arial" w:eastAsiaTheme="minorEastAsia" w:hAnsi="Arial" w:cs="Arial"/>
          <w:sz w:val="22"/>
          <w:szCs w:val="22"/>
        </w:rPr>
        <w:t xml:space="preserve"> (from 10</w:t>
      </w:r>
      <w:r>
        <w:rPr>
          <w:rFonts w:ascii="Arial" w:eastAsiaTheme="minorEastAsia" w:hAnsi="Arial" w:cs="Arial"/>
          <w:sz w:val="22"/>
          <w:szCs w:val="22"/>
          <w:vertAlign w:val="superscript"/>
        </w:rPr>
        <w:t>1</w:t>
      </w:r>
      <w:r>
        <w:rPr>
          <w:rFonts w:ascii="Arial" w:eastAsiaTheme="minorEastAsia" w:hAnsi="Arial" w:cs="Arial"/>
          <w:sz w:val="22"/>
          <w:szCs w:val="22"/>
        </w:rPr>
        <w:t>-10</w:t>
      </w:r>
      <w:r>
        <w:rPr>
          <w:rFonts w:ascii="Arial" w:eastAsiaTheme="minorEastAsia" w:hAnsi="Arial" w:cs="Arial"/>
          <w:sz w:val="22"/>
          <w:szCs w:val="22"/>
          <w:vertAlign w:val="superscript"/>
        </w:rPr>
        <w:t>8</w:t>
      </w:r>
      <w:r>
        <w:rPr>
          <w:rFonts w:ascii="Arial" w:eastAsiaTheme="minorEastAsia" w:hAnsi="Arial" w:cs="Arial"/>
          <w:sz w:val="22"/>
          <w:szCs w:val="22"/>
        </w:rPr>
        <w:t xml:space="preserve"> fold series). The results were reported as copies of the CAR genome per µg genomic DNA.</w:t>
      </w:r>
    </w:p>
    <w:p w14:paraId="393BD3AF" w14:textId="77777777" w:rsidR="00E63CDC" w:rsidRDefault="000925A1">
      <w:pPr>
        <w:autoSpaceDE w:val="0"/>
        <w:autoSpaceDN w:val="0"/>
        <w:rPr>
          <w:rFonts w:ascii="Arial" w:hAnsi="Arial" w:cs="Arial"/>
          <w:b/>
          <w:bCs/>
          <w:color w:val="000000"/>
        </w:rPr>
      </w:pPr>
      <w:r>
        <w:rPr>
          <w:rFonts w:ascii="Arial" w:hAnsi="Arial" w:cs="Arial"/>
          <w:b/>
          <w:bCs/>
          <w:color w:val="000000"/>
          <w:kern w:val="0"/>
          <w:sz w:val="22"/>
          <w:szCs w:val="22"/>
        </w:rPr>
        <w:t>Histopathology and immunohistochemistry (IHC)</w:t>
      </w:r>
    </w:p>
    <w:p w14:paraId="4734C19B"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 xml:space="preserve">For histopathology, spleen and other tissues from xenograft mice were collected at </w:t>
      </w:r>
      <w:r>
        <w:rPr>
          <w:rFonts w:ascii="Arial" w:eastAsiaTheme="minorEastAsia" w:hAnsi="Arial" w:cs="Arial"/>
          <w:sz w:val="22"/>
          <w:szCs w:val="22"/>
        </w:rPr>
        <w:t xml:space="preserve">the days indicated, dipped in 4% formalin-fixed overnight, paraffin embedded, 4–5 μm-thick sections obtained by microtome, and then stained with hematoxylin and eosin (H&amp;E). Images were captured with a 10x Plan-Neofluar NA 0.3 objective and processed with </w:t>
      </w:r>
      <w:r>
        <w:rPr>
          <w:rFonts w:ascii="Arial" w:eastAsiaTheme="minorEastAsia" w:hAnsi="Arial" w:cs="Arial"/>
          <w:sz w:val="22"/>
          <w:szCs w:val="22"/>
        </w:rPr>
        <w:t>software. For IHC, tissue sections obtained as above were deparaffinized and rehydrated for antigen retrieval, blocked with 10% goat serum in PBS and stained with primary labelled antibodies according to standard procedures. Then, secondary antibodies were</w:t>
      </w:r>
      <w:r>
        <w:rPr>
          <w:rFonts w:ascii="Arial" w:eastAsiaTheme="minorEastAsia" w:hAnsi="Arial" w:cs="Arial"/>
          <w:sz w:val="22"/>
          <w:szCs w:val="22"/>
        </w:rPr>
        <w:t xml:space="preserve"> used, and the binding was measured with the VIEW DAB Detection Kit.</w:t>
      </w:r>
    </w:p>
    <w:p w14:paraId="4DF439C4" w14:textId="77777777" w:rsidR="00E63CDC" w:rsidRDefault="000925A1">
      <w:pPr>
        <w:autoSpaceDE w:val="0"/>
        <w:autoSpaceDN w:val="0"/>
        <w:jc w:val="left"/>
        <w:rPr>
          <w:rFonts w:ascii="Arial" w:hAnsi="Arial" w:cs="Arial"/>
          <w:color w:val="FFC000"/>
        </w:rPr>
      </w:pPr>
      <w:r>
        <w:rPr>
          <w:rFonts w:ascii="Arial" w:hAnsi="Arial" w:cs="Arial"/>
          <w:b/>
          <w:bCs/>
          <w:kern w:val="0"/>
          <w:sz w:val="22"/>
          <w:szCs w:val="22"/>
        </w:rPr>
        <w:t>Statistical analysis</w:t>
      </w:r>
    </w:p>
    <w:p w14:paraId="2D58E19B" w14:textId="77777777" w:rsidR="00E63CDC" w:rsidRDefault="000925A1">
      <w:pPr>
        <w:widowControl/>
        <w:spacing w:after="200" w:line="360" w:lineRule="auto"/>
        <w:ind w:firstLineChars="200" w:firstLine="440"/>
        <w:rPr>
          <w:rFonts w:ascii="Arial" w:eastAsiaTheme="minorEastAsia" w:hAnsi="Arial" w:cs="Arial"/>
          <w:sz w:val="22"/>
          <w:szCs w:val="22"/>
        </w:rPr>
      </w:pPr>
      <w:r>
        <w:rPr>
          <w:rFonts w:ascii="Arial" w:eastAsiaTheme="minorEastAsia" w:hAnsi="Arial" w:cs="Arial"/>
          <w:sz w:val="22"/>
          <w:szCs w:val="22"/>
        </w:rPr>
        <w:t xml:space="preserve">Prism 8.0 (GraphPad Software) was used for data analysis. t-test or Two-way analysis of variance (ANOVA) was used to determine the significance of the </w:t>
      </w:r>
      <w:r>
        <w:rPr>
          <w:rFonts w:ascii="Arial" w:eastAsiaTheme="minorEastAsia" w:hAnsi="Arial" w:cs="Arial"/>
          <w:sz w:val="22"/>
          <w:szCs w:val="22"/>
        </w:rPr>
        <w:t>differences between means in experiments. Survival curves were generated using the Kaplan-Meier method. p&lt;0.05 was considered statistically significant.</w:t>
      </w:r>
    </w:p>
    <w:p w14:paraId="45D3C323" w14:textId="77777777" w:rsidR="00E63CDC" w:rsidRDefault="000925A1">
      <w:pPr>
        <w:spacing w:afterLines="50" w:after="156"/>
        <w:rPr>
          <w:rFonts w:ascii="Arial" w:hAnsi="Arial" w:cs="Arial"/>
          <w:sz w:val="22"/>
          <w:szCs w:val="22"/>
        </w:rPr>
      </w:pPr>
      <w:r>
        <w:rPr>
          <w:rStyle w:val="15"/>
          <w:rFonts w:ascii="Arial" w:hAnsi="Arial" w:cs="Arial"/>
          <w:sz w:val="22"/>
          <w:szCs w:val="22"/>
        </w:rPr>
        <w:t>Antibodies Table</w:t>
      </w:r>
    </w:p>
    <w:tbl>
      <w:tblPr>
        <w:tblStyle w:val="ac"/>
        <w:tblW w:w="7366" w:type="dxa"/>
        <w:jc w:val="center"/>
        <w:tblLook w:val="04A0" w:firstRow="1" w:lastRow="0" w:firstColumn="1" w:lastColumn="0" w:noHBand="0" w:noVBand="1"/>
      </w:tblPr>
      <w:tblGrid>
        <w:gridCol w:w="1878"/>
        <w:gridCol w:w="1843"/>
        <w:gridCol w:w="1559"/>
        <w:gridCol w:w="2086"/>
      </w:tblGrid>
      <w:tr w:rsidR="00E63CDC" w14:paraId="7B2D9DAD"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67F1E8A9" w14:textId="77777777" w:rsidR="00E63CDC" w:rsidRDefault="000925A1">
            <w:pPr>
              <w:ind w:firstLineChars="200" w:firstLine="400"/>
              <w:jc w:val="center"/>
              <w:rPr>
                <w:rFonts w:ascii="Arial" w:hAnsi="Arial" w:cs="Arial"/>
                <w:kern w:val="0"/>
              </w:rPr>
            </w:pPr>
            <w:r>
              <w:rPr>
                <w:rFonts w:ascii="Arial" w:hAnsi="Arial" w:cs="Arial"/>
                <w:kern w:val="0"/>
                <w:sz w:val="20"/>
              </w:rPr>
              <w:t>Target</w:t>
            </w:r>
          </w:p>
        </w:tc>
        <w:tc>
          <w:tcPr>
            <w:tcW w:w="1843" w:type="dxa"/>
            <w:tcBorders>
              <w:top w:val="single" w:sz="4" w:space="0" w:color="000000"/>
              <w:left w:val="nil"/>
              <w:bottom w:val="single" w:sz="4" w:space="0" w:color="000000"/>
              <w:right w:val="single" w:sz="4" w:space="0" w:color="000000"/>
            </w:tcBorders>
            <w:vAlign w:val="center"/>
          </w:tcPr>
          <w:p w14:paraId="46777828" w14:textId="77777777" w:rsidR="00E63CDC" w:rsidRDefault="000925A1">
            <w:pPr>
              <w:ind w:firstLineChars="200" w:firstLine="400"/>
              <w:jc w:val="center"/>
              <w:rPr>
                <w:rFonts w:ascii="Arial" w:hAnsi="Arial" w:cs="Arial"/>
                <w:kern w:val="0"/>
                <w:sz w:val="20"/>
              </w:rPr>
            </w:pPr>
            <w:r>
              <w:rPr>
                <w:rFonts w:ascii="Arial" w:hAnsi="Arial" w:cs="Arial"/>
                <w:kern w:val="0"/>
                <w:sz w:val="20"/>
              </w:rPr>
              <w:t>Pathway</w:t>
            </w:r>
          </w:p>
        </w:tc>
        <w:tc>
          <w:tcPr>
            <w:tcW w:w="1559" w:type="dxa"/>
            <w:tcBorders>
              <w:top w:val="single" w:sz="4" w:space="0" w:color="000000"/>
              <w:left w:val="nil"/>
              <w:bottom w:val="single" w:sz="4" w:space="0" w:color="000000"/>
              <w:right w:val="single" w:sz="4" w:space="0" w:color="000000"/>
            </w:tcBorders>
            <w:vAlign w:val="center"/>
          </w:tcPr>
          <w:p w14:paraId="70496B6C" w14:textId="77777777" w:rsidR="00E63CDC" w:rsidRDefault="000925A1">
            <w:pPr>
              <w:ind w:firstLineChars="200" w:firstLine="400"/>
              <w:jc w:val="center"/>
              <w:rPr>
                <w:rFonts w:ascii="Arial" w:hAnsi="Arial" w:cs="Arial"/>
                <w:kern w:val="0"/>
                <w:sz w:val="20"/>
              </w:rPr>
            </w:pPr>
            <w:r>
              <w:rPr>
                <w:rFonts w:ascii="Arial" w:hAnsi="Arial" w:cs="Arial"/>
                <w:kern w:val="0"/>
                <w:sz w:val="20"/>
              </w:rPr>
              <w:t>Clone</w:t>
            </w:r>
          </w:p>
        </w:tc>
        <w:tc>
          <w:tcPr>
            <w:tcW w:w="2086" w:type="dxa"/>
            <w:tcBorders>
              <w:top w:val="single" w:sz="4" w:space="0" w:color="000000"/>
              <w:left w:val="nil"/>
              <w:bottom w:val="single" w:sz="4" w:space="0" w:color="000000"/>
              <w:right w:val="single" w:sz="4" w:space="0" w:color="000000"/>
            </w:tcBorders>
            <w:vAlign w:val="center"/>
          </w:tcPr>
          <w:p w14:paraId="4BAB06B8" w14:textId="77777777" w:rsidR="00E63CDC" w:rsidRDefault="000925A1">
            <w:pPr>
              <w:ind w:firstLineChars="200" w:firstLine="400"/>
              <w:jc w:val="center"/>
              <w:rPr>
                <w:rFonts w:ascii="Arial" w:hAnsi="Arial" w:cs="Arial"/>
                <w:kern w:val="0"/>
                <w:sz w:val="20"/>
              </w:rPr>
            </w:pPr>
            <w:r>
              <w:rPr>
                <w:rFonts w:ascii="Arial" w:hAnsi="Arial" w:cs="Arial"/>
                <w:kern w:val="0"/>
                <w:sz w:val="20"/>
              </w:rPr>
              <w:t>Supplier</w:t>
            </w:r>
          </w:p>
        </w:tc>
      </w:tr>
      <w:tr w:rsidR="00E63CDC" w14:paraId="4CB1C1AE"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2006F813" w14:textId="77777777" w:rsidR="00E63CDC" w:rsidRDefault="000925A1">
            <w:pPr>
              <w:ind w:firstLineChars="200" w:firstLine="400"/>
              <w:jc w:val="center"/>
              <w:rPr>
                <w:rFonts w:ascii="Arial" w:hAnsi="Arial" w:cs="Arial"/>
                <w:kern w:val="0"/>
                <w:sz w:val="20"/>
              </w:rPr>
            </w:pPr>
            <w:r>
              <w:rPr>
                <w:rFonts w:ascii="Arial" w:hAnsi="Arial" w:cs="Arial"/>
                <w:kern w:val="0"/>
                <w:sz w:val="20"/>
              </w:rPr>
              <w:t>CD3</w:t>
            </w:r>
          </w:p>
        </w:tc>
        <w:tc>
          <w:tcPr>
            <w:tcW w:w="1843" w:type="dxa"/>
            <w:tcBorders>
              <w:top w:val="single" w:sz="4" w:space="0" w:color="000000"/>
              <w:left w:val="nil"/>
              <w:bottom w:val="single" w:sz="4" w:space="0" w:color="000000"/>
              <w:right w:val="single" w:sz="4" w:space="0" w:color="000000"/>
            </w:tcBorders>
            <w:vAlign w:val="center"/>
          </w:tcPr>
          <w:p w14:paraId="4667BF0D" w14:textId="77777777" w:rsidR="00E63CDC" w:rsidRDefault="000925A1">
            <w:pPr>
              <w:ind w:firstLineChars="200" w:firstLine="400"/>
              <w:jc w:val="center"/>
              <w:rPr>
                <w:rFonts w:ascii="Arial" w:hAnsi="Arial" w:cs="Arial"/>
                <w:kern w:val="0"/>
                <w:sz w:val="20"/>
              </w:rPr>
            </w:pPr>
            <w:r>
              <w:rPr>
                <w:rFonts w:ascii="Arial" w:hAnsi="Arial" w:cs="Arial"/>
                <w:kern w:val="0"/>
                <w:sz w:val="20"/>
              </w:rPr>
              <w:t>PE</w:t>
            </w:r>
          </w:p>
        </w:tc>
        <w:tc>
          <w:tcPr>
            <w:tcW w:w="1559" w:type="dxa"/>
            <w:tcBorders>
              <w:top w:val="single" w:sz="4" w:space="0" w:color="000000"/>
              <w:left w:val="nil"/>
              <w:bottom w:val="single" w:sz="4" w:space="0" w:color="000000"/>
              <w:right w:val="single" w:sz="4" w:space="0" w:color="000000"/>
            </w:tcBorders>
            <w:vAlign w:val="center"/>
          </w:tcPr>
          <w:p w14:paraId="151940E0" w14:textId="77777777" w:rsidR="00E63CDC" w:rsidRDefault="000925A1">
            <w:pPr>
              <w:ind w:firstLineChars="200" w:firstLine="400"/>
              <w:jc w:val="center"/>
              <w:rPr>
                <w:rFonts w:ascii="Arial" w:hAnsi="Arial" w:cs="Arial"/>
                <w:kern w:val="0"/>
                <w:sz w:val="20"/>
              </w:rPr>
            </w:pPr>
            <w:r>
              <w:rPr>
                <w:rFonts w:ascii="Arial" w:hAnsi="Arial" w:cs="Arial"/>
                <w:kern w:val="0"/>
                <w:sz w:val="20"/>
              </w:rPr>
              <w:t>UCHT1</w:t>
            </w:r>
          </w:p>
        </w:tc>
        <w:tc>
          <w:tcPr>
            <w:tcW w:w="2086" w:type="dxa"/>
            <w:tcBorders>
              <w:top w:val="single" w:sz="4" w:space="0" w:color="000000"/>
              <w:left w:val="nil"/>
              <w:bottom w:val="single" w:sz="4" w:space="0" w:color="000000"/>
              <w:right w:val="single" w:sz="4" w:space="0" w:color="000000"/>
            </w:tcBorders>
            <w:vAlign w:val="center"/>
          </w:tcPr>
          <w:p w14:paraId="04DA7B1D"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6DD38D74"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5A600840" w14:textId="77777777" w:rsidR="00E63CDC" w:rsidRDefault="000925A1">
            <w:pPr>
              <w:ind w:firstLineChars="200" w:firstLine="400"/>
              <w:jc w:val="center"/>
              <w:rPr>
                <w:rFonts w:ascii="Arial" w:hAnsi="Arial" w:cs="Arial"/>
                <w:kern w:val="0"/>
                <w:sz w:val="20"/>
              </w:rPr>
            </w:pPr>
            <w:r>
              <w:rPr>
                <w:rFonts w:ascii="Arial" w:hAnsi="Arial" w:cs="Arial"/>
                <w:kern w:val="0"/>
                <w:sz w:val="20"/>
              </w:rPr>
              <w:t>CD3</w:t>
            </w:r>
          </w:p>
        </w:tc>
        <w:tc>
          <w:tcPr>
            <w:tcW w:w="1843" w:type="dxa"/>
            <w:tcBorders>
              <w:top w:val="single" w:sz="4" w:space="0" w:color="000000"/>
              <w:left w:val="nil"/>
              <w:bottom w:val="single" w:sz="4" w:space="0" w:color="000000"/>
              <w:right w:val="single" w:sz="4" w:space="0" w:color="000000"/>
            </w:tcBorders>
            <w:vAlign w:val="center"/>
          </w:tcPr>
          <w:p w14:paraId="31296980" w14:textId="77777777" w:rsidR="00E63CDC" w:rsidRDefault="000925A1">
            <w:pPr>
              <w:ind w:firstLineChars="200" w:firstLine="400"/>
              <w:jc w:val="center"/>
              <w:rPr>
                <w:rFonts w:ascii="Arial" w:hAnsi="Arial" w:cs="Arial"/>
                <w:kern w:val="0"/>
                <w:sz w:val="20"/>
              </w:rPr>
            </w:pPr>
            <w:r>
              <w:rPr>
                <w:rFonts w:ascii="Arial" w:hAnsi="Arial" w:cs="Arial"/>
                <w:kern w:val="0"/>
                <w:sz w:val="20"/>
              </w:rPr>
              <w:t>FITC</w:t>
            </w:r>
          </w:p>
        </w:tc>
        <w:tc>
          <w:tcPr>
            <w:tcW w:w="1559" w:type="dxa"/>
            <w:tcBorders>
              <w:top w:val="single" w:sz="4" w:space="0" w:color="000000"/>
              <w:left w:val="nil"/>
              <w:bottom w:val="single" w:sz="4" w:space="0" w:color="000000"/>
              <w:right w:val="single" w:sz="4" w:space="0" w:color="000000"/>
            </w:tcBorders>
            <w:vAlign w:val="center"/>
          </w:tcPr>
          <w:p w14:paraId="1CC11CB5" w14:textId="77777777" w:rsidR="00E63CDC" w:rsidRDefault="000925A1">
            <w:pPr>
              <w:ind w:firstLineChars="200" w:firstLine="400"/>
              <w:jc w:val="center"/>
              <w:rPr>
                <w:rFonts w:ascii="Arial" w:hAnsi="Arial" w:cs="Arial"/>
                <w:kern w:val="0"/>
                <w:sz w:val="20"/>
              </w:rPr>
            </w:pPr>
            <w:r>
              <w:rPr>
                <w:rFonts w:ascii="Arial" w:hAnsi="Arial" w:cs="Arial"/>
                <w:kern w:val="0"/>
                <w:sz w:val="20"/>
              </w:rPr>
              <w:t>UCHT1</w:t>
            </w:r>
          </w:p>
        </w:tc>
        <w:tc>
          <w:tcPr>
            <w:tcW w:w="2086" w:type="dxa"/>
            <w:tcBorders>
              <w:top w:val="single" w:sz="4" w:space="0" w:color="000000"/>
              <w:left w:val="nil"/>
              <w:bottom w:val="single" w:sz="4" w:space="0" w:color="000000"/>
              <w:right w:val="single" w:sz="4" w:space="0" w:color="000000"/>
            </w:tcBorders>
            <w:vAlign w:val="center"/>
          </w:tcPr>
          <w:p w14:paraId="377710FD"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5C476A18"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67E68948" w14:textId="77777777" w:rsidR="00E63CDC" w:rsidRDefault="000925A1">
            <w:pPr>
              <w:ind w:firstLineChars="200" w:firstLine="400"/>
              <w:jc w:val="center"/>
              <w:rPr>
                <w:rFonts w:ascii="Arial" w:hAnsi="Arial" w:cs="Arial"/>
                <w:kern w:val="0"/>
                <w:sz w:val="20"/>
              </w:rPr>
            </w:pPr>
            <w:r>
              <w:rPr>
                <w:rFonts w:ascii="Arial" w:hAnsi="Arial" w:cs="Arial"/>
                <w:kern w:val="0"/>
                <w:sz w:val="20"/>
              </w:rPr>
              <w:t>CD3</w:t>
            </w:r>
          </w:p>
        </w:tc>
        <w:tc>
          <w:tcPr>
            <w:tcW w:w="1843" w:type="dxa"/>
            <w:tcBorders>
              <w:top w:val="single" w:sz="4" w:space="0" w:color="000000"/>
              <w:left w:val="nil"/>
              <w:bottom w:val="single" w:sz="4" w:space="0" w:color="000000"/>
              <w:right w:val="single" w:sz="4" w:space="0" w:color="000000"/>
            </w:tcBorders>
            <w:vAlign w:val="center"/>
          </w:tcPr>
          <w:p w14:paraId="122D8FF6" w14:textId="77777777" w:rsidR="00E63CDC" w:rsidRDefault="000925A1">
            <w:pPr>
              <w:ind w:firstLineChars="200" w:firstLine="400"/>
              <w:jc w:val="center"/>
              <w:rPr>
                <w:rFonts w:ascii="Arial" w:hAnsi="Arial" w:cs="Arial"/>
                <w:kern w:val="0"/>
                <w:sz w:val="20"/>
              </w:rPr>
            </w:pPr>
            <w:r>
              <w:rPr>
                <w:rFonts w:ascii="Arial" w:hAnsi="Arial" w:cs="Arial"/>
                <w:kern w:val="0"/>
                <w:sz w:val="20"/>
              </w:rPr>
              <w:t>APC</w:t>
            </w:r>
          </w:p>
        </w:tc>
        <w:tc>
          <w:tcPr>
            <w:tcW w:w="1559" w:type="dxa"/>
            <w:tcBorders>
              <w:top w:val="single" w:sz="4" w:space="0" w:color="000000"/>
              <w:left w:val="nil"/>
              <w:bottom w:val="single" w:sz="4" w:space="0" w:color="000000"/>
              <w:right w:val="single" w:sz="4" w:space="0" w:color="000000"/>
            </w:tcBorders>
            <w:vAlign w:val="center"/>
          </w:tcPr>
          <w:p w14:paraId="78F88D0E" w14:textId="77777777" w:rsidR="00E63CDC" w:rsidRDefault="000925A1">
            <w:pPr>
              <w:ind w:firstLineChars="200" w:firstLine="400"/>
              <w:jc w:val="center"/>
              <w:rPr>
                <w:rFonts w:ascii="Arial" w:hAnsi="Arial" w:cs="Arial"/>
                <w:kern w:val="0"/>
                <w:sz w:val="20"/>
              </w:rPr>
            </w:pPr>
            <w:r>
              <w:rPr>
                <w:rFonts w:ascii="Arial" w:hAnsi="Arial" w:cs="Arial"/>
                <w:kern w:val="0"/>
                <w:sz w:val="20"/>
              </w:rPr>
              <w:t>UCHT1</w:t>
            </w:r>
          </w:p>
        </w:tc>
        <w:tc>
          <w:tcPr>
            <w:tcW w:w="2086" w:type="dxa"/>
            <w:tcBorders>
              <w:top w:val="single" w:sz="4" w:space="0" w:color="000000"/>
              <w:left w:val="nil"/>
              <w:bottom w:val="single" w:sz="4" w:space="0" w:color="000000"/>
              <w:right w:val="single" w:sz="4" w:space="0" w:color="000000"/>
            </w:tcBorders>
            <w:vAlign w:val="center"/>
          </w:tcPr>
          <w:p w14:paraId="7248573B"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5A91D5F1"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3ABDF7B5" w14:textId="77777777" w:rsidR="00E63CDC" w:rsidRDefault="000925A1">
            <w:pPr>
              <w:ind w:firstLineChars="200" w:firstLine="400"/>
              <w:jc w:val="center"/>
              <w:rPr>
                <w:rFonts w:ascii="Arial" w:hAnsi="Arial" w:cs="Arial"/>
                <w:kern w:val="0"/>
                <w:sz w:val="20"/>
              </w:rPr>
            </w:pPr>
            <w:r>
              <w:rPr>
                <w:rFonts w:ascii="Arial" w:hAnsi="Arial" w:cs="Arial"/>
                <w:kern w:val="0"/>
                <w:sz w:val="20"/>
              </w:rPr>
              <w:lastRenderedPageBreak/>
              <w:t>CD4</w:t>
            </w:r>
          </w:p>
        </w:tc>
        <w:tc>
          <w:tcPr>
            <w:tcW w:w="1843" w:type="dxa"/>
            <w:tcBorders>
              <w:top w:val="single" w:sz="4" w:space="0" w:color="000000"/>
              <w:left w:val="nil"/>
              <w:bottom w:val="single" w:sz="4" w:space="0" w:color="000000"/>
              <w:right w:val="single" w:sz="4" w:space="0" w:color="000000"/>
            </w:tcBorders>
            <w:vAlign w:val="center"/>
          </w:tcPr>
          <w:p w14:paraId="24D49E31" w14:textId="77777777" w:rsidR="00E63CDC" w:rsidRDefault="000925A1">
            <w:pPr>
              <w:ind w:firstLineChars="200" w:firstLine="400"/>
              <w:jc w:val="center"/>
              <w:rPr>
                <w:rFonts w:ascii="Arial" w:hAnsi="Arial" w:cs="Arial"/>
                <w:kern w:val="0"/>
                <w:sz w:val="20"/>
              </w:rPr>
            </w:pPr>
            <w:r>
              <w:rPr>
                <w:rFonts w:ascii="Arial" w:hAnsi="Arial" w:cs="Arial"/>
                <w:kern w:val="0"/>
                <w:sz w:val="20"/>
              </w:rPr>
              <w:t>APC</w:t>
            </w:r>
          </w:p>
        </w:tc>
        <w:tc>
          <w:tcPr>
            <w:tcW w:w="1559" w:type="dxa"/>
            <w:tcBorders>
              <w:top w:val="single" w:sz="4" w:space="0" w:color="000000"/>
              <w:left w:val="nil"/>
              <w:bottom w:val="single" w:sz="4" w:space="0" w:color="000000"/>
              <w:right w:val="single" w:sz="4" w:space="0" w:color="000000"/>
            </w:tcBorders>
            <w:vAlign w:val="center"/>
          </w:tcPr>
          <w:p w14:paraId="0BC58390" w14:textId="77777777" w:rsidR="00E63CDC" w:rsidRDefault="000925A1">
            <w:pPr>
              <w:ind w:firstLineChars="200" w:firstLine="400"/>
              <w:jc w:val="center"/>
              <w:rPr>
                <w:rFonts w:ascii="Arial" w:hAnsi="Arial" w:cs="Arial"/>
                <w:kern w:val="0"/>
                <w:sz w:val="20"/>
              </w:rPr>
            </w:pPr>
            <w:r>
              <w:rPr>
                <w:rFonts w:ascii="Arial" w:hAnsi="Arial" w:cs="Arial"/>
                <w:kern w:val="0"/>
                <w:sz w:val="20"/>
              </w:rPr>
              <w:t>A161A1</w:t>
            </w:r>
          </w:p>
        </w:tc>
        <w:tc>
          <w:tcPr>
            <w:tcW w:w="2086" w:type="dxa"/>
            <w:tcBorders>
              <w:top w:val="single" w:sz="4" w:space="0" w:color="000000"/>
              <w:left w:val="nil"/>
              <w:bottom w:val="single" w:sz="4" w:space="0" w:color="000000"/>
              <w:right w:val="single" w:sz="4" w:space="0" w:color="000000"/>
            </w:tcBorders>
            <w:vAlign w:val="center"/>
          </w:tcPr>
          <w:p w14:paraId="3354E2E9"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4C8DF235"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27C95B77" w14:textId="77777777" w:rsidR="00E63CDC" w:rsidRDefault="000925A1">
            <w:pPr>
              <w:ind w:firstLineChars="200" w:firstLine="400"/>
              <w:jc w:val="center"/>
              <w:rPr>
                <w:rFonts w:ascii="Arial" w:hAnsi="Arial" w:cs="Arial"/>
                <w:kern w:val="0"/>
                <w:sz w:val="20"/>
              </w:rPr>
            </w:pPr>
            <w:r>
              <w:rPr>
                <w:rFonts w:ascii="Arial" w:hAnsi="Arial" w:cs="Arial"/>
                <w:kern w:val="0"/>
                <w:sz w:val="20"/>
              </w:rPr>
              <w:t>CD4</w:t>
            </w:r>
          </w:p>
        </w:tc>
        <w:tc>
          <w:tcPr>
            <w:tcW w:w="1843" w:type="dxa"/>
            <w:tcBorders>
              <w:top w:val="single" w:sz="4" w:space="0" w:color="000000"/>
              <w:left w:val="nil"/>
              <w:bottom w:val="single" w:sz="4" w:space="0" w:color="000000"/>
              <w:right w:val="single" w:sz="4" w:space="0" w:color="000000"/>
            </w:tcBorders>
            <w:vAlign w:val="center"/>
          </w:tcPr>
          <w:p w14:paraId="72C6A0B2" w14:textId="77777777" w:rsidR="00E63CDC" w:rsidRDefault="000925A1">
            <w:pPr>
              <w:ind w:firstLineChars="200" w:firstLine="400"/>
              <w:jc w:val="center"/>
              <w:rPr>
                <w:rFonts w:ascii="Arial" w:hAnsi="Arial" w:cs="Arial"/>
                <w:kern w:val="0"/>
                <w:sz w:val="20"/>
              </w:rPr>
            </w:pPr>
            <w:r>
              <w:rPr>
                <w:rFonts w:ascii="Arial" w:hAnsi="Arial" w:cs="Arial"/>
                <w:kern w:val="0"/>
                <w:sz w:val="20"/>
              </w:rPr>
              <w:t>FITC</w:t>
            </w:r>
          </w:p>
        </w:tc>
        <w:tc>
          <w:tcPr>
            <w:tcW w:w="1559" w:type="dxa"/>
            <w:tcBorders>
              <w:top w:val="single" w:sz="4" w:space="0" w:color="000000"/>
              <w:left w:val="nil"/>
              <w:bottom w:val="single" w:sz="4" w:space="0" w:color="000000"/>
              <w:right w:val="single" w:sz="4" w:space="0" w:color="000000"/>
            </w:tcBorders>
            <w:vAlign w:val="center"/>
          </w:tcPr>
          <w:p w14:paraId="490FBCE8" w14:textId="77777777" w:rsidR="00E63CDC" w:rsidRDefault="000925A1">
            <w:pPr>
              <w:ind w:firstLineChars="200" w:firstLine="400"/>
              <w:jc w:val="center"/>
              <w:rPr>
                <w:rFonts w:ascii="Arial" w:hAnsi="Arial" w:cs="Arial"/>
                <w:kern w:val="0"/>
                <w:sz w:val="20"/>
              </w:rPr>
            </w:pPr>
            <w:r>
              <w:rPr>
                <w:rFonts w:ascii="Arial" w:hAnsi="Arial" w:cs="Arial"/>
                <w:kern w:val="0"/>
                <w:sz w:val="20"/>
              </w:rPr>
              <w:t>A161A1</w:t>
            </w:r>
          </w:p>
        </w:tc>
        <w:tc>
          <w:tcPr>
            <w:tcW w:w="2086" w:type="dxa"/>
            <w:tcBorders>
              <w:top w:val="single" w:sz="4" w:space="0" w:color="000000"/>
              <w:left w:val="nil"/>
              <w:bottom w:val="single" w:sz="4" w:space="0" w:color="000000"/>
              <w:right w:val="single" w:sz="4" w:space="0" w:color="000000"/>
            </w:tcBorders>
            <w:vAlign w:val="center"/>
          </w:tcPr>
          <w:p w14:paraId="7BCEEE03"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21647FB2"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7C91C4AD" w14:textId="77777777" w:rsidR="00E63CDC" w:rsidRDefault="000925A1">
            <w:pPr>
              <w:ind w:firstLineChars="200" w:firstLine="400"/>
              <w:jc w:val="center"/>
              <w:rPr>
                <w:rFonts w:ascii="Arial" w:hAnsi="Arial" w:cs="Arial"/>
                <w:kern w:val="0"/>
                <w:sz w:val="20"/>
              </w:rPr>
            </w:pPr>
            <w:r>
              <w:rPr>
                <w:rFonts w:ascii="Arial" w:hAnsi="Arial" w:cs="Arial"/>
                <w:kern w:val="0"/>
                <w:sz w:val="20"/>
              </w:rPr>
              <w:t>CD5</w:t>
            </w:r>
          </w:p>
        </w:tc>
        <w:tc>
          <w:tcPr>
            <w:tcW w:w="1843" w:type="dxa"/>
            <w:tcBorders>
              <w:top w:val="single" w:sz="4" w:space="0" w:color="000000"/>
              <w:left w:val="nil"/>
              <w:bottom w:val="single" w:sz="4" w:space="0" w:color="000000"/>
              <w:right w:val="single" w:sz="4" w:space="0" w:color="000000"/>
            </w:tcBorders>
            <w:vAlign w:val="center"/>
          </w:tcPr>
          <w:p w14:paraId="7F33107D" w14:textId="77777777" w:rsidR="00E63CDC" w:rsidRDefault="000925A1">
            <w:pPr>
              <w:ind w:firstLineChars="200" w:firstLine="400"/>
              <w:jc w:val="center"/>
              <w:rPr>
                <w:rFonts w:ascii="Arial" w:hAnsi="Arial" w:cs="Arial"/>
                <w:kern w:val="0"/>
                <w:sz w:val="20"/>
              </w:rPr>
            </w:pPr>
            <w:r>
              <w:rPr>
                <w:rFonts w:ascii="Arial" w:hAnsi="Arial" w:cs="Arial"/>
                <w:kern w:val="0"/>
                <w:sz w:val="20"/>
              </w:rPr>
              <w:t>APC</w:t>
            </w:r>
          </w:p>
        </w:tc>
        <w:tc>
          <w:tcPr>
            <w:tcW w:w="1559" w:type="dxa"/>
            <w:tcBorders>
              <w:top w:val="single" w:sz="4" w:space="0" w:color="000000"/>
              <w:left w:val="nil"/>
              <w:bottom w:val="single" w:sz="4" w:space="0" w:color="000000"/>
              <w:right w:val="single" w:sz="4" w:space="0" w:color="000000"/>
            </w:tcBorders>
            <w:vAlign w:val="center"/>
          </w:tcPr>
          <w:p w14:paraId="650C7E20" w14:textId="77777777" w:rsidR="00E63CDC" w:rsidRDefault="000925A1">
            <w:pPr>
              <w:ind w:firstLineChars="200" w:firstLine="400"/>
              <w:jc w:val="center"/>
              <w:rPr>
                <w:rFonts w:ascii="Arial" w:hAnsi="Arial" w:cs="Arial"/>
                <w:kern w:val="0"/>
                <w:sz w:val="20"/>
              </w:rPr>
            </w:pPr>
            <w:r>
              <w:rPr>
                <w:rFonts w:ascii="Arial" w:hAnsi="Arial" w:cs="Arial"/>
                <w:kern w:val="0"/>
                <w:sz w:val="20"/>
              </w:rPr>
              <w:t>UCHT2</w:t>
            </w:r>
          </w:p>
        </w:tc>
        <w:tc>
          <w:tcPr>
            <w:tcW w:w="2086" w:type="dxa"/>
            <w:tcBorders>
              <w:top w:val="single" w:sz="4" w:space="0" w:color="000000"/>
              <w:left w:val="nil"/>
              <w:bottom w:val="single" w:sz="4" w:space="0" w:color="000000"/>
              <w:right w:val="single" w:sz="4" w:space="0" w:color="000000"/>
            </w:tcBorders>
            <w:vAlign w:val="center"/>
          </w:tcPr>
          <w:p w14:paraId="2B4F6F10"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2A9C4BF0"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2783A310" w14:textId="77777777" w:rsidR="00E63CDC" w:rsidRDefault="000925A1">
            <w:pPr>
              <w:ind w:firstLineChars="200" w:firstLine="400"/>
              <w:jc w:val="center"/>
              <w:rPr>
                <w:rFonts w:ascii="Arial" w:hAnsi="Arial" w:cs="Arial"/>
                <w:kern w:val="0"/>
                <w:sz w:val="20"/>
              </w:rPr>
            </w:pPr>
            <w:r>
              <w:rPr>
                <w:rFonts w:ascii="Arial" w:hAnsi="Arial" w:cs="Arial"/>
                <w:kern w:val="0"/>
                <w:sz w:val="20"/>
              </w:rPr>
              <w:t>CD7</w:t>
            </w:r>
          </w:p>
        </w:tc>
        <w:tc>
          <w:tcPr>
            <w:tcW w:w="1843" w:type="dxa"/>
            <w:tcBorders>
              <w:top w:val="single" w:sz="4" w:space="0" w:color="000000"/>
              <w:left w:val="nil"/>
              <w:bottom w:val="single" w:sz="4" w:space="0" w:color="000000"/>
              <w:right w:val="single" w:sz="4" w:space="0" w:color="000000"/>
            </w:tcBorders>
            <w:vAlign w:val="center"/>
          </w:tcPr>
          <w:p w14:paraId="001356A9" w14:textId="77777777" w:rsidR="00E63CDC" w:rsidRDefault="000925A1">
            <w:pPr>
              <w:ind w:firstLineChars="200" w:firstLine="400"/>
              <w:jc w:val="center"/>
              <w:rPr>
                <w:rFonts w:ascii="Arial" w:hAnsi="Arial" w:cs="Arial"/>
                <w:kern w:val="0"/>
                <w:sz w:val="20"/>
              </w:rPr>
            </w:pPr>
            <w:r>
              <w:rPr>
                <w:rFonts w:ascii="Arial" w:hAnsi="Arial" w:cs="Arial"/>
                <w:kern w:val="0"/>
                <w:sz w:val="20"/>
              </w:rPr>
              <w:t>BV421</w:t>
            </w:r>
          </w:p>
        </w:tc>
        <w:tc>
          <w:tcPr>
            <w:tcW w:w="1559" w:type="dxa"/>
            <w:tcBorders>
              <w:top w:val="single" w:sz="4" w:space="0" w:color="000000"/>
              <w:left w:val="nil"/>
              <w:bottom w:val="single" w:sz="4" w:space="0" w:color="000000"/>
              <w:right w:val="single" w:sz="4" w:space="0" w:color="000000"/>
            </w:tcBorders>
            <w:vAlign w:val="center"/>
          </w:tcPr>
          <w:p w14:paraId="00F04D91" w14:textId="77777777" w:rsidR="00E63CDC" w:rsidRDefault="000925A1">
            <w:pPr>
              <w:ind w:firstLineChars="200" w:firstLine="400"/>
              <w:jc w:val="center"/>
              <w:rPr>
                <w:rFonts w:ascii="Arial" w:hAnsi="Arial" w:cs="Arial"/>
                <w:kern w:val="0"/>
                <w:sz w:val="20"/>
              </w:rPr>
            </w:pPr>
            <w:r>
              <w:rPr>
                <w:rFonts w:ascii="Arial" w:hAnsi="Arial" w:cs="Arial"/>
                <w:kern w:val="0"/>
                <w:sz w:val="20"/>
              </w:rPr>
              <w:t>M-T701</w:t>
            </w:r>
          </w:p>
        </w:tc>
        <w:tc>
          <w:tcPr>
            <w:tcW w:w="2086" w:type="dxa"/>
            <w:tcBorders>
              <w:top w:val="single" w:sz="4" w:space="0" w:color="000000"/>
              <w:left w:val="nil"/>
              <w:bottom w:val="single" w:sz="4" w:space="0" w:color="000000"/>
              <w:right w:val="single" w:sz="4" w:space="0" w:color="000000"/>
            </w:tcBorders>
            <w:vAlign w:val="center"/>
          </w:tcPr>
          <w:p w14:paraId="1DDC61B0" w14:textId="77777777" w:rsidR="00E63CDC" w:rsidRDefault="000925A1">
            <w:pPr>
              <w:ind w:firstLineChars="200" w:firstLine="400"/>
              <w:jc w:val="center"/>
              <w:rPr>
                <w:rFonts w:ascii="Arial" w:hAnsi="Arial" w:cs="Arial"/>
                <w:kern w:val="0"/>
                <w:sz w:val="20"/>
              </w:rPr>
            </w:pPr>
            <w:r>
              <w:rPr>
                <w:rFonts w:ascii="Arial" w:hAnsi="Arial" w:cs="Arial"/>
                <w:kern w:val="0"/>
                <w:sz w:val="20"/>
              </w:rPr>
              <w:t>BD</w:t>
            </w:r>
          </w:p>
        </w:tc>
      </w:tr>
      <w:tr w:rsidR="00E63CDC" w14:paraId="4F85342E"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4919F86D" w14:textId="77777777" w:rsidR="00E63CDC" w:rsidRDefault="000925A1">
            <w:pPr>
              <w:ind w:firstLineChars="200" w:firstLine="400"/>
              <w:jc w:val="center"/>
              <w:rPr>
                <w:rFonts w:ascii="Arial" w:hAnsi="Arial" w:cs="Arial"/>
                <w:kern w:val="0"/>
                <w:sz w:val="20"/>
              </w:rPr>
            </w:pPr>
            <w:r>
              <w:rPr>
                <w:rFonts w:ascii="Arial" w:hAnsi="Arial" w:cs="Arial"/>
                <w:kern w:val="0"/>
                <w:sz w:val="20"/>
              </w:rPr>
              <w:t>CD8</w:t>
            </w:r>
          </w:p>
        </w:tc>
        <w:tc>
          <w:tcPr>
            <w:tcW w:w="1843" w:type="dxa"/>
            <w:tcBorders>
              <w:top w:val="single" w:sz="4" w:space="0" w:color="000000"/>
              <w:left w:val="nil"/>
              <w:bottom w:val="single" w:sz="4" w:space="0" w:color="000000"/>
              <w:right w:val="single" w:sz="4" w:space="0" w:color="000000"/>
            </w:tcBorders>
            <w:vAlign w:val="center"/>
          </w:tcPr>
          <w:p w14:paraId="045C36F5" w14:textId="77777777" w:rsidR="00E63CDC" w:rsidRDefault="000925A1">
            <w:pPr>
              <w:ind w:firstLineChars="200" w:firstLine="400"/>
              <w:jc w:val="center"/>
              <w:rPr>
                <w:rFonts w:ascii="Arial" w:hAnsi="Arial" w:cs="Arial"/>
                <w:kern w:val="0"/>
                <w:sz w:val="20"/>
              </w:rPr>
            </w:pPr>
            <w:r>
              <w:rPr>
                <w:rFonts w:ascii="Arial" w:hAnsi="Arial" w:cs="Arial"/>
                <w:kern w:val="0"/>
                <w:sz w:val="20"/>
              </w:rPr>
              <w:t>BV421</w:t>
            </w:r>
          </w:p>
        </w:tc>
        <w:tc>
          <w:tcPr>
            <w:tcW w:w="1559" w:type="dxa"/>
            <w:tcBorders>
              <w:top w:val="single" w:sz="4" w:space="0" w:color="000000"/>
              <w:left w:val="nil"/>
              <w:bottom w:val="single" w:sz="4" w:space="0" w:color="000000"/>
              <w:right w:val="single" w:sz="4" w:space="0" w:color="000000"/>
            </w:tcBorders>
            <w:vAlign w:val="center"/>
          </w:tcPr>
          <w:p w14:paraId="60B501CF" w14:textId="77777777" w:rsidR="00E63CDC" w:rsidRDefault="000925A1">
            <w:pPr>
              <w:ind w:firstLineChars="200" w:firstLine="400"/>
              <w:jc w:val="center"/>
              <w:rPr>
                <w:rFonts w:ascii="Arial" w:hAnsi="Arial" w:cs="Arial"/>
                <w:kern w:val="0"/>
                <w:sz w:val="20"/>
              </w:rPr>
            </w:pPr>
            <w:r>
              <w:rPr>
                <w:rFonts w:ascii="Arial" w:hAnsi="Arial" w:cs="Arial"/>
                <w:kern w:val="0"/>
                <w:sz w:val="20"/>
              </w:rPr>
              <w:t>SK1</w:t>
            </w:r>
          </w:p>
        </w:tc>
        <w:tc>
          <w:tcPr>
            <w:tcW w:w="2086" w:type="dxa"/>
            <w:tcBorders>
              <w:top w:val="single" w:sz="4" w:space="0" w:color="000000"/>
              <w:left w:val="nil"/>
              <w:bottom w:val="single" w:sz="4" w:space="0" w:color="000000"/>
              <w:right w:val="single" w:sz="4" w:space="0" w:color="000000"/>
            </w:tcBorders>
            <w:vAlign w:val="center"/>
          </w:tcPr>
          <w:p w14:paraId="1B1353DE" w14:textId="77777777" w:rsidR="00E63CDC" w:rsidRDefault="000925A1">
            <w:pPr>
              <w:ind w:firstLineChars="200" w:firstLine="400"/>
              <w:jc w:val="center"/>
              <w:rPr>
                <w:rFonts w:ascii="Arial" w:hAnsi="Arial" w:cs="Arial"/>
                <w:kern w:val="0"/>
                <w:sz w:val="20"/>
              </w:rPr>
            </w:pPr>
            <w:bookmarkStart w:id="11" w:name="OLE_LINK175"/>
            <w:bookmarkStart w:id="12" w:name="OLE_LINK174"/>
            <w:r>
              <w:rPr>
                <w:rFonts w:ascii="Arial" w:hAnsi="Arial" w:cs="Arial"/>
                <w:kern w:val="0"/>
                <w:sz w:val="20"/>
              </w:rPr>
              <w:t>Biolegend</w:t>
            </w:r>
            <w:bookmarkEnd w:id="11"/>
            <w:bookmarkEnd w:id="12"/>
          </w:p>
        </w:tc>
      </w:tr>
      <w:tr w:rsidR="00E63CDC" w14:paraId="7E779635"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442F9BF5"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C</w:t>
            </w:r>
            <w:r>
              <w:rPr>
                <w:rFonts w:ascii="Arial" w:hAnsi="Arial" w:cs="Arial"/>
                <w:kern w:val="0"/>
                <w:sz w:val="20"/>
              </w:rPr>
              <w:t>D11C</w:t>
            </w:r>
          </w:p>
        </w:tc>
        <w:tc>
          <w:tcPr>
            <w:tcW w:w="1843" w:type="dxa"/>
            <w:tcBorders>
              <w:top w:val="single" w:sz="4" w:space="0" w:color="000000"/>
              <w:left w:val="nil"/>
              <w:bottom w:val="single" w:sz="4" w:space="0" w:color="000000"/>
              <w:right w:val="single" w:sz="4" w:space="0" w:color="000000"/>
            </w:tcBorders>
            <w:vAlign w:val="center"/>
          </w:tcPr>
          <w:p w14:paraId="717ED846"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A</w:t>
            </w:r>
            <w:r>
              <w:rPr>
                <w:rFonts w:ascii="Arial" w:hAnsi="Arial" w:cs="Arial"/>
                <w:kern w:val="0"/>
                <w:sz w:val="20"/>
              </w:rPr>
              <w:t>PC</w:t>
            </w:r>
          </w:p>
        </w:tc>
        <w:tc>
          <w:tcPr>
            <w:tcW w:w="1559" w:type="dxa"/>
            <w:tcBorders>
              <w:top w:val="single" w:sz="4" w:space="0" w:color="000000"/>
              <w:left w:val="nil"/>
              <w:bottom w:val="single" w:sz="4" w:space="0" w:color="000000"/>
              <w:right w:val="single" w:sz="4" w:space="0" w:color="000000"/>
            </w:tcBorders>
            <w:vAlign w:val="center"/>
          </w:tcPr>
          <w:p w14:paraId="2A3BE034" w14:textId="77777777" w:rsidR="00E63CDC" w:rsidRDefault="000925A1">
            <w:pPr>
              <w:ind w:firstLineChars="200" w:firstLine="400"/>
              <w:jc w:val="center"/>
              <w:rPr>
                <w:rFonts w:ascii="Arial" w:hAnsi="Arial" w:cs="Arial"/>
                <w:kern w:val="0"/>
                <w:sz w:val="20"/>
              </w:rPr>
            </w:pPr>
            <w:r>
              <w:rPr>
                <w:rFonts w:ascii="Arial" w:hAnsi="Arial" w:cs="Arial"/>
                <w:kern w:val="0"/>
                <w:sz w:val="20"/>
              </w:rPr>
              <w:t>B-ly6</w:t>
            </w:r>
          </w:p>
        </w:tc>
        <w:tc>
          <w:tcPr>
            <w:tcW w:w="2086" w:type="dxa"/>
            <w:tcBorders>
              <w:top w:val="single" w:sz="4" w:space="0" w:color="000000"/>
              <w:left w:val="nil"/>
              <w:bottom w:val="single" w:sz="4" w:space="0" w:color="000000"/>
              <w:right w:val="single" w:sz="4" w:space="0" w:color="000000"/>
            </w:tcBorders>
            <w:vAlign w:val="center"/>
          </w:tcPr>
          <w:p w14:paraId="5614FE96"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3786320C"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4CCA67AA"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C</w:t>
            </w:r>
            <w:r>
              <w:rPr>
                <w:rFonts w:ascii="Arial" w:hAnsi="Arial" w:cs="Arial"/>
                <w:kern w:val="0"/>
                <w:sz w:val="20"/>
              </w:rPr>
              <w:t>D14</w:t>
            </w:r>
          </w:p>
        </w:tc>
        <w:tc>
          <w:tcPr>
            <w:tcW w:w="1843" w:type="dxa"/>
            <w:tcBorders>
              <w:top w:val="single" w:sz="4" w:space="0" w:color="000000"/>
              <w:left w:val="nil"/>
              <w:bottom w:val="single" w:sz="4" w:space="0" w:color="000000"/>
              <w:right w:val="single" w:sz="4" w:space="0" w:color="000000"/>
            </w:tcBorders>
            <w:vAlign w:val="center"/>
          </w:tcPr>
          <w:p w14:paraId="0BF7BAB4"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P</w:t>
            </w:r>
            <w:r>
              <w:rPr>
                <w:rFonts w:ascii="Arial" w:hAnsi="Arial" w:cs="Arial"/>
                <w:kern w:val="0"/>
                <w:sz w:val="20"/>
              </w:rPr>
              <w:t>E</w:t>
            </w:r>
          </w:p>
        </w:tc>
        <w:tc>
          <w:tcPr>
            <w:tcW w:w="1559" w:type="dxa"/>
            <w:tcBorders>
              <w:top w:val="single" w:sz="4" w:space="0" w:color="000000"/>
              <w:left w:val="nil"/>
              <w:bottom w:val="single" w:sz="4" w:space="0" w:color="000000"/>
              <w:right w:val="single" w:sz="4" w:space="0" w:color="000000"/>
            </w:tcBorders>
            <w:vAlign w:val="center"/>
          </w:tcPr>
          <w:p w14:paraId="39C24BFB"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6</w:t>
            </w:r>
            <w:r>
              <w:rPr>
                <w:rFonts w:ascii="Arial" w:hAnsi="Arial" w:cs="Arial"/>
                <w:kern w:val="0"/>
                <w:sz w:val="20"/>
              </w:rPr>
              <w:t>3D3</w:t>
            </w:r>
          </w:p>
        </w:tc>
        <w:tc>
          <w:tcPr>
            <w:tcW w:w="2086" w:type="dxa"/>
            <w:tcBorders>
              <w:top w:val="single" w:sz="4" w:space="0" w:color="000000"/>
              <w:left w:val="nil"/>
              <w:bottom w:val="single" w:sz="4" w:space="0" w:color="000000"/>
              <w:right w:val="single" w:sz="4" w:space="0" w:color="000000"/>
            </w:tcBorders>
            <w:vAlign w:val="center"/>
          </w:tcPr>
          <w:p w14:paraId="6DE9A5B0"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54FD0D29"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323AB96C" w14:textId="77777777" w:rsidR="00E63CDC" w:rsidRDefault="000925A1">
            <w:pPr>
              <w:ind w:firstLineChars="200" w:firstLine="400"/>
              <w:jc w:val="center"/>
              <w:rPr>
                <w:rFonts w:ascii="Arial" w:hAnsi="Arial" w:cs="Arial"/>
                <w:kern w:val="0"/>
                <w:sz w:val="20"/>
              </w:rPr>
            </w:pPr>
            <w:r>
              <w:rPr>
                <w:rFonts w:ascii="Arial" w:hAnsi="Arial" w:cs="Arial"/>
                <w:kern w:val="0"/>
                <w:sz w:val="20"/>
              </w:rPr>
              <w:t>CD19</w:t>
            </w:r>
          </w:p>
        </w:tc>
        <w:tc>
          <w:tcPr>
            <w:tcW w:w="1843" w:type="dxa"/>
            <w:tcBorders>
              <w:top w:val="single" w:sz="4" w:space="0" w:color="000000"/>
              <w:left w:val="nil"/>
              <w:bottom w:val="single" w:sz="4" w:space="0" w:color="000000"/>
              <w:right w:val="single" w:sz="4" w:space="0" w:color="000000"/>
            </w:tcBorders>
            <w:vAlign w:val="center"/>
          </w:tcPr>
          <w:p w14:paraId="11E82D84" w14:textId="77777777" w:rsidR="00E63CDC" w:rsidRDefault="000925A1">
            <w:pPr>
              <w:ind w:firstLineChars="200" w:firstLine="400"/>
              <w:jc w:val="center"/>
              <w:rPr>
                <w:rFonts w:ascii="Arial" w:hAnsi="Arial" w:cs="Arial"/>
                <w:kern w:val="0"/>
                <w:sz w:val="20"/>
              </w:rPr>
            </w:pPr>
            <w:r>
              <w:rPr>
                <w:rFonts w:ascii="Arial" w:hAnsi="Arial" w:cs="Arial"/>
                <w:kern w:val="0"/>
                <w:sz w:val="20"/>
              </w:rPr>
              <w:t>APC</w:t>
            </w:r>
          </w:p>
        </w:tc>
        <w:tc>
          <w:tcPr>
            <w:tcW w:w="1559" w:type="dxa"/>
            <w:tcBorders>
              <w:top w:val="single" w:sz="4" w:space="0" w:color="000000"/>
              <w:left w:val="nil"/>
              <w:bottom w:val="single" w:sz="4" w:space="0" w:color="000000"/>
              <w:right w:val="single" w:sz="4" w:space="0" w:color="000000"/>
            </w:tcBorders>
            <w:vAlign w:val="center"/>
          </w:tcPr>
          <w:p w14:paraId="1326ED29" w14:textId="77777777" w:rsidR="00E63CDC" w:rsidRDefault="000925A1">
            <w:pPr>
              <w:ind w:firstLineChars="200" w:firstLine="400"/>
              <w:jc w:val="center"/>
              <w:rPr>
                <w:rFonts w:ascii="Arial" w:hAnsi="Arial" w:cs="Arial"/>
                <w:kern w:val="0"/>
                <w:sz w:val="20"/>
              </w:rPr>
            </w:pPr>
            <w:r>
              <w:rPr>
                <w:rFonts w:ascii="Arial" w:hAnsi="Arial" w:cs="Arial"/>
                <w:kern w:val="0"/>
                <w:sz w:val="20"/>
              </w:rPr>
              <w:t>HIB19</w:t>
            </w:r>
          </w:p>
        </w:tc>
        <w:tc>
          <w:tcPr>
            <w:tcW w:w="2086" w:type="dxa"/>
            <w:tcBorders>
              <w:top w:val="single" w:sz="4" w:space="0" w:color="000000"/>
              <w:left w:val="nil"/>
              <w:bottom w:val="single" w:sz="4" w:space="0" w:color="000000"/>
              <w:right w:val="single" w:sz="4" w:space="0" w:color="000000"/>
            </w:tcBorders>
            <w:vAlign w:val="center"/>
          </w:tcPr>
          <w:p w14:paraId="5764E6F4"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7EE28C0E"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0AEEB4AA"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C</w:t>
            </w:r>
            <w:r>
              <w:rPr>
                <w:rFonts w:ascii="Arial" w:hAnsi="Arial" w:cs="Arial"/>
                <w:kern w:val="0"/>
                <w:sz w:val="20"/>
              </w:rPr>
              <w:t>D34</w:t>
            </w:r>
          </w:p>
        </w:tc>
        <w:tc>
          <w:tcPr>
            <w:tcW w:w="1843" w:type="dxa"/>
            <w:tcBorders>
              <w:top w:val="single" w:sz="4" w:space="0" w:color="000000"/>
              <w:left w:val="nil"/>
              <w:bottom w:val="single" w:sz="4" w:space="0" w:color="000000"/>
              <w:right w:val="single" w:sz="4" w:space="0" w:color="000000"/>
            </w:tcBorders>
            <w:vAlign w:val="center"/>
          </w:tcPr>
          <w:p w14:paraId="02959E46"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B</w:t>
            </w:r>
            <w:r>
              <w:rPr>
                <w:rFonts w:ascii="Arial" w:hAnsi="Arial" w:cs="Arial"/>
                <w:kern w:val="0"/>
                <w:sz w:val="20"/>
              </w:rPr>
              <w:t>V421</w:t>
            </w:r>
          </w:p>
        </w:tc>
        <w:tc>
          <w:tcPr>
            <w:tcW w:w="1559" w:type="dxa"/>
            <w:tcBorders>
              <w:top w:val="single" w:sz="4" w:space="0" w:color="000000"/>
              <w:left w:val="nil"/>
              <w:bottom w:val="single" w:sz="4" w:space="0" w:color="000000"/>
              <w:right w:val="single" w:sz="4" w:space="0" w:color="000000"/>
            </w:tcBorders>
            <w:vAlign w:val="center"/>
          </w:tcPr>
          <w:p w14:paraId="40E5A5F7"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5</w:t>
            </w:r>
            <w:r>
              <w:rPr>
                <w:rFonts w:ascii="Arial" w:hAnsi="Arial" w:cs="Arial"/>
                <w:kern w:val="0"/>
                <w:sz w:val="20"/>
              </w:rPr>
              <w:t>81</w:t>
            </w:r>
          </w:p>
        </w:tc>
        <w:tc>
          <w:tcPr>
            <w:tcW w:w="2086" w:type="dxa"/>
            <w:tcBorders>
              <w:top w:val="single" w:sz="4" w:space="0" w:color="000000"/>
              <w:left w:val="nil"/>
              <w:bottom w:val="single" w:sz="4" w:space="0" w:color="000000"/>
              <w:right w:val="single" w:sz="4" w:space="0" w:color="000000"/>
            </w:tcBorders>
            <w:vAlign w:val="center"/>
          </w:tcPr>
          <w:p w14:paraId="451CD9F6" w14:textId="77777777" w:rsidR="00E63CDC" w:rsidRDefault="000925A1">
            <w:pPr>
              <w:ind w:firstLineChars="200" w:firstLine="400"/>
              <w:jc w:val="center"/>
              <w:rPr>
                <w:rFonts w:ascii="Arial" w:hAnsi="Arial" w:cs="Arial"/>
                <w:kern w:val="0"/>
                <w:sz w:val="20"/>
              </w:rPr>
            </w:pPr>
            <w:r>
              <w:rPr>
                <w:rFonts w:ascii="Arial" w:hAnsi="Arial" w:cs="Arial"/>
                <w:kern w:val="0"/>
                <w:sz w:val="20"/>
              </w:rPr>
              <w:t>BD</w:t>
            </w:r>
          </w:p>
        </w:tc>
      </w:tr>
      <w:tr w:rsidR="00E63CDC" w14:paraId="644DE7FF"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5423DF2F" w14:textId="77777777" w:rsidR="00E63CDC" w:rsidRDefault="000925A1">
            <w:pPr>
              <w:ind w:firstLineChars="200" w:firstLine="400"/>
              <w:jc w:val="center"/>
              <w:rPr>
                <w:rFonts w:ascii="Arial" w:hAnsi="Arial" w:cs="Arial"/>
                <w:kern w:val="0"/>
                <w:sz w:val="20"/>
              </w:rPr>
            </w:pPr>
            <w:r>
              <w:rPr>
                <w:rFonts w:ascii="Arial" w:hAnsi="Arial" w:cs="Arial"/>
                <w:kern w:val="0"/>
                <w:sz w:val="20"/>
              </w:rPr>
              <w:t>CD45</w:t>
            </w:r>
          </w:p>
        </w:tc>
        <w:tc>
          <w:tcPr>
            <w:tcW w:w="1843" w:type="dxa"/>
            <w:tcBorders>
              <w:top w:val="single" w:sz="4" w:space="0" w:color="000000"/>
              <w:left w:val="nil"/>
              <w:bottom w:val="single" w:sz="4" w:space="0" w:color="000000"/>
              <w:right w:val="single" w:sz="4" w:space="0" w:color="000000"/>
            </w:tcBorders>
            <w:vAlign w:val="center"/>
          </w:tcPr>
          <w:p w14:paraId="7F35EFB4" w14:textId="77777777" w:rsidR="00E63CDC" w:rsidRDefault="000925A1">
            <w:pPr>
              <w:ind w:firstLineChars="200" w:firstLine="400"/>
              <w:jc w:val="center"/>
              <w:rPr>
                <w:rFonts w:ascii="Arial" w:hAnsi="Arial" w:cs="Arial"/>
                <w:kern w:val="0"/>
                <w:sz w:val="20"/>
              </w:rPr>
            </w:pPr>
            <w:r>
              <w:rPr>
                <w:rFonts w:ascii="Arial" w:hAnsi="Arial" w:cs="Arial"/>
                <w:kern w:val="0"/>
                <w:sz w:val="20"/>
              </w:rPr>
              <w:t>PE</w:t>
            </w:r>
          </w:p>
        </w:tc>
        <w:tc>
          <w:tcPr>
            <w:tcW w:w="1559" w:type="dxa"/>
            <w:tcBorders>
              <w:top w:val="single" w:sz="4" w:space="0" w:color="000000"/>
              <w:left w:val="nil"/>
              <w:bottom w:val="single" w:sz="4" w:space="0" w:color="000000"/>
              <w:right w:val="single" w:sz="4" w:space="0" w:color="000000"/>
            </w:tcBorders>
            <w:vAlign w:val="center"/>
          </w:tcPr>
          <w:p w14:paraId="5339C03B" w14:textId="77777777" w:rsidR="00E63CDC" w:rsidRDefault="000925A1">
            <w:pPr>
              <w:ind w:firstLineChars="200" w:firstLine="400"/>
              <w:jc w:val="center"/>
              <w:rPr>
                <w:rFonts w:ascii="Arial" w:hAnsi="Arial" w:cs="Arial"/>
                <w:kern w:val="0"/>
                <w:sz w:val="20"/>
              </w:rPr>
            </w:pPr>
            <w:r>
              <w:rPr>
                <w:rFonts w:ascii="Arial" w:hAnsi="Arial" w:cs="Arial"/>
                <w:kern w:val="0"/>
                <w:sz w:val="20"/>
              </w:rPr>
              <w:t>H130</w:t>
            </w:r>
          </w:p>
        </w:tc>
        <w:tc>
          <w:tcPr>
            <w:tcW w:w="2086" w:type="dxa"/>
            <w:tcBorders>
              <w:top w:val="single" w:sz="4" w:space="0" w:color="000000"/>
              <w:left w:val="nil"/>
              <w:bottom w:val="single" w:sz="4" w:space="0" w:color="000000"/>
              <w:right w:val="single" w:sz="4" w:space="0" w:color="000000"/>
            </w:tcBorders>
            <w:vAlign w:val="center"/>
          </w:tcPr>
          <w:p w14:paraId="69906A61"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3CDFE9DF"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1BCA1CE5"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C</w:t>
            </w:r>
            <w:r>
              <w:rPr>
                <w:rFonts w:ascii="Arial" w:hAnsi="Arial" w:cs="Arial"/>
                <w:kern w:val="0"/>
                <w:sz w:val="20"/>
              </w:rPr>
              <w:t>D56</w:t>
            </w:r>
          </w:p>
        </w:tc>
        <w:tc>
          <w:tcPr>
            <w:tcW w:w="1843" w:type="dxa"/>
            <w:tcBorders>
              <w:top w:val="single" w:sz="4" w:space="0" w:color="000000"/>
              <w:left w:val="nil"/>
              <w:bottom w:val="single" w:sz="4" w:space="0" w:color="000000"/>
              <w:right w:val="single" w:sz="4" w:space="0" w:color="000000"/>
            </w:tcBorders>
            <w:vAlign w:val="center"/>
          </w:tcPr>
          <w:p w14:paraId="33C34F50"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B</w:t>
            </w:r>
            <w:r>
              <w:rPr>
                <w:rFonts w:ascii="Arial" w:hAnsi="Arial" w:cs="Arial"/>
                <w:kern w:val="0"/>
                <w:sz w:val="20"/>
              </w:rPr>
              <w:t>V421</w:t>
            </w:r>
          </w:p>
        </w:tc>
        <w:tc>
          <w:tcPr>
            <w:tcW w:w="1559" w:type="dxa"/>
            <w:tcBorders>
              <w:top w:val="single" w:sz="4" w:space="0" w:color="000000"/>
              <w:left w:val="nil"/>
              <w:bottom w:val="single" w:sz="4" w:space="0" w:color="000000"/>
              <w:right w:val="single" w:sz="4" w:space="0" w:color="000000"/>
            </w:tcBorders>
            <w:vAlign w:val="center"/>
          </w:tcPr>
          <w:p w14:paraId="66C68CE6"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H</w:t>
            </w:r>
            <w:r>
              <w:rPr>
                <w:rFonts w:ascii="Arial" w:hAnsi="Arial" w:cs="Arial"/>
                <w:kern w:val="0"/>
                <w:sz w:val="20"/>
              </w:rPr>
              <w:t>CD56</w:t>
            </w:r>
          </w:p>
        </w:tc>
        <w:tc>
          <w:tcPr>
            <w:tcW w:w="2086" w:type="dxa"/>
            <w:tcBorders>
              <w:top w:val="single" w:sz="4" w:space="0" w:color="000000"/>
              <w:left w:val="nil"/>
              <w:bottom w:val="single" w:sz="4" w:space="0" w:color="000000"/>
              <w:right w:val="single" w:sz="4" w:space="0" w:color="000000"/>
            </w:tcBorders>
            <w:vAlign w:val="center"/>
          </w:tcPr>
          <w:p w14:paraId="6A182F6A"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2801352D"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751BED38" w14:textId="77777777" w:rsidR="00E63CDC" w:rsidRDefault="000925A1">
            <w:pPr>
              <w:ind w:firstLineChars="200" w:firstLine="400"/>
              <w:jc w:val="center"/>
              <w:rPr>
                <w:rFonts w:ascii="Arial" w:hAnsi="Arial" w:cs="Arial"/>
                <w:kern w:val="0"/>
                <w:sz w:val="20"/>
              </w:rPr>
            </w:pPr>
            <w:r>
              <w:rPr>
                <w:rFonts w:ascii="Arial" w:hAnsi="Arial" w:cs="Arial"/>
                <w:kern w:val="0"/>
                <w:sz w:val="20"/>
              </w:rPr>
              <w:t>CD99</w:t>
            </w:r>
          </w:p>
        </w:tc>
        <w:tc>
          <w:tcPr>
            <w:tcW w:w="1843" w:type="dxa"/>
            <w:tcBorders>
              <w:top w:val="single" w:sz="4" w:space="0" w:color="000000"/>
              <w:left w:val="nil"/>
              <w:bottom w:val="single" w:sz="4" w:space="0" w:color="000000"/>
              <w:right w:val="single" w:sz="4" w:space="0" w:color="000000"/>
            </w:tcBorders>
            <w:vAlign w:val="center"/>
          </w:tcPr>
          <w:p w14:paraId="4B687C0C" w14:textId="77777777" w:rsidR="00E63CDC" w:rsidRDefault="000925A1">
            <w:pPr>
              <w:ind w:firstLineChars="200" w:firstLine="400"/>
              <w:jc w:val="center"/>
              <w:rPr>
                <w:rFonts w:ascii="Arial" w:hAnsi="Arial" w:cs="Arial"/>
                <w:kern w:val="0"/>
                <w:sz w:val="20"/>
              </w:rPr>
            </w:pPr>
            <w:r>
              <w:rPr>
                <w:rFonts w:ascii="Arial" w:hAnsi="Arial" w:cs="Arial"/>
                <w:kern w:val="0"/>
                <w:sz w:val="20"/>
              </w:rPr>
              <w:t>FITC</w:t>
            </w:r>
          </w:p>
        </w:tc>
        <w:tc>
          <w:tcPr>
            <w:tcW w:w="1559" w:type="dxa"/>
            <w:tcBorders>
              <w:top w:val="single" w:sz="4" w:space="0" w:color="000000"/>
              <w:left w:val="nil"/>
              <w:bottom w:val="single" w:sz="4" w:space="0" w:color="000000"/>
              <w:right w:val="single" w:sz="4" w:space="0" w:color="000000"/>
            </w:tcBorders>
            <w:vAlign w:val="center"/>
          </w:tcPr>
          <w:p w14:paraId="026BB832" w14:textId="77777777" w:rsidR="00E63CDC" w:rsidRDefault="000925A1">
            <w:pPr>
              <w:ind w:firstLineChars="200" w:firstLine="400"/>
              <w:jc w:val="center"/>
              <w:rPr>
                <w:rFonts w:ascii="Arial" w:hAnsi="Arial" w:cs="Arial"/>
                <w:kern w:val="0"/>
                <w:sz w:val="20"/>
              </w:rPr>
            </w:pPr>
            <w:r>
              <w:rPr>
                <w:rFonts w:ascii="Arial" w:hAnsi="Arial" w:cs="Arial"/>
                <w:kern w:val="0"/>
                <w:sz w:val="20"/>
              </w:rPr>
              <w:t>3B2/TA8</w:t>
            </w:r>
          </w:p>
        </w:tc>
        <w:tc>
          <w:tcPr>
            <w:tcW w:w="2086" w:type="dxa"/>
            <w:tcBorders>
              <w:top w:val="single" w:sz="4" w:space="0" w:color="000000"/>
              <w:left w:val="nil"/>
              <w:bottom w:val="single" w:sz="4" w:space="0" w:color="000000"/>
              <w:right w:val="single" w:sz="4" w:space="0" w:color="000000"/>
            </w:tcBorders>
            <w:vAlign w:val="center"/>
          </w:tcPr>
          <w:p w14:paraId="798615DA"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750BD8B7"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5161B5D2" w14:textId="77777777" w:rsidR="00E63CDC" w:rsidRDefault="000925A1">
            <w:pPr>
              <w:ind w:firstLineChars="200" w:firstLine="400"/>
              <w:jc w:val="center"/>
              <w:rPr>
                <w:rFonts w:ascii="Arial" w:hAnsi="Arial" w:cs="Arial"/>
                <w:kern w:val="0"/>
                <w:sz w:val="20"/>
              </w:rPr>
            </w:pPr>
            <w:r>
              <w:rPr>
                <w:rFonts w:ascii="Arial" w:hAnsi="Arial" w:cs="Arial"/>
                <w:kern w:val="0"/>
                <w:sz w:val="20"/>
              </w:rPr>
              <w:t>CD99</w:t>
            </w:r>
          </w:p>
        </w:tc>
        <w:tc>
          <w:tcPr>
            <w:tcW w:w="1843" w:type="dxa"/>
            <w:tcBorders>
              <w:top w:val="single" w:sz="4" w:space="0" w:color="000000"/>
              <w:left w:val="nil"/>
              <w:bottom w:val="single" w:sz="4" w:space="0" w:color="000000"/>
              <w:right w:val="single" w:sz="4" w:space="0" w:color="000000"/>
            </w:tcBorders>
            <w:vAlign w:val="center"/>
          </w:tcPr>
          <w:p w14:paraId="2C891527" w14:textId="77777777" w:rsidR="00E63CDC" w:rsidRDefault="000925A1">
            <w:pPr>
              <w:ind w:firstLineChars="200" w:firstLine="400"/>
              <w:jc w:val="center"/>
              <w:rPr>
                <w:rFonts w:ascii="Arial" w:hAnsi="Arial" w:cs="Arial"/>
                <w:kern w:val="0"/>
                <w:sz w:val="20"/>
              </w:rPr>
            </w:pPr>
            <w:r>
              <w:rPr>
                <w:rFonts w:ascii="Arial" w:hAnsi="Arial" w:cs="Arial"/>
                <w:kern w:val="0"/>
                <w:sz w:val="20"/>
              </w:rPr>
              <w:t>PE</w:t>
            </w:r>
          </w:p>
        </w:tc>
        <w:tc>
          <w:tcPr>
            <w:tcW w:w="1559" w:type="dxa"/>
            <w:tcBorders>
              <w:top w:val="single" w:sz="4" w:space="0" w:color="000000"/>
              <w:left w:val="nil"/>
              <w:bottom w:val="single" w:sz="4" w:space="0" w:color="000000"/>
              <w:right w:val="single" w:sz="4" w:space="0" w:color="000000"/>
            </w:tcBorders>
            <w:vAlign w:val="center"/>
          </w:tcPr>
          <w:p w14:paraId="21FD472C" w14:textId="77777777" w:rsidR="00E63CDC" w:rsidRDefault="000925A1">
            <w:pPr>
              <w:ind w:firstLineChars="200" w:firstLine="400"/>
              <w:jc w:val="center"/>
              <w:rPr>
                <w:rFonts w:ascii="Arial" w:hAnsi="Arial" w:cs="Arial"/>
                <w:kern w:val="0"/>
                <w:sz w:val="20"/>
              </w:rPr>
            </w:pPr>
            <w:r>
              <w:rPr>
                <w:rFonts w:ascii="Arial" w:hAnsi="Arial" w:cs="Arial"/>
                <w:kern w:val="0"/>
                <w:sz w:val="20"/>
              </w:rPr>
              <w:t>TU12</w:t>
            </w:r>
          </w:p>
        </w:tc>
        <w:tc>
          <w:tcPr>
            <w:tcW w:w="2086" w:type="dxa"/>
            <w:tcBorders>
              <w:top w:val="single" w:sz="4" w:space="0" w:color="000000"/>
              <w:left w:val="nil"/>
              <w:bottom w:val="single" w:sz="4" w:space="0" w:color="000000"/>
              <w:right w:val="single" w:sz="4" w:space="0" w:color="000000"/>
            </w:tcBorders>
            <w:vAlign w:val="center"/>
          </w:tcPr>
          <w:p w14:paraId="0CA019D6" w14:textId="77777777" w:rsidR="00E63CDC" w:rsidRDefault="000925A1">
            <w:pPr>
              <w:ind w:firstLineChars="200" w:firstLine="400"/>
              <w:jc w:val="center"/>
              <w:rPr>
                <w:rFonts w:ascii="Arial" w:hAnsi="Arial" w:cs="Arial"/>
                <w:kern w:val="0"/>
                <w:sz w:val="20"/>
              </w:rPr>
            </w:pPr>
            <w:r>
              <w:rPr>
                <w:rFonts w:ascii="Arial" w:hAnsi="Arial" w:cs="Arial"/>
                <w:kern w:val="0"/>
                <w:sz w:val="20"/>
              </w:rPr>
              <w:t>BD</w:t>
            </w:r>
          </w:p>
        </w:tc>
      </w:tr>
      <w:tr w:rsidR="00E63CDC" w14:paraId="56418120"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6285EA9A" w14:textId="77777777" w:rsidR="00E63CDC" w:rsidRDefault="000925A1">
            <w:pPr>
              <w:ind w:firstLineChars="200" w:firstLine="400"/>
              <w:jc w:val="center"/>
              <w:rPr>
                <w:rFonts w:ascii="Arial" w:hAnsi="Arial" w:cs="Arial"/>
                <w:kern w:val="0"/>
                <w:sz w:val="20"/>
              </w:rPr>
            </w:pPr>
            <w:r>
              <w:rPr>
                <w:rFonts w:ascii="Arial" w:hAnsi="Arial" w:cs="Arial"/>
                <w:kern w:val="0"/>
                <w:sz w:val="20"/>
              </w:rPr>
              <w:t>CD99</w:t>
            </w:r>
          </w:p>
        </w:tc>
        <w:tc>
          <w:tcPr>
            <w:tcW w:w="1843" w:type="dxa"/>
            <w:tcBorders>
              <w:top w:val="single" w:sz="4" w:space="0" w:color="000000"/>
              <w:left w:val="nil"/>
              <w:bottom w:val="single" w:sz="4" w:space="0" w:color="000000"/>
              <w:right w:val="single" w:sz="4" w:space="0" w:color="000000"/>
            </w:tcBorders>
            <w:vAlign w:val="center"/>
          </w:tcPr>
          <w:p w14:paraId="4685F52E" w14:textId="77777777" w:rsidR="00E63CDC" w:rsidRDefault="000925A1">
            <w:pPr>
              <w:ind w:firstLineChars="200" w:firstLine="400"/>
              <w:jc w:val="center"/>
              <w:rPr>
                <w:rFonts w:ascii="Arial" w:hAnsi="Arial" w:cs="Arial"/>
                <w:kern w:val="0"/>
                <w:sz w:val="20"/>
              </w:rPr>
            </w:pPr>
            <w:r>
              <w:rPr>
                <w:rFonts w:ascii="Arial" w:hAnsi="Arial" w:cs="Arial"/>
                <w:kern w:val="0"/>
                <w:sz w:val="20"/>
              </w:rPr>
              <w:t>/</w:t>
            </w:r>
          </w:p>
        </w:tc>
        <w:tc>
          <w:tcPr>
            <w:tcW w:w="1559" w:type="dxa"/>
            <w:tcBorders>
              <w:top w:val="single" w:sz="4" w:space="0" w:color="000000"/>
              <w:left w:val="nil"/>
              <w:bottom w:val="single" w:sz="4" w:space="0" w:color="000000"/>
              <w:right w:val="single" w:sz="4" w:space="0" w:color="000000"/>
            </w:tcBorders>
            <w:vAlign w:val="center"/>
          </w:tcPr>
          <w:p w14:paraId="1C1BBA62" w14:textId="77777777" w:rsidR="00E63CDC" w:rsidRDefault="000925A1">
            <w:pPr>
              <w:ind w:firstLineChars="200" w:firstLine="400"/>
              <w:jc w:val="center"/>
              <w:rPr>
                <w:rFonts w:ascii="Arial" w:hAnsi="Arial" w:cs="Arial"/>
                <w:kern w:val="0"/>
                <w:sz w:val="20"/>
              </w:rPr>
            </w:pPr>
            <w:r>
              <w:rPr>
                <w:rFonts w:ascii="Arial" w:hAnsi="Arial" w:cs="Arial"/>
                <w:kern w:val="0"/>
                <w:sz w:val="20"/>
              </w:rPr>
              <w:t>12E7</w:t>
            </w:r>
          </w:p>
        </w:tc>
        <w:tc>
          <w:tcPr>
            <w:tcW w:w="2086" w:type="dxa"/>
            <w:tcBorders>
              <w:top w:val="single" w:sz="4" w:space="0" w:color="000000"/>
              <w:left w:val="nil"/>
              <w:bottom w:val="single" w:sz="4" w:space="0" w:color="000000"/>
              <w:right w:val="single" w:sz="4" w:space="0" w:color="000000"/>
            </w:tcBorders>
            <w:vAlign w:val="center"/>
          </w:tcPr>
          <w:p w14:paraId="6EC9FED1" w14:textId="77777777" w:rsidR="00E63CDC" w:rsidRDefault="000925A1">
            <w:pPr>
              <w:ind w:firstLineChars="200" w:firstLine="400"/>
              <w:jc w:val="center"/>
              <w:rPr>
                <w:rFonts w:ascii="Arial" w:hAnsi="Arial" w:cs="Arial"/>
                <w:kern w:val="0"/>
                <w:sz w:val="20"/>
              </w:rPr>
            </w:pPr>
            <w:r>
              <w:rPr>
                <w:rFonts w:ascii="Arial" w:hAnsi="Arial" w:cs="Arial"/>
                <w:kern w:val="0"/>
                <w:sz w:val="20"/>
              </w:rPr>
              <w:t>Abcam</w:t>
            </w:r>
          </w:p>
        </w:tc>
      </w:tr>
      <w:tr w:rsidR="00E63CDC" w14:paraId="5899CB47"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2A03835D" w14:textId="77777777" w:rsidR="00E63CDC" w:rsidRDefault="000925A1">
            <w:pPr>
              <w:ind w:firstLineChars="200" w:firstLine="400"/>
              <w:jc w:val="center"/>
              <w:rPr>
                <w:rFonts w:ascii="Arial" w:hAnsi="Arial" w:cs="Arial"/>
                <w:kern w:val="0"/>
                <w:sz w:val="20"/>
              </w:rPr>
            </w:pPr>
            <w:r>
              <w:rPr>
                <w:rFonts w:ascii="Arial" w:hAnsi="Arial" w:cs="Arial"/>
                <w:kern w:val="0"/>
                <w:sz w:val="20"/>
              </w:rPr>
              <w:t>CD99</w:t>
            </w:r>
          </w:p>
        </w:tc>
        <w:tc>
          <w:tcPr>
            <w:tcW w:w="1843" w:type="dxa"/>
            <w:tcBorders>
              <w:top w:val="single" w:sz="4" w:space="0" w:color="000000"/>
              <w:left w:val="nil"/>
              <w:bottom w:val="single" w:sz="4" w:space="0" w:color="000000"/>
              <w:right w:val="single" w:sz="4" w:space="0" w:color="000000"/>
            </w:tcBorders>
            <w:vAlign w:val="center"/>
          </w:tcPr>
          <w:p w14:paraId="63D35F59" w14:textId="77777777" w:rsidR="00E63CDC" w:rsidRDefault="000925A1">
            <w:pPr>
              <w:ind w:firstLineChars="200" w:firstLine="400"/>
              <w:jc w:val="center"/>
              <w:rPr>
                <w:rFonts w:ascii="Arial" w:hAnsi="Arial" w:cs="Arial"/>
                <w:kern w:val="0"/>
                <w:sz w:val="20"/>
              </w:rPr>
            </w:pPr>
            <w:r>
              <w:rPr>
                <w:rFonts w:ascii="Arial" w:hAnsi="Arial" w:cs="Arial"/>
                <w:kern w:val="0"/>
                <w:sz w:val="20"/>
              </w:rPr>
              <w:t>/</w:t>
            </w:r>
          </w:p>
        </w:tc>
        <w:tc>
          <w:tcPr>
            <w:tcW w:w="1559" w:type="dxa"/>
            <w:tcBorders>
              <w:top w:val="single" w:sz="4" w:space="0" w:color="000000"/>
              <w:left w:val="nil"/>
              <w:bottom w:val="single" w:sz="4" w:space="0" w:color="000000"/>
              <w:right w:val="single" w:sz="4" w:space="0" w:color="000000"/>
            </w:tcBorders>
            <w:vAlign w:val="center"/>
          </w:tcPr>
          <w:p w14:paraId="3EFDCDFF" w14:textId="77777777" w:rsidR="00E63CDC" w:rsidRDefault="000925A1">
            <w:pPr>
              <w:ind w:firstLineChars="200" w:firstLine="400"/>
              <w:jc w:val="center"/>
              <w:rPr>
                <w:rFonts w:ascii="Arial" w:hAnsi="Arial" w:cs="Arial"/>
                <w:kern w:val="0"/>
                <w:sz w:val="20"/>
              </w:rPr>
            </w:pPr>
            <w:r>
              <w:rPr>
                <w:rFonts w:ascii="Arial" w:hAnsi="Arial" w:cs="Arial"/>
                <w:kern w:val="0"/>
                <w:sz w:val="20"/>
              </w:rPr>
              <w:t>1021527</w:t>
            </w:r>
          </w:p>
        </w:tc>
        <w:tc>
          <w:tcPr>
            <w:tcW w:w="2086" w:type="dxa"/>
            <w:tcBorders>
              <w:top w:val="single" w:sz="4" w:space="0" w:color="000000"/>
              <w:left w:val="nil"/>
              <w:bottom w:val="single" w:sz="4" w:space="0" w:color="000000"/>
              <w:right w:val="single" w:sz="4" w:space="0" w:color="000000"/>
            </w:tcBorders>
            <w:vAlign w:val="center"/>
          </w:tcPr>
          <w:p w14:paraId="29D4825C" w14:textId="77777777" w:rsidR="00E63CDC" w:rsidRDefault="000925A1">
            <w:pPr>
              <w:ind w:firstLineChars="200" w:firstLine="400"/>
              <w:jc w:val="center"/>
              <w:rPr>
                <w:rFonts w:ascii="Arial" w:hAnsi="Arial" w:cs="Arial"/>
                <w:kern w:val="0"/>
                <w:sz w:val="20"/>
              </w:rPr>
            </w:pPr>
            <w:r>
              <w:rPr>
                <w:rFonts w:ascii="Arial" w:hAnsi="Arial" w:cs="Arial"/>
                <w:kern w:val="0"/>
                <w:sz w:val="20"/>
              </w:rPr>
              <w:t>R&amp;D</w:t>
            </w:r>
          </w:p>
        </w:tc>
      </w:tr>
      <w:tr w:rsidR="00E63CDC" w14:paraId="68F651FC"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1F18440D"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H</w:t>
            </w:r>
            <w:r>
              <w:rPr>
                <w:rFonts w:ascii="Arial" w:hAnsi="Arial" w:cs="Arial"/>
                <w:kern w:val="0"/>
                <w:sz w:val="20"/>
              </w:rPr>
              <w:t>LA-DR</w:t>
            </w:r>
          </w:p>
        </w:tc>
        <w:tc>
          <w:tcPr>
            <w:tcW w:w="1843" w:type="dxa"/>
            <w:tcBorders>
              <w:top w:val="single" w:sz="4" w:space="0" w:color="000000"/>
              <w:left w:val="nil"/>
              <w:bottom w:val="single" w:sz="4" w:space="0" w:color="000000"/>
              <w:right w:val="single" w:sz="4" w:space="0" w:color="000000"/>
            </w:tcBorders>
            <w:vAlign w:val="center"/>
          </w:tcPr>
          <w:p w14:paraId="00F777B9"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P</w:t>
            </w:r>
            <w:r>
              <w:rPr>
                <w:rFonts w:ascii="Arial" w:hAnsi="Arial" w:cs="Arial"/>
                <w:kern w:val="0"/>
                <w:sz w:val="20"/>
              </w:rPr>
              <w:t>E</w:t>
            </w:r>
          </w:p>
        </w:tc>
        <w:tc>
          <w:tcPr>
            <w:tcW w:w="1559" w:type="dxa"/>
            <w:tcBorders>
              <w:top w:val="single" w:sz="4" w:space="0" w:color="000000"/>
              <w:left w:val="nil"/>
              <w:bottom w:val="single" w:sz="4" w:space="0" w:color="000000"/>
              <w:right w:val="single" w:sz="4" w:space="0" w:color="000000"/>
            </w:tcBorders>
            <w:vAlign w:val="center"/>
          </w:tcPr>
          <w:p w14:paraId="30B8B53F" w14:textId="77777777" w:rsidR="00E63CDC" w:rsidRDefault="000925A1">
            <w:pPr>
              <w:ind w:firstLineChars="200" w:firstLine="400"/>
              <w:jc w:val="center"/>
              <w:rPr>
                <w:rFonts w:ascii="Arial" w:hAnsi="Arial" w:cs="Arial"/>
                <w:kern w:val="0"/>
                <w:sz w:val="20"/>
              </w:rPr>
            </w:pPr>
            <w:r>
              <w:rPr>
                <w:rFonts w:ascii="Arial" w:hAnsi="Arial" w:cs="Arial" w:hint="eastAsia"/>
                <w:kern w:val="0"/>
                <w:sz w:val="20"/>
              </w:rPr>
              <w:t>L</w:t>
            </w:r>
            <w:r>
              <w:rPr>
                <w:rFonts w:ascii="Arial" w:hAnsi="Arial" w:cs="Arial"/>
                <w:kern w:val="0"/>
                <w:sz w:val="20"/>
              </w:rPr>
              <w:t>243</w:t>
            </w:r>
          </w:p>
        </w:tc>
        <w:tc>
          <w:tcPr>
            <w:tcW w:w="2086" w:type="dxa"/>
            <w:tcBorders>
              <w:top w:val="single" w:sz="4" w:space="0" w:color="000000"/>
              <w:left w:val="nil"/>
              <w:bottom w:val="single" w:sz="4" w:space="0" w:color="000000"/>
              <w:right w:val="single" w:sz="4" w:space="0" w:color="000000"/>
            </w:tcBorders>
            <w:vAlign w:val="center"/>
          </w:tcPr>
          <w:p w14:paraId="390DFED7"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2B6AE54C"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4CB42AD4" w14:textId="77777777" w:rsidR="00E63CDC" w:rsidRDefault="000925A1">
            <w:pPr>
              <w:ind w:firstLineChars="200" w:firstLine="400"/>
              <w:jc w:val="center"/>
              <w:rPr>
                <w:rFonts w:ascii="Arial" w:hAnsi="Arial" w:cs="Arial"/>
                <w:kern w:val="0"/>
                <w:sz w:val="20"/>
              </w:rPr>
            </w:pPr>
            <w:r>
              <w:rPr>
                <w:rFonts w:ascii="Arial" w:hAnsi="Arial" w:cs="Arial"/>
                <w:kern w:val="0"/>
                <w:sz w:val="20"/>
              </w:rPr>
              <w:t>Strep-Tag II</w:t>
            </w:r>
          </w:p>
        </w:tc>
        <w:tc>
          <w:tcPr>
            <w:tcW w:w="1843" w:type="dxa"/>
            <w:tcBorders>
              <w:top w:val="single" w:sz="4" w:space="0" w:color="000000"/>
              <w:left w:val="nil"/>
              <w:bottom w:val="single" w:sz="4" w:space="0" w:color="000000"/>
              <w:right w:val="single" w:sz="4" w:space="0" w:color="000000"/>
            </w:tcBorders>
            <w:vAlign w:val="center"/>
          </w:tcPr>
          <w:p w14:paraId="36DBF1A4" w14:textId="77777777" w:rsidR="00E63CDC" w:rsidRDefault="000925A1">
            <w:pPr>
              <w:ind w:firstLineChars="200" w:firstLine="400"/>
              <w:jc w:val="center"/>
              <w:rPr>
                <w:rFonts w:ascii="Arial" w:hAnsi="Arial" w:cs="Arial"/>
                <w:kern w:val="0"/>
                <w:sz w:val="20"/>
              </w:rPr>
            </w:pPr>
            <w:r>
              <w:rPr>
                <w:rFonts w:ascii="Arial" w:hAnsi="Arial" w:cs="Arial"/>
                <w:kern w:val="0"/>
                <w:sz w:val="20"/>
              </w:rPr>
              <w:t>FITC</w:t>
            </w:r>
          </w:p>
        </w:tc>
        <w:tc>
          <w:tcPr>
            <w:tcW w:w="1559" w:type="dxa"/>
            <w:tcBorders>
              <w:top w:val="single" w:sz="4" w:space="0" w:color="000000"/>
              <w:left w:val="nil"/>
              <w:bottom w:val="single" w:sz="4" w:space="0" w:color="000000"/>
              <w:right w:val="single" w:sz="4" w:space="0" w:color="000000"/>
            </w:tcBorders>
            <w:vAlign w:val="center"/>
          </w:tcPr>
          <w:p w14:paraId="2ED1E643" w14:textId="77777777" w:rsidR="00E63CDC" w:rsidRDefault="000925A1">
            <w:pPr>
              <w:ind w:firstLineChars="200" w:firstLine="400"/>
              <w:jc w:val="center"/>
              <w:rPr>
                <w:rFonts w:ascii="Arial" w:hAnsi="Arial" w:cs="Arial"/>
                <w:kern w:val="0"/>
                <w:sz w:val="20"/>
              </w:rPr>
            </w:pPr>
            <w:r>
              <w:rPr>
                <w:rFonts w:ascii="Arial" w:hAnsi="Arial" w:cs="Arial"/>
                <w:kern w:val="0"/>
                <w:sz w:val="20"/>
              </w:rPr>
              <w:t>5A9F9</w:t>
            </w:r>
          </w:p>
        </w:tc>
        <w:tc>
          <w:tcPr>
            <w:tcW w:w="2086" w:type="dxa"/>
            <w:tcBorders>
              <w:top w:val="single" w:sz="4" w:space="0" w:color="000000"/>
              <w:left w:val="nil"/>
              <w:bottom w:val="single" w:sz="4" w:space="0" w:color="000000"/>
              <w:right w:val="single" w:sz="4" w:space="0" w:color="000000"/>
            </w:tcBorders>
            <w:vAlign w:val="center"/>
          </w:tcPr>
          <w:p w14:paraId="457B6F55" w14:textId="77777777" w:rsidR="00E63CDC" w:rsidRDefault="000925A1">
            <w:pPr>
              <w:ind w:firstLineChars="200" w:firstLine="400"/>
              <w:jc w:val="center"/>
              <w:rPr>
                <w:rFonts w:ascii="Arial" w:hAnsi="Arial" w:cs="Arial"/>
                <w:kern w:val="0"/>
                <w:sz w:val="20"/>
              </w:rPr>
            </w:pPr>
            <w:r>
              <w:rPr>
                <w:rFonts w:ascii="Arial" w:hAnsi="Arial" w:cs="Arial"/>
                <w:kern w:val="0"/>
                <w:sz w:val="20"/>
              </w:rPr>
              <w:t>GenScript</w:t>
            </w:r>
          </w:p>
        </w:tc>
      </w:tr>
      <w:tr w:rsidR="00E63CDC" w14:paraId="767808DE" w14:textId="77777777">
        <w:trPr>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3EEB7125" w14:textId="77777777" w:rsidR="00E63CDC" w:rsidRDefault="000925A1">
            <w:pPr>
              <w:ind w:firstLineChars="200" w:firstLine="400"/>
              <w:jc w:val="center"/>
              <w:rPr>
                <w:rFonts w:ascii="Arial" w:hAnsi="Arial" w:cs="Arial"/>
                <w:kern w:val="0"/>
                <w:sz w:val="20"/>
              </w:rPr>
            </w:pPr>
            <w:r>
              <w:rPr>
                <w:rFonts w:ascii="Arial" w:hAnsi="Arial" w:cs="Arial"/>
                <w:kern w:val="0"/>
                <w:sz w:val="20"/>
              </w:rPr>
              <w:t>7-AAD</w:t>
            </w:r>
          </w:p>
        </w:tc>
        <w:tc>
          <w:tcPr>
            <w:tcW w:w="1843" w:type="dxa"/>
            <w:tcBorders>
              <w:top w:val="single" w:sz="4" w:space="0" w:color="000000"/>
              <w:left w:val="nil"/>
              <w:bottom w:val="single" w:sz="4" w:space="0" w:color="000000"/>
              <w:right w:val="single" w:sz="4" w:space="0" w:color="000000"/>
            </w:tcBorders>
            <w:vAlign w:val="center"/>
          </w:tcPr>
          <w:p w14:paraId="69607ECB" w14:textId="77777777" w:rsidR="00E63CDC" w:rsidRDefault="000925A1">
            <w:pPr>
              <w:ind w:firstLineChars="200" w:firstLine="400"/>
              <w:jc w:val="center"/>
              <w:rPr>
                <w:rFonts w:ascii="Arial" w:hAnsi="Arial" w:cs="Arial"/>
                <w:kern w:val="0"/>
                <w:sz w:val="20"/>
              </w:rPr>
            </w:pPr>
            <w:r>
              <w:rPr>
                <w:rFonts w:ascii="Arial" w:hAnsi="Arial" w:cs="Arial"/>
                <w:kern w:val="0"/>
                <w:sz w:val="20"/>
              </w:rPr>
              <w:t>PerCP</w:t>
            </w:r>
          </w:p>
        </w:tc>
        <w:tc>
          <w:tcPr>
            <w:tcW w:w="1559" w:type="dxa"/>
            <w:tcBorders>
              <w:top w:val="single" w:sz="4" w:space="0" w:color="000000"/>
              <w:left w:val="nil"/>
              <w:bottom w:val="single" w:sz="4" w:space="0" w:color="000000"/>
              <w:right w:val="single" w:sz="4" w:space="0" w:color="000000"/>
            </w:tcBorders>
            <w:vAlign w:val="center"/>
          </w:tcPr>
          <w:p w14:paraId="35ED103B" w14:textId="77777777" w:rsidR="00E63CDC" w:rsidRDefault="000925A1">
            <w:pPr>
              <w:ind w:firstLineChars="200" w:firstLine="400"/>
              <w:jc w:val="center"/>
              <w:rPr>
                <w:rFonts w:ascii="Arial" w:hAnsi="Arial" w:cs="Arial"/>
                <w:kern w:val="0"/>
                <w:sz w:val="20"/>
              </w:rPr>
            </w:pPr>
            <w:r>
              <w:rPr>
                <w:rFonts w:ascii="Arial" w:hAnsi="Arial" w:cs="Arial"/>
                <w:kern w:val="0"/>
                <w:sz w:val="20"/>
              </w:rPr>
              <w:t>/</w:t>
            </w:r>
          </w:p>
        </w:tc>
        <w:tc>
          <w:tcPr>
            <w:tcW w:w="2086" w:type="dxa"/>
            <w:tcBorders>
              <w:top w:val="single" w:sz="4" w:space="0" w:color="000000"/>
              <w:left w:val="nil"/>
              <w:bottom w:val="single" w:sz="4" w:space="0" w:color="000000"/>
              <w:right w:val="single" w:sz="4" w:space="0" w:color="000000"/>
            </w:tcBorders>
            <w:vAlign w:val="center"/>
          </w:tcPr>
          <w:p w14:paraId="62948325" w14:textId="77777777" w:rsidR="00E63CDC" w:rsidRDefault="000925A1">
            <w:pPr>
              <w:ind w:firstLineChars="200" w:firstLine="400"/>
              <w:jc w:val="center"/>
              <w:rPr>
                <w:rFonts w:ascii="Arial" w:hAnsi="Arial" w:cs="Arial"/>
                <w:kern w:val="0"/>
                <w:sz w:val="20"/>
              </w:rPr>
            </w:pPr>
            <w:r>
              <w:rPr>
                <w:rFonts w:ascii="Arial" w:hAnsi="Arial" w:cs="Arial"/>
                <w:kern w:val="0"/>
                <w:sz w:val="20"/>
              </w:rPr>
              <w:t>Biolegend</w:t>
            </w:r>
          </w:p>
        </w:tc>
      </w:tr>
      <w:tr w:rsidR="00E63CDC" w14:paraId="60A3361C" w14:textId="77777777">
        <w:trPr>
          <w:trHeight w:val="680"/>
          <w:jc w:val="center"/>
        </w:trPr>
        <w:tc>
          <w:tcPr>
            <w:tcW w:w="1878" w:type="dxa"/>
            <w:tcBorders>
              <w:top w:val="single" w:sz="4" w:space="0" w:color="000000"/>
              <w:left w:val="single" w:sz="4" w:space="0" w:color="000000"/>
              <w:bottom w:val="single" w:sz="4" w:space="0" w:color="000000"/>
              <w:right w:val="single" w:sz="4" w:space="0" w:color="000000"/>
            </w:tcBorders>
            <w:vAlign w:val="center"/>
          </w:tcPr>
          <w:p w14:paraId="75F91219" w14:textId="77777777" w:rsidR="00E63CDC" w:rsidRDefault="000925A1">
            <w:pPr>
              <w:jc w:val="center"/>
              <w:rPr>
                <w:rFonts w:ascii="Arial" w:hAnsi="Arial" w:cs="Arial"/>
                <w:kern w:val="0"/>
                <w:sz w:val="20"/>
              </w:rPr>
            </w:pPr>
            <w:r>
              <w:rPr>
                <w:rFonts w:ascii="Arial" w:hAnsi="Arial" w:cs="Arial"/>
                <w:kern w:val="0"/>
                <w:sz w:val="20"/>
              </w:rPr>
              <w:t>Goat Anti-Mouse IgG (H+L)</w:t>
            </w:r>
          </w:p>
        </w:tc>
        <w:tc>
          <w:tcPr>
            <w:tcW w:w="1843" w:type="dxa"/>
            <w:tcBorders>
              <w:top w:val="single" w:sz="4" w:space="0" w:color="000000"/>
              <w:left w:val="nil"/>
              <w:bottom w:val="single" w:sz="4" w:space="0" w:color="000000"/>
              <w:right w:val="single" w:sz="4" w:space="0" w:color="000000"/>
            </w:tcBorders>
            <w:vAlign w:val="center"/>
          </w:tcPr>
          <w:p w14:paraId="6F38472F" w14:textId="77777777" w:rsidR="00E63CDC" w:rsidRDefault="000925A1">
            <w:pPr>
              <w:ind w:firstLineChars="200" w:firstLine="400"/>
              <w:jc w:val="center"/>
              <w:rPr>
                <w:rFonts w:ascii="Arial" w:hAnsi="Arial" w:cs="Arial"/>
                <w:kern w:val="0"/>
                <w:sz w:val="20"/>
              </w:rPr>
            </w:pPr>
            <w:r>
              <w:rPr>
                <w:rFonts w:ascii="Arial" w:hAnsi="Arial" w:cs="Arial"/>
                <w:kern w:val="0"/>
                <w:sz w:val="20"/>
              </w:rPr>
              <w:t>FITC</w:t>
            </w:r>
          </w:p>
        </w:tc>
        <w:tc>
          <w:tcPr>
            <w:tcW w:w="1559" w:type="dxa"/>
            <w:tcBorders>
              <w:top w:val="single" w:sz="4" w:space="0" w:color="000000"/>
              <w:left w:val="nil"/>
              <w:bottom w:val="single" w:sz="4" w:space="0" w:color="000000"/>
              <w:right w:val="single" w:sz="4" w:space="0" w:color="000000"/>
            </w:tcBorders>
            <w:vAlign w:val="center"/>
          </w:tcPr>
          <w:p w14:paraId="5D0FCAE3" w14:textId="77777777" w:rsidR="00E63CDC" w:rsidRDefault="00E63CDC">
            <w:pPr>
              <w:ind w:firstLineChars="200" w:firstLine="400"/>
              <w:jc w:val="center"/>
              <w:rPr>
                <w:rFonts w:ascii="Arial" w:hAnsi="Arial" w:cs="Arial"/>
                <w:kern w:val="0"/>
                <w:sz w:val="20"/>
              </w:rPr>
            </w:pPr>
          </w:p>
        </w:tc>
        <w:tc>
          <w:tcPr>
            <w:tcW w:w="2086" w:type="dxa"/>
            <w:tcBorders>
              <w:top w:val="single" w:sz="4" w:space="0" w:color="000000"/>
              <w:left w:val="nil"/>
              <w:bottom w:val="single" w:sz="4" w:space="0" w:color="000000"/>
              <w:right w:val="single" w:sz="4" w:space="0" w:color="000000"/>
            </w:tcBorders>
            <w:vAlign w:val="center"/>
          </w:tcPr>
          <w:p w14:paraId="41E74733" w14:textId="77777777" w:rsidR="00E63CDC" w:rsidRDefault="000925A1">
            <w:pPr>
              <w:ind w:firstLineChars="200" w:firstLine="400"/>
              <w:jc w:val="center"/>
              <w:rPr>
                <w:rFonts w:ascii="Arial" w:hAnsi="Arial" w:cs="Arial"/>
                <w:kern w:val="0"/>
                <w:sz w:val="20"/>
              </w:rPr>
            </w:pPr>
            <w:r>
              <w:rPr>
                <w:rFonts w:ascii="Arial" w:hAnsi="Arial" w:cs="Arial"/>
                <w:kern w:val="0"/>
                <w:sz w:val="20"/>
              </w:rPr>
              <w:t>Jackson</w:t>
            </w:r>
          </w:p>
        </w:tc>
      </w:tr>
    </w:tbl>
    <w:p w14:paraId="705FAE0E" w14:textId="77777777" w:rsidR="00E63CDC" w:rsidRDefault="00E63CDC"/>
    <w:sectPr w:rsidR="00E63C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Bold">
    <w:altName w:val="Arial"/>
    <w:charset w:val="00"/>
    <w:family w:val="auto"/>
    <w:pitch w:val="default"/>
    <w:sig w:usb0="00000000" w:usb1="00000000" w:usb2="00000000" w:usb3="00000000" w:csb0="2000019F" w:csb1="4F01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9B"/>
    <w:rsid w:val="00022536"/>
    <w:rsid w:val="000849D7"/>
    <w:rsid w:val="000925A1"/>
    <w:rsid w:val="000D24F6"/>
    <w:rsid w:val="000D574F"/>
    <w:rsid w:val="00110B94"/>
    <w:rsid w:val="001930B3"/>
    <w:rsid w:val="001B7323"/>
    <w:rsid w:val="00290417"/>
    <w:rsid w:val="0029189B"/>
    <w:rsid w:val="0029607A"/>
    <w:rsid w:val="002F62E2"/>
    <w:rsid w:val="00310978"/>
    <w:rsid w:val="00324F6D"/>
    <w:rsid w:val="00357793"/>
    <w:rsid w:val="0037371E"/>
    <w:rsid w:val="00377D4B"/>
    <w:rsid w:val="003F4343"/>
    <w:rsid w:val="003F605E"/>
    <w:rsid w:val="0043738A"/>
    <w:rsid w:val="004921AD"/>
    <w:rsid w:val="004C3DD5"/>
    <w:rsid w:val="004C6424"/>
    <w:rsid w:val="004E6474"/>
    <w:rsid w:val="00505AA7"/>
    <w:rsid w:val="00505BEC"/>
    <w:rsid w:val="00583307"/>
    <w:rsid w:val="005B58D4"/>
    <w:rsid w:val="005F20F8"/>
    <w:rsid w:val="006062DD"/>
    <w:rsid w:val="0066428D"/>
    <w:rsid w:val="0067649C"/>
    <w:rsid w:val="00697C93"/>
    <w:rsid w:val="0071029D"/>
    <w:rsid w:val="00753741"/>
    <w:rsid w:val="007742AB"/>
    <w:rsid w:val="007F055E"/>
    <w:rsid w:val="00817227"/>
    <w:rsid w:val="00841F34"/>
    <w:rsid w:val="008711E2"/>
    <w:rsid w:val="0088799F"/>
    <w:rsid w:val="008A31B9"/>
    <w:rsid w:val="008D09CC"/>
    <w:rsid w:val="008F6673"/>
    <w:rsid w:val="00914F6A"/>
    <w:rsid w:val="00915FA7"/>
    <w:rsid w:val="00926216"/>
    <w:rsid w:val="009D174F"/>
    <w:rsid w:val="00A02E5B"/>
    <w:rsid w:val="00A1023F"/>
    <w:rsid w:val="00A10BBE"/>
    <w:rsid w:val="00A60BE1"/>
    <w:rsid w:val="00A90CD8"/>
    <w:rsid w:val="00AC617B"/>
    <w:rsid w:val="00AE0E2B"/>
    <w:rsid w:val="00BB756C"/>
    <w:rsid w:val="00BC65CA"/>
    <w:rsid w:val="00C41CFB"/>
    <w:rsid w:val="00CE55FF"/>
    <w:rsid w:val="00D55600"/>
    <w:rsid w:val="00D603C2"/>
    <w:rsid w:val="00D673DD"/>
    <w:rsid w:val="00D915E9"/>
    <w:rsid w:val="00DD093E"/>
    <w:rsid w:val="00DE4E2C"/>
    <w:rsid w:val="00E53587"/>
    <w:rsid w:val="00E63CDC"/>
    <w:rsid w:val="00E85B52"/>
    <w:rsid w:val="00ED4619"/>
    <w:rsid w:val="00EF6832"/>
    <w:rsid w:val="00F41F2E"/>
    <w:rsid w:val="00FB273B"/>
    <w:rsid w:val="00FD050A"/>
    <w:rsid w:val="0F6C356E"/>
    <w:rsid w:val="6D912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9653"/>
  <w15:docId w15:val="{D08A8043-F573-4317-8782-F6533BD3C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rPr>
      <w:sz w:val="24"/>
      <w:szCs w:val="24"/>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9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semiHidden/>
    <w:unhideWhenUsed/>
    <w:rPr>
      <w:color w:val="0000FF"/>
      <w:u w:val="single"/>
    </w:rPr>
  </w:style>
  <w:style w:type="character" w:styleId="ae">
    <w:name w:val="annotation reference"/>
    <w:basedOn w:val="a0"/>
    <w:uiPriority w:val="99"/>
    <w:semiHidden/>
    <w:unhideWhenUsed/>
    <w:qFormat/>
    <w:rPr>
      <w:sz w:val="21"/>
      <w:szCs w:val="21"/>
    </w:rPr>
  </w:style>
  <w:style w:type="paragraph" w:customStyle="1" w:styleId="EndNoteBibliographyTitle">
    <w:name w:val="EndNote Bibliography Title"/>
    <w:basedOn w:val="a"/>
    <w:link w:val="EndNoteBibliographyTitle0"/>
    <w:qFormat/>
    <w:pPr>
      <w:jc w:val="center"/>
    </w:pPr>
    <w:rPr>
      <w:rFonts w:ascii="等线" w:eastAsia="等线" w:hAnsi="等线" w:cstheme="minorBidi"/>
      <w:sz w:val="20"/>
      <w:szCs w:val="22"/>
    </w:rPr>
  </w:style>
  <w:style w:type="character" w:customStyle="1" w:styleId="EndNoteBibliographyTitle0">
    <w:name w:val="EndNote Bibliography Title 字符"/>
    <w:basedOn w:val="a0"/>
    <w:link w:val="EndNoteBibliographyTitle"/>
    <w:qFormat/>
    <w:rPr>
      <w:rFonts w:ascii="等线" w:eastAsia="等线" w:hAnsi="等线"/>
      <w:sz w:val="20"/>
    </w:rPr>
  </w:style>
  <w:style w:type="paragraph" w:customStyle="1" w:styleId="EndNoteBibliography">
    <w:name w:val="EndNote Bibliography"/>
    <w:basedOn w:val="a"/>
    <w:link w:val="EndNoteBibliography0"/>
    <w:qFormat/>
    <w:rPr>
      <w:rFonts w:ascii="等线" w:eastAsia="等线" w:hAnsi="等线" w:cstheme="minorBidi"/>
      <w:sz w:val="20"/>
      <w:szCs w:val="22"/>
    </w:rPr>
  </w:style>
  <w:style w:type="character" w:customStyle="1" w:styleId="EndNoteBibliography0">
    <w:name w:val="EndNote Bibliography 字符"/>
    <w:basedOn w:val="a0"/>
    <w:link w:val="EndNoteBibliography"/>
    <w:qFormat/>
    <w:rPr>
      <w:rFonts w:ascii="等线" w:eastAsia="等线" w:hAnsi="等线"/>
      <w:sz w:val="20"/>
    </w:rPr>
  </w:style>
  <w:style w:type="character" w:customStyle="1" w:styleId="15">
    <w:name w:val="15"/>
    <w:basedOn w:val="a0"/>
    <w:rPr>
      <w:rFonts w:ascii="Helvetica-Bold" w:hAnsi="Helvetica-Bold" w:hint="default"/>
      <w:b/>
      <w:bCs/>
      <w:color w:val="000000"/>
      <w:sz w:val="24"/>
      <w:szCs w:val="24"/>
    </w:rPr>
  </w:style>
  <w:style w:type="character" w:customStyle="1" w:styleId="a4">
    <w:name w:val="批注文字 字符"/>
    <w:basedOn w:val="a0"/>
    <w:link w:val="a3"/>
    <w:uiPriority w:val="99"/>
    <w:semiHidden/>
    <w:rPr>
      <w:rFonts w:ascii="Calibri" w:eastAsia="宋体" w:hAnsi="Calibri" w:cs="Times New Roman"/>
      <w:szCs w:val="21"/>
    </w:rPr>
  </w:style>
  <w:style w:type="character" w:customStyle="1" w:styleId="ab">
    <w:name w:val="批注主题 字符"/>
    <w:basedOn w:val="a4"/>
    <w:link w:val="aa"/>
    <w:uiPriority w:val="99"/>
    <w:semiHidden/>
    <w:rPr>
      <w:rFonts w:ascii="Calibri" w:eastAsia="宋体" w:hAnsi="Calibri" w:cs="Times New Roman"/>
      <w:b/>
      <w:bCs/>
      <w:szCs w:val="21"/>
    </w:rPr>
  </w:style>
  <w:style w:type="character" w:customStyle="1" w:styleId="a8">
    <w:name w:val="页眉 字符"/>
    <w:basedOn w:val="a0"/>
    <w:link w:val="a7"/>
    <w:uiPriority w:val="99"/>
    <w:qFormat/>
    <w:rPr>
      <w:rFonts w:ascii="Calibri" w:eastAsia="宋体" w:hAnsi="Calibri" w:cs="Times New Roman"/>
      <w:sz w:val="18"/>
      <w:szCs w:val="18"/>
    </w:rPr>
  </w:style>
  <w:style w:type="character" w:customStyle="1" w:styleId="a6">
    <w:name w:val="页脚 字符"/>
    <w:basedOn w:val="a0"/>
    <w:link w:val="a5"/>
    <w:uiPriority w:val="99"/>
    <w:qFormat/>
    <w:rPr>
      <w:rFonts w:ascii="Calibri" w:eastAsia="宋体" w:hAnsi="Calibri" w:cs="Times New Roman"/>
      <w:sz w:val="18"/>
      <w:szCs w:val="18"/>
    </w:rPr>
  </w:style>
  <w:style w:type="character" w:customStyle="1" w:styleId="jlqj4b">
    <w:name w:val="jlqj4b"/>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277444">
      <w:bodyDiv w:val="1"/>
      <w:marLeft w:val="0"/>
      <w:marRight w:val="0"/>
      <w:marTop w:val="0"/>
      <w:marBottom w:val="0"/>
      <w:divBdr>
        <w:top w:val="none" w:sz="0" w:space="0" w:color="auto"/>
        <w:left w:val="none" w:sz="0" w:space="0" w:color="auto"/>
        <w:bottom w:val="none" w:sz="0" w:space="0" w:color="auto"/>
        <w:right w:val="none" w:sz="0" w:space="0" w:color="auto"/>
      </w:divBdr>
    </w:div>
    <w:div w:id="501046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1553</Words>
  <Characters>8855</Characters>
  <Application>Microsoft Office Word</Application>
  <DocSecurity>0</DocSecurity>
  <Lines>73</Lines>
  <Paragraphs>20</Paragraphs>
  <ScaleCrop>false</ScaleCrop>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haichuan zhu</dc:creator>
  <cp:lastModifiedBy>haichuan zhu</cp:lastModifiedBy>
  <cp:revision>21</cp:revision>
  <dcterms:created xsi:type="dcterms:W3CDTF">2021-09-16T03:26:00Z</dcterms:created>
  <dcterms:modified xsi:type="dcterms:W3CDTF">2021-09-21T07:18:00Z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46FF68B01FAD4F27AD50818DE3E9B04B</vt:lpwstr>
  </property>
</Properties>
</file>