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965327" w14:textId="77777777" w:rsidR="005F18F1" w:rsidRDefault="005F18F1" w:rsidP="00C106D3">
      <w:pPr>
        <w:rPr>
          <w:rFonts w:cs="Arial"/>
          <w:b/>
          <w:bCs/>
        </w:rPr>
      </w:pPr>
      <w:bookmarkStart w:id="0" w:name="_Hlk72309996"/>
      <w:bookmarkStart w:id="1" w:name="_GoBack"/>
      <w:r>
        <w:rPr>
          <w:rFonts w:cs="Arial"/>
          <w:b/>
          <w:bCs/>
        </w:rPr>
        <w:t>Materials and Methods</w:t>
      </w:r>
    </w:p>
    <w:p w14:paraId="2B00C767" w14:textId="6584AEDC" w:rsidR="005F18F1" w:rsidRDefault="005F18F1" w:rsidP="00C106D3">
      <w:pPr>
        <w:rPr>
          <w:rFonts w:cs="Arial"/>
        </w:rPr>
      </w:pPr>
      <w:r w:rsidRPr="00094376">
        <w:rPr>
          <w:rFonts w:cs="Arial"/>
          <w:b/>
          <w:bCs/>
        </w:rPr>
        <w:t>Samples and reagents</w:t>
      </w:r>
      <w:r>
        <w:rPr>
          <w:rFonts w:cs="Arial"/>
          <w:b/>
          <w:bCs/>
        </w:rPr>
        <w:t xml:space="preserve">. </w:t>
      </w:r>
      <w:r w:rsidRPr="00187C87">
        <w:rPr>
          <w:rFonts w:cs="Arial"/>
        </w:rPr>
        <w:t>Peripheral blood mononuclear cells (</w:t>
      </w:r>
      <w:r w:rsidRPr="00187C87">
        <w:rPr>
          <w:rFonts w:cs="Arial" w:hint="eastAsia"/>
        </w:rPr>
        <w:t>PBMC</w:t>
      </w:r>
      <w:r w:rsidRPr="00187C87">
        <w:rPr>
          <w:rFonts w:cs="Arial"/>
        </w:rPr>
        <w:t>s)</w:t>
      </w:r>
      <w:r>
        <w:rPr>
          <w:rFonts w:cs="Arial"/>
        </w:rPr>
        <w:t xml:space="preserve"> were isolated from leukocyte reduction system cones from healthy donors (the DeGowin Blood Center, the University of Iowa) using Ficoll-based density centrifugation. B-cell lymphoma cell lines – Raji and Daudi cells were purchased from the American Type Culture Collection. The </w:t>
      </w:r>
      <w:r w:rsidR="004528FB">
        <w:rPr>
          <w:rFonts w:cs="Arial" w:hint="eastAsia"/>
        </w:rPr>
        <w:t>squa</w:t>
      </w:r>
      <w:r w:rsidR="004528FB">
        <w:rPr>
          <w:rFonts w:cs="Arial"/>
        </w:rPr>
        <w:t xml:space="preserve">mous cell carcinoma </w:t>
      </w:r>
      <w:r>
        <w:rPr>
          <w:rFonts w:cs="Arial"/>
        </w:rPr>
        <w:t xml:space="preserve">cell line </w:t>
      </w:r>
      <w:r w:rsidR="00E57FCC">
        <w:rPr>
          <w:rFonts w:cs="Arial"/>
        </w:rPr>
        <w:t xml:space="preserve">- SQ20B </w:t>
      </w:r>
      <w:r>
        <w:rPr>
          <w:rFonts w:cs="Arial"/>
        </w:rPr>
        <w:t>was provided by Dr. Andrean Simons-Burnett at the University of Iowa. Rituximab</w:t>
      </w:r>
      <w:r w:rsidR="00DA37FB">
        <w:rPr>
          <w:rFonts w:cs="Arial"/>
        </w:rPr>
        <w:t xml:space="preserve"> (RTX)</w:t>
      </w:r>
      <w:r>
        <w:rPr>
          <w:rFonts w:cs="Arial"/>
        </w:rPr>
        <w:t xml:space="preserve">, trastuzumab (TRA), cetuximab (CTX) were from </w:t>
      </w:r>
      <w:r w:rsidRPr="00984A49">
        <w:rPr>
          <w:rFonts w:cs="Arial"/>
        </w:rPr>
        <w:t>University of Iowa Hospitals &amp; Clinics</w:t>
      </w:r>
      <w:r>
        <w:rPr>
          <w:rFonts w:cs="Arial"/>
        </w:rPr>
        <w:t xml:space="preserve">. </w:t>
      </w:r>
      <w:r w:rsidR="00D576CE">
        <w:rPr>
          <w:rFonts w:cs="Arial"/>
        </w:rPr>
        <w:t>A</w:t>
      </w:r>
      <w:r>
        <w:rPr>
          <w:rFonts w:cs="Arial"/>
        </w:rPr>
        <w:t>nti-CD3 x anti-EGFR bsAb (EGFRBi) was produced by Dr. Lawrence Lum</w:t>
      </w:r>
      <w:r>
        <w:rPr>
          <w:rFonts w:cs="Arial"/>
        </w:rPr>
        <w:fldChar w:fldCharType="begin">
          <w:fldData xml:space="preserve">PEVuZE5vdGU+PENpdGU+PEF1dGhvcj5MdW08L0F1dGhvcj48WWVhcj4yMDIwPC9ZZWFyPjxSZWNO
dW0+NDg3PC9SZWNOdW0+PERpc3BsYXlUZXh0PjxzdHlsZSBmYWNlPSJzdXBlcnNjcmlwdCI+MTwv
c3R5bGU+PC9EaXNwbGF5VGV4dD48cmVjb3JkPjxyZWMtbnVtYmVyPjQ4NzwvcmVjLW51bWJlcj48
Zm9yZWlnbi1rZXlzPjxrZXkgYXBwPSJFTiIgZGItaWQ9InMwMHBwYXR6YXA1dmFoZXcwdm94ZnY1
bDk1YWUyYTVyYXNwYSIgdGltZXN0YW1wPSIxNjE5MzAwODI4IiBndWlkPSJlMGQxYTNlNS00ZGI3
LTRlZjktODI3ZC1lM2ZmMDZmNjE1MGQiPjQ4Nzwva2V5PjwvZm9yZWlnbi1rZXlzPjxyZWYtdHlw
ZSBuYW1lPSJKb3VybmFsIEFydGljbGUiPjE3PC9yZWYtdHlwZT48Y29udHJpYnV0b3JzPjxhdXRo
b3JzPjxhdXRob3I+THVtLCBMLiBHLjwvYXV0aG9yPjxhdXRob3I+VGhha3VyLCBBLjwvYXV0aG9y
PjxhdXRob3I+Q2hvaSwgTS48L2F1dGhvcj48YXV0aG9yPkRlb2wsIEEuPC9hdXRob3I+PGF1dGhv
cj5Lb25kYWRhc3VsYSwgVi48L2F1dGhvcj48YXV0aG9yPlNjaGFsaywgRC48L2F1dGhvcj48YXV0
aG9yPkZpZWxkcywgSy48L2F1dGhvcj48YXV0aG9yPkR1ZnJlbnNlLCBNLjwvYXV0aG9yPjxhdXRo
b3I+UGhpbGlwLCBQLjwvYXV0aG9yPjxhdXRob3I+RHlzb24sIEcuPC9hdXRob3I+PGF1dGhvcj5B
b24sIEguIEQuPC9hdXRob3I+PGF1dGhvcj5TaGllbGRzLCBBLiBGLjwvYXV0aG9yPjwvYXV0aG9y
cz48L2NvbnRyaWJ1dG9ycz48YXV0aC1hZGRyZXNzPlN0ZW0gQ2VsbCBUcmFuc3BsYW50YXRpb24g
UHJvZ3JhbSwgRGl2aXNpb24gb2YgT25jb2xvZ3kvSGVtYXRvbG9neSwgRGVwYXJ0bWVudCBvZiBN
ZWRpY2luZSwgVW5pdmVyc2l0eSBvZiBWaXJnaW5pYSBDYW5jZXIgQ2VudGVyLCBDaGFybG90dGVz
dmlsbGUsIFZBLCBVU0EuJiN4RDtEZXBhcnRtZW50IG9mIE9uY29sb2d5LCBTdG9ueSBCcm9vayBV
bml2ZXJzaXR5LCBTdG9ueSBCcm9vaywgTlksIFVTQS4mI3hEO0RlcGFydG1lbnQgb2YgT25jb2xv
Z3ksIEJhcmJhcmEgQW5uIEthcm1hbm9zIENhbmNlciBJbnN0aXR1dGUgYW5kIFdheW5lIFN0YXRl
IFVuaXZlcnNpdHksIERldHJvaXQsIE1JLCBVU0EuJiN4RDtEZXBhcnRtZW50IG9mIFJhZGlvbG9n
eSwgQmFyYmFyYSBBbm4gS2FybWFub3MgQ2FuY2VyIEluc3RpdHV0ZSBhbmQgV2F5bmUgU3RhdGUg
VW5pdmVyc2l0eSwgRGV0cm9pdCwgTUksIFVTQS48L2F1dGgtYWRkcmVzcz48dGl0bGVzPjx0aXRs
ZT5DbGluaWNhbCBhbmQgaW1tdW5lIHJlc3BvbnNlcyB0byBhbnRpLUNEMyB4IGFudGktRUdGUiBi
aXNwZWNpZmljIGFudGlib2R5IGFybWVkIGFjdGl2YXRlZCBUIGNlbGxzIChFR0ZSIEJBVHMpIGlu
IHBhbmNyZWF0aWMgY2FuY2VyIHBhdGllbnRzPC90aXRsZT48c2Vjb25kYXJ5LXRpdGxlPk9uY29p
bW11bm9sb2d5PC9zZWNvbmRhcnktdGl0bGU+PC90aXRsZXM+PHBlcmlvZGljYWw+PGZ1bGwtdGl0
bGU+T25jb2ltbXVub2xvZ3k8L2Z1bGwtdGl0bGU+PC9wZXJpb2RpY2FsPjxwYWdlcz4xNzczMjAx
PC9wYWdlcz48dm9sdW1lPjk8L3ZvbHVtZT48bnVtYmVyPjE8L251bWJlcj48ZWRpdGlvbj4yMDIw
LzA5LzE4PC9lZGl0aW9uPjxrZXl3b3Jkcz48a2V5d29yZD4qQkFUczwva2V5d29yZD48a2V5d29y
ZD4qQmlzcGVjaWZpYyBhbnRpYm9keTwva2V5d29yZD48a2V5d29yZD4qZWdmcjwva2V5d29yZD48
a2V5d29yZD4qYmlzcGVjaWZpYyBhbnRpYm9keSBhcm1lZCBUIGNlbGxzPC9rZXl3b3JkPjxrZXl3
b3JkPipjb2xvcmVjdGFsIGNhbmNlcjwva2V5d29yZD48a2V5d29yZD4qaW1tdW5vdGhlcmFweTwv
a2V5d29yZD48a2V5d29yZD4qcGFuY3JlYXRpYyBjYW5jZXI8L2tleXdvcmQ+PGtleXdvcmQ+KnBl
cmlwaGVyYWwgYmxvb2QgbW9ub251Y2xlYXIgY2VsbHM8L2tleXdvcmQ+PC9rZXl3b3Jkcz48ZGF0
ZXM+PHllYXI+MjAyMDwveWVhcj48cHViLWRhdGVzPjxkYXRlPkp1biAxMDwvZGF0ZT48L3B1Yi1k
YXRlcz48L2RhdGVzPjxpc2JuPjIxNjItNDAxMSAoUHJpbnQpJiN4RDsyMTYyLTQwMTEgKExpbmtp
bmcpPC9pc2JuPjxhY2Nlc3Npb24tbnVtPjMyOTM5MzE5PC9hY2Nlc3Npb24tbnVtPjx1cmxzPjxy
ZWxhdGVkLXVybHM+PHVybD5odHRwczovL3d3dy5uY2JpLm5sbS5uaWguZ292L3B1Ym1lZC8zMjkz
OTMxOTwvdXJsPjwvcmVsYXRlZC11cmxzPjwvdXJscz48Y3VzdG9tMj5QTUM3NDgwODE2PC9jdXN0
b20yPjxlbGVjdHJvbmljLXJlc291cmNlLW51bT4xMC4xMDgwLzIxNjI0MDJYLjIwMjAuMTc3MzIw
MTwvZWxlY3Ryb25pYy1yZXNvdXJjZS1udW0+PC9yZWNvcmQ+PC9DaXRlPjwvRW5kTm90ZT4A
</w:fldData>
        </w:fldChar>
      </w:r>
      <w:r w:rsidR="00D576CE">
        <w:rPr>
          <w:rFonts w:cs="Arial"/>
        </w:rPr>
        <w:instrText xml:space="preserve"> ADDIN EN.CITE </w:instrText>
      </w:r>
      <w:r w:rsidR="00D576CE">
        <w:rPr>
          <w:rFonts w:cs="Arial"/>
        </w:rPr>
        <w:fldChar w:fldCharType="begin">
          <w:fldData xml:space="preserve">PEVuZE5vdGU+PENpdGU+PEF1dGhvcj5MdW08L0F1dGhvcj48WWVhcj4yMDIwPC9ZZWFyPjxSZWNO
dW0+NDg3PC9SZWNOdW0+PERpc3BsYXlUZXh0PjxzdHlsZSBmYWNlPSJzdXBlcnNjcmlwdCI+MTwv
c3R5bGU+PC9EaXNwbGF5VGV4dD48cmVjb3JkPjxyZWMtbnVtYmVyPjQ4NzwvcmVjLW51bWJlcj48
Zm9yZWlnbi1rZXlzPjxrZXkgYXBwPSJFTiIgZGItaWQ9InMwMHBwYXR6YXA1dmFoZXcwdm94ZnY1
bDk1YWUyYTVyYXNwYSIgdGltZXN0YW1wPSIxNjE5MzAwODI4IiBndWlkPSJlMGQxYTNlNS00ZGI3
LTRlZjktODI3ZC1lM2ZmMDZmNjE1MGQiPjQ4Nzwva2V5PjwvZm9yZWlnbi1rZXlzPjxyZWYtdHlw
ZSBuYW1lPSJKb3VybmFsIEFydGljbGUiPjE3PC9yZWYtdHlwZT48Y29udHJpYnV0b3JzPjxhdXRo
b3JzPjxhdXRob3I+THVtLCBMLiBHLjwvYXV0aG9yPjxhdXRob3I+VGhha3VyLCBBLjwvYXV0aG9y
PjxhdXRob3I+Q2hvaSwgTS48L2F1dGhvcj48YXV0aG9yPkRlb2wsIEEuPC9hdXRob3I+PGF1dGhv
cj5Lb25kYWRhc3VsYSwgVi48L2F1dGhvcj48YXV0aG9yPlNjaGFsaywgRC48L2F1dGhvcj48YXV0
aG9yPkZpZWxkcywgSy48L2F1dGhvcj48YXV0aG9yPkR1ZnJlbnNlLCBNLjwvYXV0aG9yPjxhdXRo
b3I+UGhpbGlwLCBQLjwvYXV0aG9yPjxhdXRob3I+RHlzb24sIEcuPC9hdXRob3I+PGF1dGhvcj5B
b24sIEguIEQuPC9hdXRob3I+PGF1dGhvcj5TaGllbGRzLCBBLiBGLjwvYXV0aG9yPjwvYXV0aG9y
cz48L2NvbnRyaWJ1dG9ycz48YXV0aC1hZGRyZXNzPlN0ZW0gQ2VsbCBUcmFuc3BsYW50YXRpb24g
UHJvZ3JhbSwgRGl2aXNpb24gb2YgT25jb2xvZ3kvSGVtYXRvbG9neSwgRGVwYXJ0bWVudCBvZiBN
ZWRpY2luZSwgVW5pdmVyc2l0eSBvZiBWaXJnaW5pYSBDYW5jZXIgQ2VudGVyLCBDaGFybG90dGVz
dmlsbGUsIFZBLCBVU0EuJiN4RDtEZXBhcnRtZW50IG9mIE9uY29sb2d5LCBTdG9ueSBCcm9vayBV
bml2ZXJzaXR5LCBTdG9ueSBCcm9vaywgTlksIFVTQS4mI3hEO0RlcGFydG1lbnQgb2YgT25jb2xv
Z3ksIEJhcmJhcmEgQW5uIEthcm1hbm9zIENhbmNlciBJbnN0aXR1dGUgYW5kIFdheW5lIFN0YXRl
IFVuaXZlcnNpdHksIERldHJvaXQsIE1JLCBVU0EuJiN4RDtEZXBhcnRtZW50IG9mIFJhZGlvbG9n
eSwgQmFyYmFyYSBBbm4gS2FybWFub3MgQ2FuY2VyIEluc3RpdHV0ZSBhbmQgV2F5bmUgU3RhdGUg
VW5pdmVyc2l0eSwgRGV0cm9pdCwgTUksIFVTQS48L2F1dGgtYWRkcmVzcz48dGl0bGVzPjx0aXRs
ZT5DbGluaWNhbCBhbmQgaW1tdW5lIHJlc3BvbnNlcyB0byBhbnRpLUNEMyB4IGFudGktRUdGUiBi
aXNwZWNpZmljIGFudGlib2R5IGFybWVkIGFjdGl2YXRlZCBUIGNlbGxzIChFR0ZSIEJBVHMpIGlu
IHBhbmNyZWF0aWMgY2FuY2VyIHBhdGllbnRzPC90aXRsZT48c2Vjb25kYXJ5LXRpdGxlPk9uY29p
bW11bm9sb2d5PC9zZWNvbmRhcnktdGl0bGU+PC90aXRsZXM+PHBlcmlvZGljYWw+PGZ1bGwtdGl0
bGU+T25jb2ltbXVub2xvZ3k8L2Z1bGwtdGl0bGU+PC9wZXJpb2RpY2FsPjxwYWdlcz4xNzczMjAx
PC9wYWdlcz48dm9sdW1lPjk8L3ZvbHVtZT48bnVtYmVyPjE8L251bWJlcj48ZWRpdGlvbj4yMDIw
LzA5LzE4PC9lZGl0aW9uPjxrZXl3b3Jkcz48a2V5d29yZD4qQkFUczwva2V5d29yZD48a2V5d29y
ZD4qQmlzcGVjaWZpYyBhbnRpYm9keTwva2V5d29yZD48a2V5d29yZD4qZWdmcjwva2V5d29yZD48
a2V5d29yZD4qYmlzcGVjaWZpYyBhbnRpYm9keSBhcm1lZCBUIGNlbGxzPC9rZXl3b3JkPjxrZXl3
b3JkPipjb2xvcmVjdGFsIGNhbmNlcjwva2V5d29yZD48a2V5d29yZD4qaW1tdW5vdGhlcmFweTwv
a2V5d29yZD48a2V5d29yZD4qcGFuY3JlYXRpYyBjYW5jZXI8L2tleXdvcmQ+PGtleXdvcmQ+KnBl
cmlwaGVyYWwgYmxvb2QgbW9ub251Y2xlYXIgY2VsbHM8L2tleXdvcmQ+PC9rZXl3b3Jkcz48ZGF0
ZXM+PHllYXI+MjAyMDwveWVhcj48cHViLWRhdGVzPjxkYXRlPkp1biAxMDwvZGF0ZT48L3B1Yi1k
YXRlcz48L2RhdGVzPjxpc2JuPjIxNjItNDAxMSAoUHJpbnQpJiN4RDsyMTYyLTQwMTEgKExpbmtp
bmcpPC9pc2JuPjxhY2Nlc3Npb24tbnVtPjMyOTM5MzE5PC9hY2Nlc3Npb24tbnVtPjx1cmxzPjxy
ZWxhdGVkLXVybHM+PHVybD5odHRwczovL3d3dy5uY2JpLm5sbS5uaWguZ292L3B1Ym1lZC8zMjkz
OTMxOTwvdXJsPjwvcmVsYXRlZC11cmxzPjwvdXJscz48Y3VzdG9tMj5QTUM3NDgwODE2PC9jdXN0
b20yPjxlbGVjdHJvbmljLXJlc291cmNlLW51bT4xMC4xMDgwLzIxNjI0MDJYLjIwMjAuMTc3MzIw
MTwvZWxlY3Ryb25pYy1yZXNvdXJjZS1udW0+PC9yZWNvcmQ+PC9DaXRlPjwvRW5kTm90ZT4A
</w:fldData>
        </w:fldChar>
      </w:r>
      <w:r w:rsidR="00D576CE">
        <w:rPr>
          <w:rFonts w:cs="Arial"/>
        </w:rPr>
        <w:instrText xml:space="preserve"> ADDIN EN.CITE.DATA </w:instrText>
      </w:r>
      <w:r w:rsidR="00D576CE">
        <w:rPr>
          <w:rFonts w:cs="Arial"/>
        </w:rPr>
      </w:r>
      <w:r w:rsidR="00D576CE">
        <w:rPr>
          <w:rFonts w:cs="Arial"/>
        </w:rPr>
        <w:fldChar w:fldCharType="end"/>
      </w:r>
      <w:r>
        <w:rPr>
          <w:rFonts w:cs="Arial"/>
        </w:rPr>
      </w:r>
      <w:r>
        <w:rPr>
          <w:rFonts w:cs="Arial"/>
        </w:rPr>
        <w:fldChar w:fldCharType="separate"/>
      </w:r>
      <w:r w:rsidR="00D576CE" w:rsidRPr="00D576CE">
        <w:rPr>
          <w:rFonts w:cs="Arial"/>
          <w:noProof/>
          <w:vertAlign w:val="superscript"/>
        </w:rPr>
        <w:t>1</w:t>
      </w:r>
      <w:r>
        <w:rPr>
          <w:rFonts w:cs="Arial"/>
        </w:rPr>
        <w:fldChar w:fldCharType="end"/>
      </w:r>
      <w:r>
        <w:rPr>
          <w:rFonts w:cs="Arial"/>
        </w:rPr>
        <w:t xml:space="preserve"> as previously described. Blinatumomab was obtained from Amgen (Thousand Oaks, California). Control human IgG</w:t>
      </w:r>
      <w:r w:rsidRPr="00E23157">
        <w:rPr>
          <w:rFonts w:cs="Arial"/>
          <w:vertAlign w:val="subscript"/>
        </w:rPr>
        <w:t>1</w:t>
      </w:r>
      <w:r>
        <w:rPr>
          <w:rFonts w:cs="Arial"/>
        </w:rPr>
        <w:t xml:space="preserve"> kappa was from Sigma. Recombinant human IL-2 was from Peprotech. </w:t>
      </w:r>
      <w:r w:rsidRPr="00984A49">
        <w:rPr>
          <w:rFonts w:cs="Arial"/>
        </w:rPr>
        <w:t>RPMI supplemented with 10% fetal bovine serum, 2</w:t>
      </w:r>
      <w:r>
        <w:rPr>
          <w:rFonts w:cs="Arial"/>
        </w:rPr>
        <w:t xml:space="preserve"> </w:t>
      </w:r>
      <w:r w:rsidRPr="00984A49">
        <w:rPr>
          <w:rFonts w:cs="Arial"/>
        </w:rPr>
        <w:t>mM L-Glutamine, 50</w:t>
      </w:r>
      <w:r>
        <w:rPr>
          <w:rFonts w:cs="Arial"/>
        </w:rPr>
        <w:t xml:space="preserve"> µ</w:t>
      </w:r>
      <w:r w:rsidRPr="00984A49">
        <w:rPr>
          <w:rFonts w:cs="Arial"/>
        </w:rPr>
        <w:t>M 2-mercaptoethanol, 100</w:t>
      </w:r>
      <w:r>
        <w:rPr>
          <w:rFonts w:cs="Arial"/>
        </w:rPr>
        <w:t xml:space="preserve"> </w:t>
      </w:r>
      <w:r w:rsidRPr="00984A49">
        <w:rPr>
          <w:rFonts w:cs="Arial"/>
        </w:rPr>
        <w:t>U/m</w:t>
      </w:r>
      <w:r>
        <w:rPr>
          <w:rFonts w:cs="Arial"/>
        </w:rPr>
        <w:t>L</w:t>
      </w:r>
      <w:r w:rsidRPr="00984A49">
        <w:rPr>
          <w:rFonts w:cs="Arial"/>
        </w:rPr>
        <w:t xml:space="preserve"> penicillin and 100</w:t>
      </w:r>
      <w:r>
        <w:rPr>
          <w:rFonts w:cs="Arial"/>
        </w:rPr>
        <w:t xml:space="preserve"> µ</w:t>
      </w:r>
      <w:r w:rsidRPr="00984A49">
        <w:rPr>
          <w:rFonts w:cs="Arial"/>
        </w:rPr>
        <w:t>g/ml streptomycin</w:t>
      </w:r>
      <w:r>
        <w:rPr>
          <w:rFonts w:cs="Arial"/>
        </w:rPr>
        <w:t xml:space="preserve"> was used to culture </w:t>
      </w:r>
      <w:r w:rsidRPr="00094376">
        <w:rPr>
          <w:rFonts w:cs="Arial"/>
        </w:rPr>
        <w:t>PBMC, Raji and Daudi cells. DMEM supplemented with 10% fetal bovine serum, 100</w:t>
      </w:r>
      <w:r>
        <w:rPr>
          <w:rFonts w:cs="Arial"/>
        </w:rPr>
        <w:t xml:space="preserve"> </w:t>
      </w:r>
      <w:r w:rsidRPr="00094376">
        <w:rPr>
          <w:rFonts w:cs="Arial"/>
        </w:rPr>
        <w:t>U/m</w:t>
      </w:r>
      <w:r>
        <w:rPr>
          <w:rFonts w:cs="Arial"/>
        </w:rPr>
        <w:t>L</w:t>
      </w:r>
      <w:r w:rsidRPr="00094376">
        <w:rPr>
          <w:rFonts w:cs="Arial"/>
        </w:rPr>
        <w:t xml:space="preserve"> penicillin and 100</w:t>
      </w:r>
      <w:r>
        <w:rPr>
          <w:rFonts w:cs="Arial"/>
        </w:rPr>
        <w:t xml:space="preserve"> µg</w:t>
      </w:r>
      <w:r w:rsidRPr="00094376">
        <w:rPr>
          <w:rFonts w:cs="Arial"/>
        </w:rPr>
        <w:t>/m</w:t>
      </w:r>
      <w:r>
        <w:rPr>
          <w:rFonts w:cs="Arial"/>
        </w:rPr>
        <w:t>L</w:t>
      </w:r>
      <w:r w:rsidRPr="00094376">
        <w:rPr>
          <w:rFonts w:cs="Arial"/>
        </w:rPr>
        <w:t xml:space="preserve"> streptomycin was used to culture SQ20B cells.</w:t>
      </w:r>
    </w:p>
    <w:p w14:paraId="57EE71CA" w14:textId="77777777" w:rsidR="005F18F1" w:rsidRPr="00E80A3C" w:rsidRDefault="005F18F1" w:rsidP="00C106D3">
      <w:pPr>
        <w:rPr>
          <w:rFonts w:cs="Arial"/>
        </w:rPr>
      </w:pPr>
    </w:p>
    <w:p w14:paraId="71903523" w14:textId="77777777" w:rsidR="005F18F1" w:rsidRDefault="005F18F1" w:rsidP="00C106D3">
      <w:pPr>
        <w:rPr>
          <w:rFonts w:cs="Arial"/>
        </w:rPr>
      </w:pPr>
      <w:r w:rsidRPr="00102996">
        <w:rPr>
          <w:rFonts w:cs="Arial"/>
          <w:b/>
          <w:bCs/>
        </w:rPr>
        <w:t>T cell depletion</w:t>
      </w:r>
      <w:r>
        <w:rPr>
          <w:rFonts w:cs="Arial"/>
          <w:b/>
          <w:bCs/>
        </w:rPr>
        <w:t xml:space="preserve"> and</w:t>
      </w:r>
      <w:r w:rsidRPr="00102996">
        <w:rPr>
          <w:rFonts w:cs="Arial"/>
          <w:b/>
          <w:bCs/>
        </w:rPr>
        <w:t xml:space="preserve"> isolation</w:t>
      </w:r>
      <w:r>
        <w:rPr>
          <w:rFonts w:cs="Arial"/>
          <w:b/>
          <w:bCs/>
        </w:rPr>
        <w:t xml:space="preserve">. </w:t>
      </w:r>
      <w:r>
        <w:rPr>
          <w:rFonts w:cs="Arial"/>
        </w:rPr>
        <w:t xml:space="preserve">Cell depletion and isolation kits were from Miltenyi Biotec. </w:t>
      </w:r>
      <w:r w:rsidRPr="000B1E7D">
        <w:rPr>
          <w:rFonts w:cs="Arial"/>
        </w:rPr>
        <w:t>CD3</w:t>
      </w:r>
      <w:r w:rsidRPr="000B1E7D">
        <w:rPr>
          <w:rFonts w:cs="Arial"/>
          <w:vertAlign w:val="superscript"/>
        </w:rPr>
        <w:t>+</w:t>
      </w:r>
      <w:r w:rsidRPr="000B1E7D">
        <w:rPr>
          <w:rFonts w:cs="Arial"/>
        </w:rPr>
        <w:t xml:space="preserve"> T cells</w:t>
      </w:r>
      <w:r w:rsidRPr="00094376">
        <w:rPr>
          <w:rFonts w:cs="Arial"/>
        </w:rPr>
        <w:t xml:space="preserve"> were depleted from PBMC</w:t>
      </w:r>
      <w:r>
        <w:rPr>
          <w:rFonts w:cs="Arial"/>
        </w:rPr>
        <w:t>s</w:t>
      </w:r>
      <w:r w:rsidRPr="00094376">
        <w:rPr>
          <w:rFonts w:cs="Arial"/>
        </w:rPr>
        <w:t xml:space="preserve"> using CD3 microbeads. </w:t>
      </w:r>
      <w:r>
        <w:rPr>
          <w:rFonts w:cs="Arial"/>
        </w:rPr>
        <w:t>Untouched CD3</w:t>
      </w:r>
      <w:r w:rsidRPr="006D24D0">
        <w:rPr>
          <w:rFonts w:cs="Arial"/>
          <w:vertAlign w:val="superscript"/>
        </w:rPr>
        <w:t>+</w:t>
      </w:r>
      <w:r>
        <w:rPr>
          <w:rFonts w:cs="Arial"/>
          <w:vertAlign w:val="superscript"/>
        </w:rPr>
        <w:t xml:space="preserve"> </w:t>
      </w:r>
      <w:r>
        <w:rPr>
          <w:rFonts w:cs="Arial"/>
        </w:rPr>
        <w:t>/ CD4</w:t>
      </w:r>
      <w:r w:rsidRPr="000B1E7D">
        <w:rPr>
          <w:rFonts w:cs="Arial"/>
          <w:vertAlign w:val="superscript"/>
        </w:rPr>
        <w:t>+</w:t>
      </w:r>
      <w:r>
        <w:rPr>
          <w:rFonts w:cs="Arial"/>
        </w:rPr>
        <w:t xml:space="preserve"> / CD8</w:t>
      </w:r>
      <w:r w:rsidRPr="000B1E7D">
        <w:rPr>
          <w:rFonts w:cs="Arial"/>
          <w:vertAlign w:val="superscript"/>
        </w:rPr>
        <w:t>+</w:t>
      </w:r>
      <w:r>
        <w:rPr>
          <w:rFonts w:cs="Arial"/>
        </w:rPr>
        <w:t xml:space="preserve"> </w:t>
      </w:r>
      <w:r w:rsidRPr="00094376">
        <w:rPr>
          <w:rFonts w:cs="Arial"/>
        </w:rPr>
        <w:t>T cells were isolated from PBMC</w:t>
      </w:r>
      <w:r>
        <w:rPr>
          <w:rFonts w:cs="Arial"/>
        </w:rPr>
        <w:t>s</w:t>
      </w:r>
      <w:r w:rsidRPr="00094376">
        <w:rPr>
          <w:rFonts w:cs="Arial"/>
        </w:rPr>
        <w:t xml:space="preserve"> using Pan T cell</w:t>
      </w:r>
      <w:r>
        <w:rPr>
          <w:rFonts w:cs="Arial"/>
        </w:rPr>
        <w:t xml:space="preserve"> / CD4</w:t>
      </w:r>
      <w:r w:rsidRPr="000B1E7D">
        <w:rPr>
          <w:rFonts w:cs="Arial"/>
          <w:vertAlign w:val="superscript"/>
        </w:rPr>
        <w:t>+</w:t>
      </w:r>
      <w:r>
        <w:rPr>
          <w:rFonts w:cs="Arial"/>
        </w:rPr>
        <w:t xml:space="preserve"> T cell / CD8</w:t>
      </w:r>
      <w:r w:rsidRPr="000B1E7D">
        <w:rPr>
          <w:rFonts w:cs="Arial"/>
          <w:vertAlign w:val="superscript"/>
        </w:rPr>
        <w:t>+</w:t>
      </w:r>
      <w:r>
        <w:rPr>
          <w:rFonts w:cs="Arial"/>
        </w:rPr>
        <w:t xml:space="preserve"> T cell </w:t>
      </w:r>
      <w:r w:rsidRPr="00094376">
        <w:rPr>
          <w:rFonts w:cs="Arial"/>
        </w:rPr>
        <w:t>isolation kit</w:t>
      </w:r>
      <w:r>
        <w:rPr>
          <w:rFonts w:cs="Arial"/>
        </w:rPr>
        <w:t>s</w:t>
      </w:r>
      <w:r w:rsidRPr="00094376">
        <w:rPr>
          <w:rFonts w:cs="Arial"/>
        </w:rPr>
        <w:t xml:space="preserve"> </w:t>
      </w:r>
      <w:r>
        <w:rPr>
          <w:rFonts w:cs="Arial"/>
        </w:rPr>
        <w:t>per the manufacturer’s instructions</w:t>
      </w:r>
      <w:r w:rsidRPr="00094376">
        <w:rPr>
          <w:rFonts w:cs="Arial"/>
        </w:rPr>
        <w:t>.</w:t>
      </w:r>
    </w:p>
    <w:p w14:paraId="445368FD" w14:textId="77777777" w:rsidR="005F18F1" w:rsidRPr="00094376" w:rsidRDefault="005F18F1" w:rsidP="00C106D3">
      <w:pPr>
        <w:rPr>
          <w:rFonts w:cs="Arial"/>
        </w:rPr>
      </w:pPr>
    </w:p>
    <w:p w14:paraId="4EEF93B1" w14:textId="3A7C4E1C" w:rsidR="005F18F1" w:rsidRDefault="005F18F1" w:rsidP="00C106D3">
      <w:pPr>
        <w:rPr>
          <w:rFonts w:cs="Arial"/>
        </w:rPr>
      </w:pPr>
      <w:r>
        <w:rPr>
          <w:rFonts w:cs="Arial"/>
          <w:b/>
          <w:bCs/>
        </w:rPr>
        <w:t>C</w:t>
      </w:r>
      <w:r w:rsidRPr="002E7E03">
        <w:rPr>
          <w:rFonts w:cs="Arial"/>
          <w:b/>
          <w:bCs/>
        </w:rPr>
        <w:t>oculture</w:t>
      </w:r>
      <w:r>
        <w:rPr>
          <w:rFonts w:cs="Arial"/>
          <w:b/>
          <w:bCs/>
        </w:rPr>
        <w:t xml:space="preserve"> assays. </w:t>
      </w:r>
      <w:bookmarkStart w:id="2" w:name="_Hlk87301242"/>
      <w:r w:rsidRPr="00395A1B">
        <w:rPr>
          <w:rFonts w:cs="Arial"/>
        </w:rPr>
        <w:t>PBMC</w:t>
      </w:r>
      <w:r>
        <w:rPr>
          <w:rFonts w:cs="Arial"/>
        </w:rPr>
        <w:t>s</w:t>
      </w:r>
      <w:r w:rsidRPr="00395A1B">
        <w:rPr>
          <w:rFonts w:cs="Arial"/>
        </w:rPr>
        <w:t xml:space="preserve"> </w:t>
      </w:r>
      <w:r>
        <w:rPr>
          <w:rFonts w:cs="Arial"/>
        </w:rPr>
        <w:t xml:space="preserve">were </w:t>
      </w:r>
      <w:r w:rsidRPr="00395A1B">
        <w:rPr>
          <w:rFonts w:cs="Arial"/>
        </w:rPr>
        <w:t>depleted</w:t>
      </w:r>
      <w:r w:rsidRPr="00991EE1">
        <w:rPr>
          <w:rFonts w:cs="Arial"/>
        </w:rPr>
        <w:t xml:space="preserve"> of</w:t>
      </w:r>
      <w:r>
        <w:rPr>
          <w:rFonts w:cs="Arial"/>
        </w:rPr>
        <w:t xml:space="preserve"> T cells</w:t>
      </w:r>
      <w:r w:rsidRPr="00D06DEF">
        <w:rPr>
          <w:rFonts w:cs="Arial"/>
        </w:rPr>
        <w:t xml:space="preserve">, </w:t>
      </w:r>
      <w:bookmarkEnd w:id="2"/>
      <w:r w:rsidR="004D4D4D">
        <w:rPr>
          <w:rFonts w:cs="Arial"/>
        </w:rPr>
        <w:t>and</w:t>
      </w:r>
      <w:r w:rsidR="00857580">
        <w:rPr>
          <w:rFonts w:cs="Arial"/>
        </w:rPr>
        <w:t xml:space="preserve"> 10</w:t>
      </w:r>
      <w:r w:rsidR="00857580" w:rsidRPr="009176FE">
        <w:rPr>
          <w:rFonts w:cs="Arial"/>
          <w:vertAlign w:val="superscript"/>
        </w:rPr>
        <w:t>6</w:t>
      </w:r>
      <w:r w:rsidR="00857580" w:rsidRPr="00395A1B">
        <w:rPr>
          <w:rFonts w:cs="Arial"/>
        </w:rPr>
        <w:t xml:space="preserve"> </w:t>
      </w:r>
      <w:r w:rsidR="004D4D4D">
        <w:rPr>
          <w:rFonts w:cs="Arial"/>
        </w:rPr>
        <w:t>non-T cell</w:t>
      </w:r>
      <w:r w:rsidR="00997FD2">
        <w:rPr>
          <w:rFonts w:cs="Arial"/>
        </w:rPr>
        <w:t>s</w:t>
      </w:r>
      <w:r w:rsidR="00E53AB7">
        <w:rPr>
          <w:rFonts w:cs="Arial"/>
        </w:rPr>
        <w:t xml:space="preserve"> </w:t>
      </w:r>
      <w:r w:rsidR="00482836">
        <w:rPr>
          <w:rFonts w:cs="Arial"/>
        </w:rPr>
        <w:t xml:space="preserve">were </w:t>
      </w:r>
      <w:r w:rsidR="00E53AB7">
        <w:rPr>
          <w:rFonts w:cs="Arial"/>
        </w:rPr>
        <w:t>added as effector</w:t>
      </w:r>
      <w:r w:rsidR="00B16303">
        <w:rPr>
          <w:rFonts w:cs="Arial"/>
        </w:rPr>
        <w:t xml:space="preserve"> cell</w:t>
      </w:r>
      <w:r w:rsidR="00E53AB7">
        <w:rPr>
          <w:rFonts w:cs="Arial"/>
        </w:rPr>
        <w:t xml:space="preserve">s to target cells. </w:t>
      </w:r>
      <w:r w:rsidR="00D907BA">
        <w:rPr>
          <w:rFonts w:cs="Arial"/>
        </w:rPr>
        <w:t>Target cells consist</w:t>
      </w:r>
      <w:r w:rsidR="00482836">
        <w:rPr>
          <w:rFonts w:cs="Arial"/>
        </w:rPr>
        <w:t>ed</w:t>
      </w:r>
      <w:r w:rsidR="00D907BA">
        <w:rPr>
          <w:rFonts w:cs="Arial"/>
        </w:rPr>
        <w:t xml:space="preserve"> of </w:t>
      </w:r>
      <w:r w:rsidR="00D907BA" w:rsidRPr="00991EE1">
        <w:rPr>
          <w:rFonts w:cs="Arial"/>
        </w:rPr>
        <w:t>0.2 million</w:t>
      </w:r>
      <w:r w:rsidR="00D907BA">
        <w:rPr>
          <w:rFonts w:cs="Arial"/>
        </w:rPr>
        <w:t xml:space="preserve"> to 0.4 million</w:t>
      </w:r>
      <w:r w:rsidR="00D907BA" w:rsidRPr="00991EE1">
        <w:rPr>
          <w:rFonts w:cs="Arial"/>
        </w:rPr>
        <w:t xml:space="preserve"> Raji,</w:t>
      </w:r>
      <w:r w:rsidR="00D907BA">
        <w:rPr>
          <w:rFonts w:cs="Arial"/>
        </w:rPr>
        <w:t xml:space="preserve"> Daudi </w:t>
      </w:r>
      <w:r w:rsidR="0095699C">
        <w:rPr>
          <w:rFonts w:cs="Arial"/>
        </w:rPr>
        <w:t xml:space="preserve">(B-cell lymphoma cell line) </w:t>
      </w:r>
      <w:r w:rsidR="00D907BA">
        <w:rPr>
          <w:rFonts w:cs="Arial"/>
        </w:rPr>
        <w:t>or</w:t>
      </w:r>
      <w:r w:rsidR="00D907BA" w:rsidRPr="00991EE1">
        <w:rPr>
          <w:rFonts w:cs="Arial"/>
        </w:rPr>
        <w:t xml:space="preserve"> SQ20B</w:t>
      </w:r>
      <w:r w:rsidR="000F26B8">
        <w:rPr>
          <w:rFonts w:cs="Arial"/>
        </w:rPr>
        <w:t xml:space="preserve"> (head and neck cancer cell line</w:t>
      </w:r>
      <w:r w:rsidR="0095699C">
        <w:rPr>
          <w:rFonts w:cs="Arial"/>
        </w:rPr>
        <w:t>)</w:t>
      </w:r>
      <w:r w:rsidR="002B3AF2">
        <w:rPr>
          <w:rFonts w:cs="Arial"/>
        </w:rPr>
        <w:t>.</w:t>
      </w:r>
      <w:r w:rsidR="00D907BA" w:rsidRPr="00D06DEF">
        <w:rPr>
          <w:rFonts w:cs="Arial"/>
        </w:rPr>
        <w:t xml:space="preserve"> </w:t>
      </w:r>
      <w:r w:rsidR="002B3AF2">
        <w:rPr>
          <w:rFonts w:cs="Arial"/>
        </w:rPr>
        <w:t>T</w:t>
      </w:r>
      <w:r w:rsidR="002B3AF2" w:rsidRPr="00D06DEF">
        <w:rPr>
          <w:rFonts w:cs="Arial"/>
        </w:rPr>
        <w:t xml:space="preserve">hen </w:t>
      </w:r>
      <w:r w:rsidRPr="00D06DEF">
        <w:rPr>
          <w:rFonts w:cs="Arial"/>
        </w:rPr>
        <w:t>defined numbers of autologous T cells (from 0.75% to 50%</w:t>
      </w:r>
      <w:r w:rsidR="00DD3F55">
        <w:rPr>
          <w:rFonts w:cs="Arial"/>
        </w:rPr>
        <w:t xml:space="preserve"> of PBMCs</w:t>
      </w:r>
      <w:r w:rsidRPr="00D06DEF">
        <w:rPr>
          <w:rFonts w:cs="Arial"/>
        </w:rPr>
        <w:t xml:space="preserve">) </w:t>
      </w:r>
      <w:r>
        <w:rPr>
          <w:rFonts w:cs="Arial"/>
        </w:rPr>
        <w:t xml:space="preserve">were </w:t>
      </w:r>
      <w:r w:rsidRPr="00D06DEF">
        <w:rPr>
          <w:rFonts w:cs="Arial"/>
        </w:rPr>
        <w:t>added back</w:t>
      </w:r>
      <w:r w:rsidR="00651A47">
        <w:rPr>
          <w:rFonts w:cs="Arial"/>
        </w:rPr>
        <w:t xml:space="preserve"> to the coculture </w:t>
      </w:r>
      <w:r w:rsidRPr="00991EE1">
        <w:rPr>
          <w:rFonts w:cs="Arial"/>
        </w:rPr>
        <w:t>in a total volume of 200</w:t>
      </w:r>
      <w:r>
        <w:rPr>
          <w:rFonts w:cs="Arial"/>
        </w:rPr>
        <w:t xml:space="preserve"> µL </w:t>
      </w:r>
      <w:r w:rsidRPr="00991EE1">
        <w:rPr>
          <w:rFonts w:cs="Arial"/>
        </w:rPr>
        <w:t>in U bottom 96-well plates</w:t>
      </w:r>
      <w:r>
        <w:rPr>
          <w:rFonts w:cs="Arial"/>
        </w:rPr>
        <w:t xml:space="preserve">. </w:t>
      </w:r>
      <w:bookmarkStart w:id="3" w:name="_Hlk87301203"/>
      <w:r w:rsidR="003533FD">
        <w:rPr>
          <w:rFonts w:cs="Arial"/>
        </w:rPr>
        <w:t>The target-to effector ratio</w:t>
      </w:r>
      <w:r w:rsidR="008E7933">
        <w:rPr>
          <w:rFonts w:cs="Arial"/>
        </w:rPr>
        <w:t xml:space="preserve"> of non-T cells</w:t>
      </w:r>
      <w:r w:rsidR="003533FD">
        <w:rPr>
          <w:rFonts w:cs="Arial"/>
        </w:rPr>
        <w:t xml:space="preserve"> is constant in this setting</w:t>
      </w:r>
      <w:r w:rsidR="008E7933">
        <w:rPr>
          <w:rFonts w:cs="Arial"/>
        </w:rPr>
        <w:t xml:space="preserve"> while the number of T cells varies</w:t>
      </w:r>
      <w:r w:rsidR="003533FD">
        <w:rPr>
          <w:rFonts w:cs="Arial"/>
        </w:rPr>
        <w:t xml:space="preserve">. </w:t>
      </w:r>
      <w:bookmarkEnd w:id="3"/>
      <w:r>
        <w:rPr>
          <w:rFonts w:cs="Arial"/>
        </w:rPr>
        <w:t xml:space="preserve">MAb, bsAb or cytokine was then added including </w:t>
      </w:r>
      <w:r w:rsidRPr="00094376">
        <w:rPr>
          <w:rFonts w:cs="Arial"/>
        </w:rPr>
        <w:t xml:space="preserve">RTX and TRA </w:t>
      </w:r>
      <w:r>
        <w:rPr>
          <w:rFonts w:cs="Arial"/>
        </w:rPr>
        <w:t>at</w:t>
      </w:r>
      <w:r w:rsidRPr="00094376">
        <w:rPr>
          <w:rFonts w:cs="Arial"/>
        </w:rPr>
        <w:t xml:space="preserve"> 1ug/</w:t>
      </w:r>
      <w:r w:rsidR="00BB59B1" w:rsidRPr="00094376">
        <w:rPr>
          <w:rFonts w:cs="Arial"/>
        </w:rPr>
        <w:t>m</w:t>
      </w:r>
      <w:r w:rsidR="00BB59B1">
        <w:rPr>
          <w:rFonts w:cs="Arial"/>
        </w:rPr>
        <w:t>L</w:t>
      </w:r>
      <w:r w:rsidRPr="00094376">
        <w:rPr>
          <w:rFonts w:cs="Arial"/>
        </w:rPr>
        <w:t>, CTX</w:t>
      </w:r>
      <w:r>
        <w:rPr>
          <w:rFonts w:cs="Arial"/>
        </w:rPr>
        <w:t xml:space="preserve"> and</w:t>
      </w:r>
      <w:r w:rsidRPr="00094376">
        <w:rPr>
          <w:rFonts w:cs="Arial"/>
        </w:rPr>
        <w:t xml:space="preserve"> hIgG </w:t>
      </w:r>
      <w:r>
        <w:rPr>
          <w:rFonts w:cs="Arial"/>
        </w:rPr>
        <w:t>at</w:t>
      </w:r>
      <w:r w:rsidRPr="00094376">
        <w:rPr>
          <w:rFonts w:cs="Arial"/>
        </w:rPr>
        <w:t xml:space="preserve"> </w:t>
      </w:r>
      <w:r w:rsidRPr="00426834">
        <w:rPr>
          <w:rFonts w:cs="Arial"/>
        </w:rPr>
        <w:t>2u</w:t>
      </w:r>
      <w:r w:rsidRPr="00094376">
        <w:rPr>
          <w:rFonts w:cs="Arial"/>
        </w:rPr>
        <w:t>g/</w:t>
      </w:r>
      <w:r w:rsidR="00BB59B1" w:rsidRPr="00094376">
        <w:rPr>
          <w:rFonts w:cs="Arial"/>
        </w:rPr>
        <w:t>m</w:t>
      </w:r>
      <w:r w:rsidR="00BB59B1">
        <w:rPr>
          <w:rFonts w:cs="Arial"/>
        </w:rPr>
        <w:t>L</w:t>
      </w:r>
      <w:r>
        <w:rPr>
          <w:rFonts w:cs="Arial"/>
        </w:rPr>
        <w:t xml:space="preserve">, </w:t>
      </w:r>
      <w:r w:rsidRPr="00094376">
        <w:rPr>
          <w:rFonts w:cs="Arial"/>
        </w:rPr>
        <w:t>IL</w:t>
      </w:r>
      <w:r>
        <w:rPr>
          <w:rFonts w:cs="Arial"/>
        </w:rPr>
        <w:t>-</w:t>
      </w:r>
      <w:r w:rsidRPr="00094376">
        <w:rPr>
          <w:rFonts w:cs="Arial"/>
        </w:rPr>
        <w:t xml:space="preserve">2 </w:t>
      </w:r>
      <w:r>
        <w:rPr>
          <w:rFonts w:cs="Arial"/>
        </w:rPr>
        <w:t>at</w:t>
      </w:r>
      <w:r w:rsidRPr="00094376">
        <w:rPr>
          <w:rFonts w:cs="Arial"/>
        </w:rPr>
        <w:t xml:space="preserve"> 20ng/</w:t>
      </w:r>
      <w:r w:rsidR="00BB59B1" w:rsidRPr="00094376">
        <w:rPr>
          <w:rFonts w:cs="Arial"/>
        </w:rPr>
        <w:t>m</w:t>
      </w:r>
      <w:r w:rsidR="00BB59B1">
        <w:rPr>
          <w:rFonts w:cs="Arial"/>
        </w:rPr>
        <w:t xml:space="preserve">L </w:t>
      </w:r>
      <w:r>
        <w:rPr>
          <w:rFonts w:cs="Arial"/>
        </w:rPr>
        <w:t>and bsAb including</w:t>
      </w:r>
      <w:r w:rsidRPr="00094376">
        <w:rPr>
          <w:rFonts w:cs="Arial"/>
        </w:rPr>
        <w:t xml:space="preserve"> blinatumomab</w:t>
      </w:r>
      <w:r>
        <w:rPr>
          <w:rFonts w:cs="Arial"/>
        </w:rPr>
        <w:t xml:space="preserve"> or EGFRBi</w:t>
      </w:r>
      <w:r w:rsidRPr="00094376">
        <w:rPr>
          <w:rFonts w:cs="Arial"/>
        </w:rPr>
        <w:t xml:space="preserve"> </w:t>
      </w:r>
      <w:r>
        <w:rPr>
          <w:rFonts w:cs="Arial"/>
        </w:rPr>
        <w:t>at the indicated dose</w:t>
      </w:r>
      <w:r w:rsidRPr="00094376">
        <w:rPr>
          <w:rFonts w:cs="Arial"/>
        </w:rPr>
        <w:t xml:space="preserve">. </w:t>
      </w:r>
    </w:p>
    <w:p w14:paraId="5801C8B6" w14:textId="77777777" w:rsidR="005F18F1" w:rsidRPr="003947FC" w:rsidRDefault="005F18F1" w:rsidP="00C106D3">
      <w:pPr>
        <w:rPr>
          <w:rFonts w:cs="Arial"/>
          <w:b/>
          <w:bCs/>
        </w:rPr>
      </w:pPr>
    </w:p>
    <w:p w14:paraId="577DDF08" w14:textId="6E7C8246" w:rsidR="005F18F1" w:rsidRDefault="005F18F1" w:rsidP="00C106D3">
      <w:pPr>
        <w:rPr>
          <w:rFonts w:cs="Arial"/>
        </w:rPr>
      </w:pPr>
      <w:r w:rsidRPr="002E7E03">
        <w:rPr>
          <w:rFonts w:cs="Arial"/>
          <w:b/>
          <w:bCs/>
        </w:rPr>
        <w:t>Flow cytometry</w:t>
      </w:r>
      <w:r>
        <w:rPr>
          <w:rFonts w:cs="Arial"/>
          <w:b/>
          <w:bCs/>
        </w:rPr>
        <w:t xml:space="preserve"> analysis</w:t>
      </w:r>
      <w:r>
        <w:rPr>
          <w:rFonts w:cs="Arial"/>
        </w:rPr>
        <w:t>. The staining antibodies (BioLegend) included anti-human CD3-APC/Cy7 (HIT3a), CD56-A647 (HCD56), CD14-A700 (HCD14), CD19-PerCP (HIB19), CD16-Pacific Blue (3G8), CD25-FITC (M-A251), IL2 (MQ1-17H12). Immunostaining was performed as described</w:t>
      </w:r>
      <w:r w:rsidR="00D576CE">
        <w:rPr>
          <w:rFonts w:cs="Arial"/>
        </w:rPr>
        <w:fldChar w:fldCharType="begin">
          <w:fldData xml:space="preserve">PEVuZE5vdGU+PENpdGU+PEF1dGhvcj5XYW5nPC9BdXRob3I+PFllYXI+MjAyMTwvWWVhcj48UmVj
TnVtPjU4MzwvUmVjTnVtPjxEaXNwbGF5VGV4dD48c3R5bGUgZmFjZT0ic3VwZXJzY3JpcHQiPjI8
L3N0eWxlPjwvRGlzcGxheVRleHQ+PHJlY29yZD48cmVjLW51bWJlcj41ODM8L3JlYy1udW1iZXI+
PGZvcmVpZ24ta2V5cz48a2V5IGFwcD0iRU4iIGRiLWlkPSJzMDBwcGF0emFwNXZhaGV3MHZveGZ2
NWw5NWFlMmE1cmFzcGEiIHRpbWVzdGFtcD0iMTYyNTA3Njk2OCIgZ3VpZD0iNTgyOWFlNjQtZDEz
Yi00MTk2LWJhMDMtODg3N2JkMzNjYTAxIj41ODM8L2tleT48L2ZvcmVpZ24ta2V5cz48cmVmLXR5
cGUgbmFtZT0iSm91cm5hbCBBcnRpY2xlIj4xNzwvcmVmLXR5cGU+PGNvbnRyaWJ1dG9ycz48YXV0
aG9ycz48YXV0aG9yPldhbmcsIFouPC9hdXRob3I+PGF1dGhvcj5DaGltZW50aSwgTS4gUy48L2F1
dGhvcj48YXV0aG9yPlN0cm91c2UsIEMuPC9hdXRob3I+PGF1dGhvcj5XZWluZXIsIEcuIEouPC9h
dXRob3I+PC9hdXRob3JzPjwvY29udHJpYnV0b3JzPjxhdXRoLWFkZHJlc3M+Q2FuY2VyIEJpb2xv
Z3kgR3JhZHVhdGUgUHJvZ3JhbSwgSG9sZGVuIENvbXByZWhlbnNpdmUgQ2FuY2VyIENlbnRlciwg
Q2FydmVyIENvbGxlZ2Ugb2YgTWVkaWNpbmUsIFRoZSBVbml2ZXJzaXR5IG9mIElvd2EsIElvd2Eg
Q2l0eSwgSUEsIFVTQS4mI3hEO0lvd2EgSW5zdGl0dXRlIG9mIEh1bWFuIEdlbmV0aWNzLCBDYXJ2
ZXIgQ29sbGVnZSBvZiBNZWRpY2luZSwgVGhlIFVuaXZlcnNpdHkgb2YgSW93YSwgSW93YSBDaXR5
LCBJQSwgVVNBLiYjeEQ7RGVwYXJ0bWVudCBvZiBJbnRlcm5hbCBNZWRpY2luZSwgQ2FydmVyIENv
bGxlZ2Ugb2YgTWVkaWNpbmUsIFRoZSBVbml2ZXJzaXR5IG9mIElvd2EsIElvd2EgQ2l0eSwgSUEs
IFVTQS4mI3hEO0NhbmNlciBCaW9sb2d5IEdyYWR1YXRlIFByb2dyYW0sIEhvbGRlbiBDb21wcmVo
ZW5zaXZlIENhbmNlciBDZW50ZXIsIENhcnZlciBDb2xsZWdlIG9mIE1lZGljaW5lLCBUaGUgVW5p
dmVyc2l0eSBvZiBJb3dhLCBJb3dhIENpdHksIElBLCBVU0EuIGdlb3JnZS13ZWluZXJAdWlvd2Eu
ZWR1LiYjeEQ7RGVwYXJ0bWVudCBvZiBJbnRlcm5hbCBNZWRpY2luZSwgQ2FydmVyIENvbGxlZ2Ug
b2YgTWVkaWNpbmUsIFRoZSBVbml2ZXJzaXR5IG9mIElvd2EsIElvd2EgQ2l0eSwgSUEsIFVTQS4g
Z2VvcmdlLXdlaW5lckB1aW93YS5lZHUuPC9hdXRoLWFkZHJlc3M+PHRpdGxlcz48dGl0bGU+VCBj
ZWxscywgcGFydGljdWxhcmx5IGFjdGl2YXRlZCBDRDQoKykgY2VsbHMsIG1haW50YWluIGFudGkt
Q0QyMC1tZWRpYXRlZCBOSyBjZWxsIHZpYWJpbGl0eSBhbmQgYW50aWJvZHkgZGVwZW5kZW50IGNl
bGx1bGFyIGN5dG90b3hpY2l0eTwvdGl0bGU+PHNlY29uZGFyeS10aXRsZT5DYW5jZXIgSW1tdW5v
bCBJbW11bm90aGVyPC9zZWNvbmRhcnktdGl0bGU+PC90aXRsZXM+PHBlcmlvZGljYWw+PGZ1bGwt
dGl0bGU+Q2FuY2VyIEltbXVub2wgSW1tdW5vdGhlcjwvZnVsbC10aXRsZT48L3BlcmlvZGljYWw+
PGVkaXRpb24+MjAyMS8wNi8xMTwvZWRpdGlvbj48a2V5d29yZHM+PGtleXdvcmQ+QWRjYzwva2V5
d29yZD48a2V5d29yZD5CaXNwZWNpZmljIGFudGlib2R5PC9rZXl3b3JkPjxrZXl3b3JkPk5LIGNl
bGw8L2tleXdvcmQ+PGtleXdvcmQ+Uml0dXhpbWFiPC9rZXl3b3JkPjxrZXl3b3JkPlQgY2VsbDwv
a2V5d29yZD48L2tleXdvcmRzPjxkYXRlcz48eWVhcj4yMDIxPC95ZWFyPjxwdWItZGF0ZXM+PGRh
dGU+SnVuIDEwPC9kYXRlPjwvcHViLWRhdGVzPjwvZGF0ZXM+PGlzYm4+MTQzMi0wODUxIChFbGVj
dHJvbmljKSYjeEQ7MDM0MC03MDA0IChMaW5raW5nKTwvaXNibj48YWNjZXNzaW9uLW51bT4zNDEx
MDQ1MzwvYWNjZXNzaW9uLW51bT48dXJscz48cmVsYXRlZC11cmxzPjx1cmw+aHR0cHM6Ly93d3cu
bmNiaS5ubG0ubmloLmdvdi9wdWJtZWQvMzQxMTA0NTM8L3VybD48L3JlbGF0ZWQtdXJscz48L3Vy
bHM+PGVsZWN0cm9uaWMtcmVzb3VyY2UtbnVtPjEwLjEwMDcvczAwMjYyLTAyMS0wMjk3Ni03PC9l
bGVjdHJvbmljLXJlc291cmNlLW51bT48L3JlY29yZD48L0NpdGU+PC9FbmROb3RlPgB=
</w:fldData>
        </w:fldChar>
      </w:r>
      <w:r w:rsidR="00D576CE">
        <w:rPr>
          <w:rFonts w:cs="Arial"/>
        </w:rPr>
        <w:instrText xml:space="preserve"> ADDIN EN.CITE </w:instrText>
      </w:r>
      <w:r w:rsidR="00D576CE">
        <w:rPr>
          <w:rFonts w:cs="Arial"/>
        </w:rPr>
        <w:fldChar w:fldCharType="begin">
          <w:fldData xml:space="preserve">PEVuZE5vdGU+PENpdGU+PEF1dGhvcj5XYW5nPC9BdXRob3I+PFllYXI+MjAyMTwvWWVhcj48UmVj
TnVtPjU4MzwvUmVjTnVtPjxEaXNwbGF5VGV4dD48c3R5bGUgZmFjZT0ic3VwZXJzY3JpcHQiPjI8
L3N0eWxlPjwvRGlzcGxheVRleHQ+PHJlY29yZD48cmVjLW51bWJlcj41ODM8L3JlYy1udW1iZXI+
PGZvcmVpZ24ta2V5cz48a2V5IGFwcD0iRU4iIGRiLWlkPSJzMDBwcGF0emFwNXZhaGV3MHZveGZ2
NWw5NWFlMmE1cmFzcGEiIHRpbWVzdGFtcD0iMTYyNTA3Njk2OCIgZ3VpZD0iNTgyOWFlNjQtZDEz
Yi00MTk2LWJhMDMtODg3N2JkMzNjYTAxIj41ODM8L2tleT48L2ZvcmVpZ24ta2V5cz48cmVmLXR5
cGUgbmFtZT0iSm91cm5hbCBBcnRpY2xlIj4xNzwvcmVmLXR5cGU+PGNvbnRyaWJ1dG9ycz48YXV0
aG9ycz48YXV0aG9yPldhbmcsIFouPC9hdXRob3I+PGF1dGhvcj5DaGltZW50aSwgTS4gUy48L2F1
dGhvcj48YXV0aG9yPlN0cm91c2UsIEMuPC9hdXRob3I+PGF1dGhvcj5XZWluZXIsIEcuIEouPC9h
dXRob3I+PC9hdXRob3JzPjwvY29udHJpYnV0b3JzPjxhdXRoLWFkZHJlc3M+Q2FuY2VyIEJpb2xv
Z3kgR3JhZHVhdGUgUHJvZ3JhbSwgSG9sZGVuIENvbXByZWhlbnNpdmUgQ2FuY2VyIENlbnRlciwg
Q2FydmVyIENvbGxlZ2Ugb2YgTWVkaWNpbmUsIFRoZSBVbml2ZXJzaXR5IG9mIElvd2EsIElvd2Eg
Q2l0eSwgSUEsIFVTQS4mI3hEO0lvd2EgSW5zdGl0dXRlIG9mIEh1bWFuIEdlbmV0aWNzLCBDYXJ2
ZXIgQ29sbGVnZSBvZiBNZWRpY2luZSwgVGhlIFVuaXZlcnNpdHkgb2YgSW93YSwgSW93YSBDaXR5
LCBJQSwgVVNBLiYjeEQ7RGVwYXJ0bWVudCBvZiBJbnRlcm5hbCBNZWRpY2luZSwgQ2FydmVyIENv
bGxlZ2Ugb2YgTWVkaWNpbmUsIFRoZSBVbml2ZXJzaXR5IG9mIElvd2EsIElvd2EgQ2l0eSwgSUEs
IFVTQS4mI3hEO0NhbmNlciBCaW9sb2d5IEdyYWR1YXRlIFByb2dyYW0sIEhvbGRlbiBDb21wcmVo
ZW5zaXZlIENhbmNlciBDZW50ZXIsIENhcnZlciBDb2xsZWdlIG9mIE1lZGljaW5lLCBUaGUgVW5p
dmVyc2l0eSBvZiBJb3dhLCBJb3dhIENpdHksIElBLCBVU0EuIGdlb3JnZS13ZWluZXJAdWlvd2Eu
ZWR1LiYjeEQ7RGVwYXJ0bWVudCBvZiBJbnRlcm5hbCBNZWRpY2luZSwgQ2FydmVyIENvbGxlZ2Ug
b2YgTWVkaWNpbmUsIFRoZSBVbml2ZXJzaXR5IG9mIElvd2EsIElvd2EgQ2l0eSwgSUEsIFVTQS4g
Z2VvcmdlLXdlaW5lckB1aW93YS5lZHUuPC9hdXRoLWFkZHJlc3M+PHRpdGxlcz48dGl0bGU+VCBj
ZWxscywgcGFydGljdWxhcmx5IGFjdGl2YXRlZCBDRDQoKykgY2VsbHMsIG1haW50YWluIGFudGkt
Q0QyMC1tZWRpYXRlZCBOSyBjZWxsIHZpYWJpbGl0eSBhbmQgYW50aWJvZHkgZGVwZW5kZW50IGNl
bGx1bGFyIGN5dG90b3hpY2l0eTwvdGl0bGU+PHNlY29uZGFyeS10aXRsZT5DYW5jZXIgSW1tdW5v
bCBJbW11bm90aGVyPC9zZWNvbmRhcnktdGl0bGU+PC90aXRsZXM+PHBlcmlvZGljYWw+PGZ1bGwt
dGl0bGU+Q2FuY2VyIEltbXVub2wgSW1tdW5vdGhlcjwvZnVsbC10aXRsZT48L3BlcmlvZGljYWw+
PGVkaXRpb24+MjAyMS8wNi8xMTwvZWRpdGlvbj48a2V5d29yZHM+PGtleXdvcmQ+QWRjYzwva2V5
d29yZD48a2V5d29yZD5CaXNwZWNpZmljIGFudGlib2R5PC9rZXl3b3JkPjxrZXl3b3JkPk5LIGNl
bGw8L2tleXdvcmQ+PGtleXdvcmQ+Uml0dXhpbWFiPC9rZXl3b3JkPjxrZXl3b3JkPlQgY2VsbDwv
a2V5d29yZD48L2tleXdvcmRzPjxkYXRlcz48eWVhcj4yMDIxPC95ZWFyPjxwdWItZGF0ZXM+PGRh
dGU+SnVuIDEwPC9kYXRlPjwvcHViLWRhdGVzPjwvZGF0ZXM+PGlzYm4+MTQzMi0wODUxIChFbGVj
dHJvbmljKSYjeEQ7MDM0MC03MDA0IChMaW5raW5nKTwvaXNibj48YWNjZXNzaW9uLW51bT4zNDEx
MDQ1MzwvYWNjZXNzaW9uLW51bT48dXJscz48cmVsYXRlZC11cmxzPjx1cmw+aHR0cHM6Ly93d3cu
bmNiaS5ubG0ubmloLmdvdi9wdWJtZWQvMzQxMTA0NTM8L3VybD48L3JlbGF0ZWQtdXJscz48L3Vy
bHM+PGVsZWN0cm9uaWMtcmVzb3VyY2UtbnVtPjEwLjEwMDcvczAwMjYyLTAyMS0wMjk3Ni03PC9l
bGVjdHJvbmljLXJlc291cmNlLW51bT48L3JlY29yZD48L0NpdGU+PC9FbmROb3RlPgB=
</w:fldData>
        </w:fldChar>
      </w:r>
      <w:r w:rsidR="00D576CE">
        <w:rPr>
          <w:rFonts w:cs="Arial"/>
        </w:rPr>
        <w:instrText xml:space="preserve"> ADDIN EN.CITE.DATA </w:instrText>
      </w:r>
      <w:r w:rsidR="00D576CE">
        <w:rPr>
          <w:rFonts w:cs="Arial"/>
        </w:rPr>
      </w:r>
      <w:r w:rsidR="00D576CE">
        <w:rPr>
          <w:rFonts w:cs="Arial"/>
        </w:rPr>
        <w:fldChar w:fldCharType="end"/>
      </w:r>
      <w:r w:rsidR="00D576CE">
        <w:rPr>
          <w:rFonts w:cs="Arial"/>
        </w:rPr>
      </w:r>
      <w:r w:rsidR="00D576CE">
        <w:rPr>
          <w:rFonts w:cs="Arial"/>
        </w:rPr>
        <w:fldChar w:fldCharType="separate"/>
      </w:r>
      <w:r w:rsidR="00D576CE" w:rsidRPr="00D576CE">
        <w:rPr>
          <w:rFonts w:cs="Arial"/>
          <w:noProof/>
          <w:vertAlign w:val="superscript"/>
        </w:rPr>
        <w:t>2</w:t>
      </w:r>
      <w:r w:rsidR="00D576CE">
        <w:rPr>
          <w:rFonts w:cs="Arial"/>
        </w:rPr>
        <w:fldChar w:fldCharType="end"/>
      </w:r>
      <w:r>
        <w:rPr>
          <w:rFonts w:cs="Arial"/>
        </w:rPr>
        <w:t xml:space="preserve">. Briefly, cells were first washed three times with PBS and stained with Zombie Aqua at room temperature for 15 minutes to distinguish live from dead cells. Cells were then incubated with staining antibodies at 4ºC for 15 minutes and fixed in 2% paraformaldehyde. For intracellular staining, brefeldin A was added for the last 6 hours of co-culture. After surface staining, cells were fixed and permeabilized using the Cyto-Fast Fix / Per Buffer Set (BioLegend), followed by staining in the permeabilization buffer at room temperature for 30 minutes. Samples were read by the Cytek Aurora flow cytometer (Cytek </w:t>
      </w:r>
      <w:r>
        <w:rPr>
          <w:rFonts w:cs="Arial"/>
        </w:rPr>
        <w:lastRenderedPageBreak/>
        <w:t xml:space="preserve">Biosciences) within 24 hours. Data were analyzed using the FlowJo software (FlowJo LLC.). </w:t>
      </w:r>
    </w:p>
    <w:p w14:paraId="12E22BD9" w14:textId="77777777" w:rsidR="005F18F1" w:rsidRPr="00094376" w:rsidRDefault="005F18F1" w:rsidP="00C106D3">
      <w:pPr>
        <w:rPr>
          <w:rFonts w:cs="Arial"/>
        </w:rPr>
      </w:pPr>
    </w:p>
    <w:p w14:paraId="141B3E5F" w14:textId="50A0F8FD" w:rsidR="005F18F1" w:rsidRDefault="005F18F1" w:rsidP="00C106D3">
      <w:pPr>
        <w:rPr>
          <w:rFonts w:cs="Arial"/>
        </w:rPr>
      </w:pPr>
      <w:r w:rsidRPr="002E7E03">
        <w:rPr>
          <w:rFonts w:cs="Arial"/>
          <w:b/>
          <w:bCs/>
        </w:rPr>
        <w:t>ADCC quantification</w:t>
      </w:r>
      <w:r>
        <w:rPr>
          <w:rFonts w:cs="Arial"/>
          <w:b/>
          <w:bCs/>
        </w:rPr>
        <w:t xml:space="preserve">. </w:t>
      </w:r>
      <w:r w:rsidRPr="00AB0E9E">
        <w:rPr>
          <w:rFonts w:cs="Arial"/>
        </w:rPr>
        <w:t xml:space="preserve">For studies </w:t>
      </w:r>
      <w:r>
        <w:rPr>
          <w:rFonts w:cs="Arial"/>
        </w:rPr>
        <w:t>with</w:t>
      </w:r>
      <w:r w:rsidRPr="00AB0E9E">
        <w:rPr>
          <w:rFonts w:cs="Arial"/>
        </w:rPr>
        <w:t xml:space="preserve"> anti-CD20</w:t>
      </w:r>
      <w:r>
        <w:rPr>
          <w:rFonts w:cs="Arial"/>
        </w:rPr>
        <w:t>, ADCC was determined by analyzing the number of remaining viable Raji and Daudi cells using flow cytometry and measuring remaining CD19</w:t>
      </w:r>
      <w:r w:rsidRPr="009B41C8">
        <w:rPr>
          <w:rFonts w:cs="Arial"/>
          <w:vertAlign w:val="superscript"/>
        </w:rPr>
        <w:t>+</w:t>
      </w:r>
      <w:r>
        <w:rPr>
          <w:rFonts w:cs="Arial"/>
        </w:rPr>
        <w:t xml:space="preserve"> target cells. For adherent SQ20B cells, 96-well plates were washed with PBS three times to remove cells in suspension. A resazurin reduction assay was used to quantitatively measure the viability of remaining adherent tumor cells as described</w:t>
      </w:r>
      <w:r>
        <w:rPr>
          <w:rFonts w:cs="Arial"/>
        </w:rPr>
        <w:fldChar w:fldCharType="begin">
          <w:fldData xml:space="preserve">PEVuZE5vdGU+PENpdGU+PEF1dGhvcj5VemFyc2tpPC9BdXRob3I+PFllYXI+MjAxNzwvWWVhcj48
UmVjTnVtPjQ4OTwvUmVjTnVtPjxEaXNwbGF5VGV4dD48c3R5bGUgZmFjZT0ic3VwZXJzY3JpcHQi
PjM8L3N0eWxlPjwvRGlzcGxheVRleHQ+PHJlY29yZD48cmVjLW51bWJlcj40ODk8L3JlYy1udW1i
ZXI+PGZvcmVpZ24ta2V5cz48a2V5IGFwcD0iRU4iIGRiLWlkPSJzMDBwcGF0emFwNXZhaGV3MHZv
eGZ2NWw5NWFlMmE1cmFzcGEiIHRpbWVzdGFtcD0iMTYxOTMyMzI0MSIgZ3VpZD0iOTkyMWZmODYt
MTRiNy00Y2UxLTljMDUtYTAyNDNjYWI2OTQxIj40ODk8L2tleT48L2ZvcmVpZ24ta2V5cz48cmVm
LXR5cGUgbmFtZT0iSm91cm5hbCBBcnRpY2xlIj4xNzwvcmVmLXR5cGU+PGNvbnRyaWJ1dG9ycz48
YXV0aG9ycz48YXV0aG9yPlV6YXJza2ksIEouIFMuPC9hdXRob3I+PGF1dGhvcj5EaVZpdG8sIE0u
IEQuPC9hdXRob3I+PGF1dGhvcj5XZXJ0aGVpbSwgSi4gQS48L2F1dGhvcj48YXV0aG9yPk1pbGxl
ciwgVy4gTS48L2F1dGhvcj48L2F1dGhvcnM+PC9jb250cmlidXRvcnM+PGF1dGgtYWRkcmVzcz5D
b21wcmVoZW5zaXZlIFRyYW5zcGxhbnQgQ2VudGVyLCBOb3J0aHdlc3Rlcm4gVW5pdmVyc2l0eSBG
ZWluYmVyZyBTY2hvb2wgb2YgTWVkaWNpbmUsIENoaWNhZ28sIElMIDYwNjExLCBVU0E7IERlcGFy
dG1lbnQgb2YgU3VyZ2VyeSwgTm9ydGh3ZXN0ZXJuIFVuaXZlcnNpdHkgRmVpbmJlcmcgU2Nob29s
IG9mIE1lZGljaW5lLCBDaGljYWdvLCBJTCA2MDYxMSwgVVNBLiYjeEQ7Q29tcHJlaGVuc2l2ZSBU
cmFuc3BsYW50IENlbnRlciwgTm9ydGh3ZXN0ZXJuIFVuaXZlcnNpdHkgRmVpbmJlcmcgU2Nob29s
IG9mIE1lZGljaW5lLCBDaGljYWdvLCBJTCA2MDYxMSwgVVNBOyBEZXBhcnRtZW50IG9mIFN1cmdl
cnksIE5vcnRod2VzdGVybiBVbml2ZXJzaXR5IEZlaW5iZXJnIFNjaG9vbCBvZiBNZWRpY2luZSwg
Q2hpY2FnbywgSUwgNjA2MTEsIFVTQTsgRGVwYXJ0bWVudCBvZiBTdXJnZXJ5LCBKZXNzZSBCcm93
biBWQSBNZWRpY2FsIENlbnRlciwgQ2hpY2FnbywgSUwgNjA2MTIsIFVTQTsgU2ltcHNvbiBRdWVy
cmV5IEluc3RpdHV0ZSBmb3IgQmlvTmFub3RlY2hub2xvZ3ksIE5vcnRod2VzdGVybiBVbml2ZXJz
aXR5LCBDaGljYWdvLCBJTCA2MDYxMSwgVVNBOyBEZXBhcnRtZW50IG9mIEJpb21lZGljYWwgRW5n
aW5lZXJpbmcsIE5vcnRod2VzdGVybiBVbml2ZXJzaXR5LCBFdmFuc3RvbiwgSUwgNjAyMDgsIFVT
QTsgQ2hlbWlzdHJ5IG9mIExpZmUgUHJvY2Vzc2VzIEluc3RpdHV0ZSwgTm9ydGh3ZXN0ZXJuIFVu
aXZlcnNpdHksIEV2YW5zdG9uLCBJTCA2MDIwOCwgVVNBLiBFbGVjdHJvbmljIGFkZHJlc3M6IGph
c29uLndlcnRoZWltQG5vcnRod2VzdGVybi5lZHUuJiN4RDtDaGVtaXN0cnkgb2YgTGlmZSBQcm9j
ZXNzZXMgSW5zdGl0dXRlLCBOb3J0aHdlc3Rlcm4gVW5pdmVyc2l0eSwgRXZhbnN0b24sIElMIDYw
MjA4LCBVU0E7IERlcGFydG1lbnQgb2YgQ2hlbWljYWwgYW5kIEJpb2xvZ2ljYWwgRW5naW5lZXJp
bmcsIE5vcnRod2VzdGVybiBVbml2ZXJzaXR5LCBFdmFuc3RvbiwgSUwgNjAyMDgsIFVTQS4gRWxl
Y3Ryb25pYyBhZGRyZXNzOiB3bW1pbGxlckBub3J0aHdlc3Rlcm4uZWR1LjwvYXV0aC1hZGRyZXNz
Pjx0aXRsZXM+PHRpdGxlPkVzc2VudGlhbCBkZXNpZ24gY29uc2lkZXJhdGlvbnMgZm9yIHRoZSBy
ZXNhenVyaW4gcmVkdWN0aW9uIGFzc2F5IHRvIG5vbmludmFzaXZlbHkgcXVhbnRpZnkgY2VsbCBl
eHBhbnNpb24gd2l0aGluIHBlcmZ1c2VkIGV4dHJhY2VsbHVsYXIgbWF0cml4IHNjYWZmb2xkczwv
dGl0bGU+PHNlY29uZGFyeS10aXRsZT5CaW9tYXRlcmlhbHM8L3NlY29uZGFyeS10aXRsZT48L3Rp
dGxlcz48cGVyaW9kaWNhbD48ZnVsbC10aXRsZT5CaW9tYXRlcmlhbHM8L2Z1bGwtdGl0bGU+PC9w
ZXJpb2RpY2FsPjxwYWdlcz4xNjMtMTc1PC9wYWdlcz48dm9sdW1lPjEyOTwvdm9sdW1lPjxlZGl0
aW9uPjIwMTcvMDMvMjg8L2VkaXRpb24+PGtleXdvcmRzPjxrZXl3b3JkPkFuaW1hbHM8L2tleXdv
cmQ+PGtleXdvcmQ+QmlvcmVhY3RvcnM8L2tleXdvcmQ+PGtleXdvcmQ+Q2VsbCBDb3VudDwva2V5
d29yZD48a2V5d29yZD5DZWxsIFByb2xpZmVyYXRpb24vZHJ1ZyBlZmZlY3RzPC9rZXl3b3JkPjxr
ZXl3b3JkPkN1bHR1cmUgTWVkaWEsIENvbmRpdGlvbmVkL3BoYXJtYWNvbG9neTwva2V5d29yZD48
a2V5d29yZD5Eb2dzPC9rZXl3b3JkPjxrZXl3b3JkPkV4dHJhY2VsbHVsYXIgTWF0cml4LyptZXRh
Ym9saXNtPC9rZXl3b3JkPjxrZXl3b3JkPkZsdW9yZXNjZW5jZTwva2V5d29yZD48a2V5d29yZD5I
dW1hbnM8L2tleXdvcmQ+PGtleXdvcmQ+S2lkbmV5L21ldGFib2xpc208L2tleXdvcmQ+PGtleXdv
cmQ+TWFkaW4gRGFyYnkgQ2FuaW5lIEtpZG5leSBDZWxsczwva2V5d29yZD48a2V5d29yZD5NYWxl
PC9rZXl3b3JkPjxrZXl3b3JkPk94YXppbmVzL2NoZW1pc3RyeS8qbWV0YWJvbGlzbTwva2V5d29y
ZD48a2V5d29yZD4qUGVyZnVzaW9uPC9rZXl3b3JkPjxrZXl3b3JkPlJhdHMsIFNwcmFndWUtRGF3
bGV5PC9rZXl3b3JkPjxrZXl3b3JkPlJlZmVyZW5jZSBTdGFuZGFyZHM8L2tleXdvcmQ+PGtleXdv
cmQ+VGltZSBGYWN0b3JzPC9rZXl3b3JkPjxrZXl3b3JkPlRpc3N1ZSBFbmdpbmVlcmluZy8qbWV0
aG9kczwva2V5d29yZD48a2V5d29yZD5UaXNzdWUgU2NhZmZvbGRzLypjaGVtaXN0cnk8L2tleXdv
cmQ+PGtleXdvcmQ+WGFudGhlbmVzL2NoZW1pc3RyeS8qbWV0YWJvbGlzbTwva2V5d29yZD48a2V5
d29yZD4qQWxhbWFyQmx1ZTwva2V5d29yZD48a2V5d29yZD4qQmlvcmVhY3Rvcjwva2V5d29yZD48
a2V5d29yZD4qRGVjZWxsdWxhcml6YXRpb248L2tleXdvcmQ+PGtleXdvcmQ+KkV4dHJhY2VsbHVs
YXIgbWF0cml4PC9rZXl3b3JkPjxrZXl3b3JkPipMaXZlcjwva2V5d29yZD48a2V5d29yZD4qUmVu
YWw8L2tleXdvcmQ+PC9rZXl3b3Jkcz48ZGF0ZXM+PHllYXI+MjAxNzwveWVhcj48cHViLWRhdGVz
PjxkYXRlPkp1bjwvZGF0ZT48L3B1Yi1kYXRlcz48L2RhdGVzPjxpc2JuPjE4NzgtNTkwNSAoRWxl
Y3Ryb25pYykmI3hEOzAxNDItOTYxMiAoTGlua2luZyk8L2lzYm4+PGFjY2Vzc2lvbi1udW0+Mjgz
NDMwMDM8L2FjY2Vzc2lvbi1udW0+PHVybHM+PHJlbGF0ZWQtdXJscz48dXJsPmh0dHBzOi8vd3d3
Lm5jYmkubmxtLm5paC5nb3YvcHVibWVkLzI4MzQzMDAzPC91cmw+PC9yZWxhdGVkLXVybHM+PC91
cmxzPjxjdXN0b20yPlBNQzU3NjU1NTE8L2N1c3RvbTI+PGVsZWN0cm9uaWMtcmVzb3VyY2UtbnVt
PjEwLjEwMTYvai5iaW9tYXRlcmlhbHMuMjAxNy4wMi4wMTU8L2VsZWN0cm9uaWMtcmVzb3VyY2Ut
bnVtPjwvcmVjb3JkPjwvQ2l0ZT48L0VuZE5vdGU+AG==
</w:fldData>
        </w:fldChar>
      </w:r>
      <w:r w:rsidR="00D576CE">
        <w:rPr>
          <w:rFonts w:cs="Arial"/>
        </w:rPr>
        <w:instrText xml:space="preserve"> ADDIN EN.CITE </w:instrText>
      </w:r>
      <w:r w:rsidR="00D576CE">
        <w:rPr>
          <w:rFonts w:cs="Arial"/>
        </w:rPr>
        <w:fldChar w:fldCharType="begin">
          <w:fldData xml:space="preserve">PEVuZE5vdGU+PENpdGU+PEF1dGhvcj5VemFyc2tpPC9BdXRob3I+PFllYXI+MjAxNzwvWWVhcj48
UmVjTnVtPjQ4OTwvUmVjTnVtPjxEaXNwbGF5VGV4dD48c3R5bGUgZmFjZT0ic3VwZXJzY3JpcHQi
PjM8L3N0eWxlPjwvRGlzcGxheVRleHQ+PHJlY29yZD48cmVjLW51bWJlcj40ODk8L3JlYy1udW1i
ZXI+PGZvcmVpZ24ta2V5cz48a2V5IGFwcD0iRU4iIGRiLWlkPSJzMDBwcGF0emFwNXZhaGV3MHZv
eGZ2NWw5NWFlMmE1cmFzcGEiIHRpbWVzdGFtcD0iMTYxOTMyMzI0MSIgZ3VpZD0iOTkyMWZmODYt
MTRiNy00Y2UxLTljMDUtYTAyNDNjYWI2OTQxIj40ODk8L2tleT48L2ZvcmVpZ24ta2V5cz48cmVm
LXR5cGUgbmFtZT0iSm91cm5hbCBBcnRpY2xlIj4xNzwvcmVmLXR5cGU+PGNvbnRyaWJ1dG9ycz48
YXV0aG9ycz48YXV0aG9yPlV6YXJza2ksIEouIFMuPC9hdXRob3I+PGF1dGhvcj5EaVZpdG8sIE0u
IEQuPC9hdXRob3I+PGF1dGhvcj5XZXJ0aGVpbSwgSi4gQS48L2F1dGhvcj48YXV0aG9yPk1pbGxl
ciwgVy4gTS48L2F1dGhvcj48L2F1dGhvcnM+PC9jb250cmlidXRvcnM+PGF1dGgtYWRkcmVzcz5D
b21wcmVoZW5zaXZlIFRyYW5zcGxhbnQgQ2VudGVyLCBOb3J0aHdlc3Rlcm4gVW5pdmVyc2l0eSBG
ZWluYmVyZyBTY2hvb2wgb2YgTWVkaWNpbmUsIENoaWNhZ28sIElMIDYwNjExLCBVU0E7IERlcGFy
dG1lbnQgb2YgU3VyZ2VyeSwgTm9ydGh3ZXN0ZXJuIFVuaXZlcnNpdHkgRmVpbmJlcmcgU2Nob29s
IG9mIE1lZGljaW5lLCBDaGljYWdvLCBJTCA2MDYxMSwgVVNBLiYjeEQ7Q29tcHJlaGVuc2l2ZSBU
cmFuc3BsYW50IENlbnRlciwgTm9ydGh3ZXN0ZXJuIFVuaXZlcnNpdHkgRmVpbmJlcmcgU2Nob29s
IG9mIE1lZGljaW5lLCBDaGljYWdvLCBJTCA2MDYxMSwgVVNBOyBEZXBhcnRtZW50IG9mIFN1cmdl
cnksIE5vcnRod2VzdGVybiBVbml2ZXJzaXR5IEZlaW5iZXJnIFNjaG9vbCBvZiBNZWRpY2luZSwg
Q2hpY2FnbywgSUwgNjA2MTEsIFVTQTsgRGVwYXJ0bWVudCBvZiBTdXJnZXJ5LCBKZXNzZSBCcm93
biBWQSBNZWRpY2FsIENlbnRlciwgQ2hpY2FnbywgSUwgNjA2MTIsIFVTQTsgU2ltcHNvbiBRdWVy
cmV5IEluc3RpdHV0ZSBmb3IgQmlvTmFub3RlY2hub2xvZ3ksIE5vcnRod2VzdGVybiBVbml2ZXJz
aXR5LCBDaGljYWdvLCBJTCA2MDYxMSwgVVNBOyBEZXBhcnRtZW50IG9mIEJpb21lZGljYWwgRW5n
aW5lZXJpbmcsIE5vcnRod2VzdGVybiBVbml2ZXJzaXR5LCBFdmFuc3RvbiwgSUwgNjAyMDgsIFVT
QTsgQ2hlbWlzdHJ5IG9mIExpZmUgUHJvY2Vzc2VzIEluc3RpdHV0ZSwgTm9ydGh3ZXN0ZXJuIFVu
aXZlcnNpdHksIEV2YW5zdG9uLCBJTCA2MDIwOCwgVVNBLiBFbGVjdHJvbmljIGFkZHJlc3M6IGph
c29uLndlcnRoZWltQG5vcnRod2VzdGVybi5lZHUuJiN4RDtDaGVtaXN0cnkgb2YgTGlmZSBQcm9j
ZXNzZXMgSW5zdGl0dXRlLCBOb3J0aHdlc3Rlcm4gVW5pdmVyc2l0eSwgRXZhbnN0b24sIElMIDYw
MjA4LCBVU0E7IERlcGFydG1lbnQgb2YgQ2hlbWljYWwgYW5kIEJpb2xvZ2ljYWwgRW5naW5lZXJp
bmcsIE5vcnRod2VzdGVybiBVbml2ZXJzaXR5LCBFdmFuc3RvbiwgSUwgNjAyMDgsIFVTQS4gRWxl
Y3Ryb25pYyBhZGRyZXNzOiB3bW1pbGxlckBub3J0aHdlc3Rlcm4uZWR1LjwvYXV0aC1hZGRyZXNz
Pjx0aXRsZXM+PHRpdGxlPkVzc2VudGlhbCBkZXNpZ24gY29uc2lkZXJhdGlvbnMgZm9yIHRoZSBy
ZXNhenVyaW4gcmVkdWN0aW9uIGFzc2F5IHRvIG5vbmludmFzaXZlbHkgcXVhbnRpZnkgY2VsbCBl
eHBhbnNpb24gd2l0aGluIHBlcmZ1c2VkIGV4dHJhY2VsbHVsYXIgbWF0cml4IHNjYWZmb2xkczwv
dGl0bGU+PHNlY29uZGFyeS10aXRsZT5CaW9tYXRlcmlhbHM8L3NlY29uZGFyeS10aXRsZT48L3Rp
dGxlcz48cGVyaW9kaWNhbD48ZnVsbC10aXRsZT5CaW9tYXRlcmlhbHM8L2Z1bGwtdGl0bGU+PC9w
ZXJpb2RpY2FsPjxwYWdlcz4xNjMtMTc1PC9wYWdlcz48dm9sdW1lPjEyOTwvdm9sdW1lPjxlZGl0
aW9uPjIwMTcvMDMvMjg8L2VkaXRpb24+PGtleXdvcmRzPjxrZXl3b3JkPkFuaW1hbHM8L2tleXdv
cmQ+PGtleXdvcmQ+QmlvcmVhY3RvcnM8L2tleXdvcmQ+PGtleXdvcmQ+Q2VsbCBDb3VudDwva2V5
d29yZD48a2V5d29yZD5DZWxsIFByb2xpZmVyYXRpb24vZHJ1ZyBlZmZlY3RzPC9rZXl3b3JkPjxr
ZXl3b3JkPkN1bHR1cmUgTWVkaWEsIENvbmRpdGlvbmVkL3BoYXJtYWNvbG9neTwva2V5d29yZD48
a2V5d29yZD5Eb2dzPC9rZXl3b3JkPjxrZXl3b3JkPkV4dHJhY2VsbHVsYXIgTWF0cml4LyptZXRh
Ym9saXNtPC9rZXl3b3JkPjxrZXl3b3JkPkZsdW9yZXNjZW5jZTwva2V5d29yZD48a2V5d29yZD5I
dW1hbnM8L2tleXdvcmQ+PGtleXdvcmQ+S2lkbmV5L21ldGFib2xpc208L2tleXdvcmQ+PGtleXdv
cmQ+TWFkaW4gRGFyYnkgQ2FuaW5lIEtpZG5leSBDZWxsczwva2V5d29yZD48a2V5d29yZD5NYWxl
PC9rZXl3b3JkPjxrZXl3b3JkPk94YXppbmVzL2NoZW1pc3RyeS8qbWV0YWJvbGlzbTwva2V5d29y
ZD48a2V5d29yZD4qUGVyZnVzaW9uPC9rZXl3b3JkPjxrZXl3b3JkPlJhdHMsIFNwcmFndWUtRGF3
bGV5PC9rZXl3b3JkPjxrZXl3b3JkPlJlZmVyZW5jZSBTdGFuZGFyZHM8L2tleXdvcmQ+PGtleXdv
cmQ+VGltZSBGYWN0b3JzPC9rZXl3b3JkPjxrZXl3b3JkPlRpc3N1ZSBFbmdpbmVlcmluZy8qbWV0
aG9kczwva2V5d29yZD48a2V5d29yZD5UaXNzdWUgU2NhZmZvbGRzLypjaGVtaXN0cnk8L2tleXdv
cmQ+PGtleXdvcmQ+WGFudGhlbmVzL2NoZW1pc3RyeS8qbWV0YWJvbGlzbTwva2V5d29yZD48a2V5
d29yZD4qQWxhbWFyQmx1ZTwva2V5d29yZD48a2V5d29yZD4qQmlvcmVhY3Rvcjwva2V5d29yZD48
a2V5d29yZD4qRGVjZWxsdWxhcml6YXRpb248L2tleXdvcmQ+PGtleXdvcmQ+KkV4dHJhY2VsbHVs
YXIgbWF0cml4PC9rZXl3b3JkPjxrZXl3b3JkPipMaXZlcjwva2V5d29yZD48a2V5d29yZD4qUmVu
YWw8L2tleXdvcmQ+PC9rZXl3b3Jkcz48ZGF0ZXM+PHllYXI+MjAxNzwveWVhcj48cHViLWRhdGVz
PjxkYXRlPkp1bjwvZGF0ZT48L3B1Yi1kYXRlcz48L2RhdGVzPjxpc2JuPjE4NzgtNTkwNSAoRWxl
Y3Ryb25pYykmI3hEOzAxNDItOTYxMiAoTGlua2luZyk8L2lzYm4+PGFjY2Vzc2lvbi1udW0+Mjgz
NDMwMDM8L2FjY2Vzc2lvbi1udW0+PHVybHM+PHJlbGF0ZWQtdXJscz48dXJsPmh0dHBzOi8vd3d3
Lm5jYmkubmxtLm5paC5nb3YvcHVibWVkLzI4MzQzMDAzPC91cmw+PC9yZWxhdGVkLXVybHM+PC91
cmxzPjxjdXN0b20yPlBNQzU3NjU1NTE8L2N1c3RvbTI+PGVsZWN0cm9uaWMtcmVzb3VyY2UtbnVt
PjEwLjEwMTYvai5iaW9tYXRlcmlhbHMuMjAxNy4wMi4wMTU8L2VsZWN0cm9uaWMtcmVzb3VyY2Ut
bnVtPjwvcmVjb3JkPjwvQ2l0ZT48L0VuZE5vdGU+AG==
</w:fldData>
        </w:fldChar>
      </w:r>
      <w:r w:rsidR="00D576CE">
        <w:rPr>
          <w:rFonts w:cs="Arial"/>
        </w:rPr>
        <w:instrText xml:space="preserve"> ADDIN EN.CITE.DATA </w:instrText>
      </w:r>
      <w:r w:rsidR="00D576CE">
        <w:rPr>
          <w:rFonts w:cs="Arial"/>
        </w:rPr>
      </w:r>
      <w:r w:rsidR="00D576CE">
        <w:rPr>
          <w:rFonts w:cs="Arial"/>
        </w:rPr>
        <w:fldChar w:fldCharType="end"/>
      </w:r>
      <w:r>
        <w:rPr>
          <w:rFonts w:cs="Arial"/>
        </w:rPr>
      </w:r>
      <w:r>
        <w:rPr>
          <w:rFonts w:cs="Arial"/>
        </w:rPr>
        <w:fldChar w:fldCharType="separate"/>
      </w:r>
      <w:r w:rsidR="00D576CE" w:rsidRPr="00D576CE">
        <w:rPr>
          <w:rFonts w:cs="Arial"/>
          <w:noProof/>
          <w:vertAlign w:val="superscript"/>
        </w:rPr>
        <w:t>3</w:t>
      </w:r>
      <w:r>
        <w:rPr>
          <w:rFonts w:cs="Arial"/>
        </w:rPr>
        <w:fldChar w:fldCharType="end"/>
      </w:r>
      <w:r>
        <w:rPr>
          <w:rFonts w:cs="Arial"/>
        </w:rPr>
        <w:t xml:space="preserve">. Briefly, 200 µL resazurin (StemCell technologies) reconstituted at the concentration of 44 µM was added to each well and incubated at 37ºC for 2 hours. The plate was read by spectrometer at excitation at 530 nm and emission at 590 nm. </w:t>
      </w:r>
    </w:p>
    <w:p w14:paraId="74347E00" w14:textId="77777777" w:rsidR="005F18F1" w:rsidRDefault="005F18F1" w:rsidP="00C106D3">
      <w:pPr>
        <w:rPr>
          <w:rFonts w:cs="Arial"/>
        </w:rPr>
      </w:pPr>
    </w:p>
    <w:p w14:paraId="1CD2CEBF" w14:textId="77777777" w:rsidR="005F18F1" w:rsidRDefault="005F18F1" w:rsidP="00C106D3">
      <w:pPr>
        <w:rPr>
          <w:rFonts w:cs="Arial"/>
          <w:b/>
          <w:bCs/>
        </w:rPr>
      </w:pPr>
      <w:r w:rsidRPr="00E743F3">
        <w:rPr>
          <w:rFonts w:cs="Arial"/>
          <w:b/>
          <w:bCs/>
        </w:rPr>
        <w:t>Statistical analysis.</w:t>
      </w:r>
      <w:r>
        <w:rPr>
          <w:rFonts w:cs="Arial"/>
        </w:rPr>
        <w:t xml:space="preserve"> </w:t>
      </w:r>
      <w:r w:rsidRPr="00620794">
        <w:rPr>
          <w:rFonts w:cs="Arial"/>
        </w:rPr>
        <w:t>Data was presented as mean ± SEM.</w:t>
      </w:r>
      <w:r w:rsidRPr="00B42FAA">
        <w:rPr>
          <w:rFonts w:cs="Arial"/>
        </w:rPr>
        <w:t xml:space="preserve"> </w:t>
      </w:r>
      <w:r>
        <w:rPr>
          <w:rFonts w:cs="Arial"/>
        </w:rPr>
        <w:t xml:space="preserve">Two-tailed </w:t>
      </w:r>
      <w:r w:rsidRPr="00620794">
        <w:rPr>
          <w:rFonts w:cs="Arial"/>
        </w:rPr>
        <w:t>Student’s t-test was used to compare two independent groups.</w:t>
      </w:r>
      <w:r w:rsidRPr="00251AD6">
        <w:rPr>
          <w:rFonts w:cs="Arial"/>
        </w:rPr>
        <w:t xml:space="preserve"> </w:t>
      </w:r>
      <w:r w:rsidRPr="00620794">
        <w:rPr>
          <w:rFonts w:cs="Arial" w:hint="eastAsia"/>
        </w:rPr>
        <w:t>One-wa</w:t>
      </w:r>
      <w:r w:rsidRPr="00620794">
        <w:rPr>
          <w:rFonts w:cs="Arial"/>
        </w:rPr>
        <w:t xml:space="preserve">y ANOVA was </w:t>
      </w:r>
      <w:r>
        <w:rPr>
          <w:rFonts w:cs="Arial"/>
        </w:rPr>
        <w:t>used</w:t>
      </w:r>
      <w:r w:rsidRPr="00620794">
        <w:rPr>
          <w:rFonts w:cs="Arial"/>
        </w:rPr>
        <w:t xml:space="preserve"> </w:t>
      </w:r>
      <w:r>
        <w:rPr>
          <w:rFonts w:cs="Arial"/>
        </w:rPr>
        <w:t>to compare multiple</w:t>
      </w:r>
      <w:r w:rsidRPr="00620794">
        <w:rPr>
          <w:rFonts w:cs="Arial"/>
        </w:rPr>
        <w:t xml:space="preserve"> groups</w:t>
      </w:r>
      <w:r>
        <w:rPr>
          <w:rFonts w:cs="Arial"/>
        </w:rPr>
        <w:t xml:space="preserve">. All </w:t>
      </w:r>
      <w:r w:rsidRPr="00620794">
        <w:rPr>
          <w:rFonts w:cs="Arial"/>
        </w:rPr>
        <w:t>analys</w:t>
      </w:r>
      <w:r>
        <w:rPr>
          <w:rFonts w:cs="Arial"/>
        </w:rPr>
        <w:t>e</w:t>
      </w:r>
      <w:r w:rsidRPr="00620794">
        <w:rPr>
          <w:rFonts w:cs="Arial"/>
        </w:rPr>
        <w:t>s w</w:t>
      </w:r>
      <w:r>
        <w:rPr>
          <w:rFonts w:cs="Arial"/>
        </w:rPr>
        <w:t>ere</w:t>
      </w:r>
      <w:r w:rsidRPr="00620794">
        <w:rPr>
          <w:rFonts w:cs="Arial"/>
        </w:rPr>
        <w:t xml:space="preserve"> performed </w:t>
      </w:r>
      <w:r>
        <w:rPr>
          <w:rFonts w:cs="Arial"/>
        </w:rPr>
        <w:t>using</w:t>
      </w:r>
      <w:r w:rsidRPr="00620794">
        <w:rPr>
          <w:rFonts w:cs="Arial"/>
        </w:rPr>
        <w:t xml:space="preserve"> GraphPad Prism8</w:t>
      </w:r>
      <w:r>
        <w:rPr>
          <w:rFonts w:cs="Arial"/>
        </w:rPr>
        <w:t xml:space="preserve"> (GraphPad Software Inc.)</w:t>
      </w:r>
      <w:r w:rsidRPr="00620794">
        <w:rPr>
          <w:rFonts w:cs="Arial"/>
        </w:rPr>
        <w:t>.</w:t>
      </w:r>
      <w:r w:rsidRPr="00E743F3">
        <w:rPr>
          <w:rFonts w:eastAsia="DengXian"/>
          <w:i/>
          <w:iCs/>
        </w:rPr>
        <w:t xml:space="preserve"> </w:t>
      </w:r>
      <w:r w:rsidRPr="00A2302D">
        <w:rPr>
          <w:rFonts w:eastAsia="DengXian"/>
        </w:rPr>
        <w:t>p</w:t>
      </w:r>
      <w:r w:rsidRPr="00620794">
        <w:rPr>
          <w:rFonts w:ascii="Symbol" w:eastAsia="DengXian" w:hAnsi="Symbol"/>
        </w:rPr>
        <w:t></w:t>
      </w:r>
      <w:r w:rsidRPr="00620794">
        <w:rPr>
          <w:rFonts w:eastAsia="DengXian"/>
        </w:rPr>
        <w:t>0.05 was considered to be s</w:t>
      </w:r>
      <w:r w:rsidRPr="00620794">
        <w:rPr>
          <w:rFonts w:cs="Arial"/>
        </w:rPr>
        <w:t>tatistically significant.</w:t>
      </w:r>
    </w:p>
    <w:bookmarkEnd w:id="0"/>
    <w:p w14:paraId="029DDCEE" w14:textId="3915AF74" w:rsidR="00C106D3" w:rsidRDefault="00C106D3" w:rsidP="00C106D3"/>
    <w:p w14:paraId="0FF8BA61" w14:textId="5412C86B" w:rsidR="009A1673" w:rsidRDefault="009A1673" w:rsidP="00C106D3"/>
    <w:p w14:paraId="6F9F9F03" w14:textId="77777777" w:rsidR="009A1673" w:rsidRDefault="009A1673" w:rsidP="00C106D3"/>
    <w:p w14:paraId="23E7C90A" w14:textId="3B6244AD" w:rsidR="009A1673" w:rsidRPr="009A1673" w:rsidRDefault="009A1673" w:rsidP="00C106D3">
      <w:pPr>
        <w:rPr>
          <w:b/>
          <w:bCs/>
        </w:rPr>
      </w:pPr>
      <w:r w:rsidRPr="009A1673">
        <w:rPr>
          <w:b/>
          <w:bCs/>
        </w:rPr>
        <w:t>Reference</w:t>
      </w:r>
    </w:p>
    <w:p w14:paraId="341B9C69" w14:textId="77777777" w:rsidR="00D576CE" w:rsidRPr="00D576CE" w:rsidRDefault="009A1673" w:rsidP="00D576CE">
      <w:pPr>
        <w:pStyle w:val="EndNoteBibliography"/>
        <w:ind w:left="720" w:hanging="720"/>
      </w:pPr>
      <w:r>
        <w:fldChar w:fldCharType="begin"/>
      </w:r>
      <w:r>
        <w:instrText xml:space="preserve"> ADDIN EN.REFLIST </w:instrText>
      </w:r>
      <w:r>
        <w:fldChar w:fldCharType="separate"/>
      </w:r>
      <w:r w:rsidR="00D576CE" w:rsidRPr="00D576CE">
        <w:t>1</w:t>
      </w:r>
      <w:r w:rsidR="00D576CE" w:rsidRPr="00D576CE">
        <w:tab/>
        <w:t>Lum, L. G.</w:t>
      </w:r>
      <w:r w:rsidR="00D576CE" w:rsidRPr="00D576CE">
        <w:rPr>
          <w:i/>
        </w:rPr>
        <w:t xml:space="preserve"> et al.</w:t>
      </w:r>
      <w:r w:rsidR="00D576CE" w:rsidRPr="00D576CE">
        <w:t xml:space="preserve"> Clinical and immune responses to anti-CD3 x anti-EGFR bispecific antibody armed activated T cells (EGFR BATs) in pancreatic cancer patients. </w:t>
      </w:r>
      <w:r w:rsidR="00D576CE" w:rsidRPr="00D576CE">
        <w:rPr>
          <w:i/>
        </w:rPr>
        <w:t>Oncoimmunology</w:t>
      </w:r>
      <w:r w:rsidR="00D576CE" w:rsidRPr="00D576CE">
        <w:t xml:space="preserve"> </w:t>
      </w:r>
      <w:r w:rsidR="00D576CE" w:rsidRPr="00D576CE">
        <w:rPr>
          <w:b/>
        </w:rPr>
        <w:t>9</w:t>
      </w:r>
      <w:r w:rsidR="00D576CE" w:rsidRPr="00D576CE">
        <w:t>, 1773201, doi:10.1080/2162402X.2020.1773201 (2020).</w:t>
      </w:r>
    </w:p>
    <w:p w14:paraId="64C25F97" w14:textId="77777777" w:rsidR="00D576CE" w:rsidRPr="00D576CE" w:rsidRDefault="00D576CE" w:rsidP="00D576CE">
      <w:pPr>
        <w:pStyle w:val="EndNoteBibliography"/>
        <w:ind w:left="720" w:hanging="720"/>
      </w:pPr>
      <w:r w:rsidRPr="00D576CE">
        <w:t>2</w:t>
      </w:r>
      <w:r w:rsidRPr="00D576CE">
        <w:tab/>
        <w:t xml:space="preserve">Wang, Z., Chimenti, M. S., Strouse, C. &amp; Weiner, G. J. T cells, particularly activated CD4(+) cells, maintain anti-CD20-mediated NK cell viability and antibody dependent cellular cytotoxicity. </w:t>
      </w:r>
      <w:r w:rsidRPr="00D576CE">
        <w:rPr>
          <w:i/>
        </w:rPr>
        <w:t>Cancer Immunol Immunother</w:t>
      </w:r>
      <w:r w:rsidRPr="00D576CE">
        <w:t>, doi:10.1007/s00262-021-02976-7 (2021).</w:t>
      </w:r>
    </w:p>
    <w:p w14:paraId="666D773A" w14:textId="77777777" w:rsidR="00D576CE" w:rsidRPr="00D576CE" w:rsidRDefault="00D576CE" w:rsidP="00D576CE">
      <w:pPr>
        <w:pStyle w:val="EndNoteBibliography"/>
        <w:ind w:left="720" w:hanging="720"/>
      </w:pPr>
      <w:r w:rsidRPr="00D576CE">
        <w:t>3</w:t>
      </w:r>
      <w:r w:rsidRPr="00D576CE">
        <w:tab/>
        <w:t xml:space="preserve">Uzarski, J. S., DiVito, M. D., Wertheim, J. A. &amp; Miller, W. M. Essential design considerations for the resazurin reduction assay to noninvasively quantify cell expansion within perfused extracellular matrix scaffolds. </w:t>
      </w:r>
      <w:r w:rsidRPr="00D576CE">
        <w:rPr>
          <w:i/>
        </w:rPr>
        <w:t>Biomaterials</w:t>
      </w:r>
      <w:r w:rsidRPr="00D576CE">
        <w:t xml:space="preserve"> </w:t>
      </w:r>
      <w:r w:rsidRPr="00D576CE">
        <w:rPr>
          <w:b/>
        </w:rPr>
        <w:t>129</w:t>
      </w:r>
      <w:r w:rsidRPr="00D576CE">
        <w:t>, 163-175, doi:10.1016/j.biomaterials.2017.02.015 (2017).</w:t>
      </w:r>
    </w:p>
    <w:p w14:paraId="25158520" w14:textId="24E7A9E5" w:rsidR="006A546A" w:rsidRPr="00C106D3" w:rsidRDefault="009A1673" w:rsidP="00C106D3">
      <w:r>
        <w:fldChar w:fldCharType="end"/>
      </w:r>
      <w:bookmarkEnd w:id="1"/>
    </w:p>
    <w:sectPr w:rsidR="006A546A" w:rsidRPr="00C106D3">
      <w:pgSz w:w="11906" w:h="16838"/>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11CD37" w14:textId="77777777" w:rsidR="00013A81" w:rsidRDefault="00013A81" w:rsidP="009A1673">
      <w:r>
        <w:separator/>
      </w:r>
    </w:p>
  </w:endnote>
  <w:endnote w:type="continuationSeparator" w:id="0">
    <w:p w14:paraId="0A5D2CFE" w14:textId="77777777" w:rsidR="00013A81" w:rsidRDefault="00013A81" w:rsidP="009A1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Light">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AA6A60" w14:textId="77777777" w:rsidR="00013A81" w:rsidRDefault="00013A81" w:rsidP="009A1673">
      <w:r>
        <w:separator/>
      </w:r>
    </w:p>
  </w:footnote>
  <w:footnote w:type="continuationSeparator" w:id="0">
    <w:p w14:paraId="3BB78132" w14:textId="77777777" w:rsidR="00013A81" w:rsidRDefault="00013A81" w:rsidP="009A16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00ppatzap5vahew0voxfv5l95ae2a5raspa&quot;&gt;My EndNote Library&lt;record-ids&gt;&lt;item&gt;487&lt;/item&gt;&lt;item&gt;489&lt;/item&gt;&lt;item&gt;583&lt;/item&gt;&lt;/record-ids&gt;&lt;/item&gt;&lt;/Libraries&gt;"/>
  </w:docVars>
  <w:rsids>
    <w:rsidRoot w:val="005F18F1"/>
    <w:rsid w:val="00013A81"/>
    <w:rsid w:val="000A2C2D"/>
    <w:rsid w:val="000A4213"/>
    <w:rsid w:val="000D1652"/>
    <w:rsid w:val="000F26B8"/>
    <w:rsid w:val="002B3AF2"/>
    <w:rsid w:val="003533FD"/>
    <w:rsid w:val="004528FB"/>
    <w:rsid w:val="00466755"/>
    <w:rsid w:val="00482836"/>
    <w:rsid w:val="004D4D4D"/>
    <w:rsid w:val="005E4F13"/>
    <w:rsid w:val="005F18F1"/>
    <w:rsid w:val="00622083"/>
    <w:rsid w:val="00651A47"/>
    <w:rsid w:val="006A546A"/>
    <w:rsid w:val="007D4651"/>
    <w:rsid w:val="00857580"/>
    <w:rsid w:val="008E7933"/>
    <w:rsid w:val="009176FE"/>
    <w:rsid w:val="0095699C"/>
    <w:rsid w:val="00997FD2"/>
    <w:rsid w:val="009A1673"/>
    <w:rsid w:val="009D2913"/>
    <w:rsid w:val="00A251ED"/>
    <w:rsid w:val="00AC2576"/>
    <w:rsid w:val="00B026CC"/>
    <w:rsid w:val="00B16303"/>
    <w:rsid w:val="00B40523"/>
    <w:rsid w:val="00BB59B1"/>
    <w:rsid w:val="00BC57EC"/>
    <w:rsid w:val="00C106D3"/>
    <w:rsid w:val="00C10D5B"/>
    <w:rsid w:val="00D5733E"/>
    <w:rsid w:val="00D576CE"/>
    <w:rsid w:val="00D75B20"/>
    <w:rsid w:val="00D907BA"/>
    <w:rsid w:val="00DA37FB"/>
    <w:rsid w:val="00DD3F55"/>
    <w:rsid w:val="00E53AB7"/>
    <w:rsid w:val="00E57FCC"/>
    <w:rsid w:val="00E96694"/>
    <w:rsid w:val="00EE119F"/>
    <w:rsid w:val="00F56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B4A4F0"/>
  <w15:chartTrackingRefBased/>
  <w15:docId w15:val="{228E3F6B-539C-4049-A7FB-7455E47CF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18F1"/>
    <w:rPr>
      <w:rFonts w:ascii="Arial" w:hAnsi="Arial"/>
      <w:ker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673"/>
    <w:pPr>
      <w:tabs>
        <w:tab w:val="center" w:pos="4680"/>
        <w:tab w:val="right" w:pos="9360"/>
      </w:tabs>
    </w:pPr>
  </w:style>
  <w:style w:type="character" w:customStyle="1" w:styleId="HeaderChar">
    <w:name w:val="Header Char"/>
    <w:basedOn w:val="DefaultParagraphFont"/>
    <w:link w:val="Header"/>
    <w:uiPriority w:val="99"/>
    <w:rsid w:val="009A1673"/>
    <w:rPr>
      <w:rFonts w:ascii="Arial" w:hAnsi="Arial"/>
      <w:kern w:val="0"/>
      <w:sz w:val="24"/>
      <w:lang w:val="en-US"/>
    </w:rPr>
  </w:style>
  <w:style w:type="paragraph" w:styleId="Footer">
    <w:name w:val="footer"/>
    <w:basedOn w:val="Normal"/>
    <w:link w:val="FooterChar"/>
    <w:uiPriority w:val="99"/>
    <w:unhideWhenUsed/>
    <w:rsid w:val="009A1673"/>
    <w:pPr>
      <w:tabs>
        <w:tab w:val="center" w:pos="4680"/>
        <w:tab w:val="right" w:pos="9360"/>
      </w:tabs>
    </w:pPr>
  </w:style>
  <w:style w:type="character" w:customStyle="1" w:styleId="FooterChar">
    <w:name w:val="Footer Char"/>
    <w:basedOn w:val="DefaultParagraphFont"/>
    <w:link w:val="Footer"/>
    <w:uiPriority w:val="99"/>
    <w:rsid w:val="009A1673"/>
    <w:rPr>
      <w:rFonts w:ascii="Arial" w:hAnsi="Arial"/>
      <w:kern w:val="0"/>
      <w:sz w:val="24"/>
      <w:lang w:val="en-US"/>
    </w:rPr>
  </w:style>
  <w:style w:type="paragraph" w:customStyle="1" w:styleId="EndNoteBibliographyTitle">
    <w:name w:val="EndNote Bibliography Title"/>
    <w:basedOn w:val="Normal"/>
    <w:link w:val="EndNoteBibliographyTitleChar"/>
    <w:rsid w:val="009A1673"/>
    <w:pPr>
      <w:jc w:val="center"/>
    </w:pPr>
    <w:rPr>
      <w:rFonts w:cs="Arial"/>
      <w:noProof/>
    </w:rPr>
  </w:style>
  <w:style w:type="character" w:customStyle="1" w:styleId="EndNoteBibliographyTitleChar">
    <w:name w:val="EndNote Bibliography Title Char"/>
    <w:basedOn w:val="DefaultParagraphFont"/>
    <w:link w:val="EndNoteBibliographyTitle"/>
    <w:rsid w:val="009A1673"/>
    <w:rPr>
      <w:rFonts w:ascii="Arial" w:hAnsi="Arial" w:cs="Arial"/>
      <w:noProof/>
      <w:kern w:val="0"/>
      <w:sz w:val="24"/>
    </w:rPr>
  </w:style>
  <w:style w:type="paragraph" w:customStyle="1" w:styleId="EndNoteBibliography">
    <w:name w:val="EndNote Bibliography"/>
    <w:basedOn w:val="Normal"/>
    <w:link w:val="EndNoteBibliographyChar"/>
    <w:rsid w:val="009A1673"/>
    <w:rPr>
      <w:rFonts w:cs="Arial"/>
      <w:noProof/>
    </w:rPr>
  </w:style>
  <w:style w:type="character" w:customStyle="1" w:styleId="EndNoteBibliographyChar">
    <w:name w:val="EndNote Bibliography Char"/>
    <w:basedOn w:val="DefaultParagraphFont"/>
    <w:link w:val="EndNoteBibliography"/>
    <w:rsid w:val="009A1673"/>
    <w:rPr>
      <w:rFonts w:ascii="Arial" w:hAnsi="Arial" w:cs="Arial"/>
      <w:noProof/>
      <w:kern w:val="0"/>
      <w:sz w:val="24"/>
    </w:rPr>
  </w:style>
  <w:style w:type="paragraph" w:styleId="Revision">
    <w:name w:val="Revision"/>
    <w:hidden/>
    <w:uiPriority w:val="99"/>
    <w:semiHidden/>
    <w:rsid w:val="00AC2576"/>
    <w:rPr>
      <w:rFonts w:ascii="Arial" w:hAnsi="Arial"/>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751</Words>
  <Characters>4286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Zhaoming</dc:creator>
  <cp:keywords/>
  <dc:description/>
  <cp:lastModifiedBy>Caroline Rubince G.</cp:lastModifiedBy>
  <cp:revision>32</cp:revision>
  <dcterms:created xsi:type="dcterms:W3CDTF">2021-09-09T14:58:00Z</dcterms:created>
  <dcterms:modified xsi:type="dcterms:W3CDTF">2021-11-30T02:21:00Z</dcterms:modified>
</cp:coreProperties>
</file>