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D8E43" w14:textId="42B21EF5" w:rsidR="00053CEE" w:rsidRPr="00F675F8" w:rsidRDefault="00716A8E" w:rsidP="00716A8E">
      <w:pPr>
        <w:jc w:val="center"/>
        <w:rPr>
          <w:rFonts w:ascii="Times New Roman" w:hAnsi="Times New Roman" w:cs="Times New Roman"/>
          <w:b/>
          <w:bCs/>
          <w:color w:val="000000" w:themeColor="text1"/>
          <w:sz w:val="28"/>
          <w:szCs w:val="28"/>
          <w:lang w:val="en-US"/>
        </w:rPr>
      </w:pPr>
      <w:r w:rsidRPr="00F675F8">
        <w:rPr>
          <w:rFonts w:ascii="Times New Roman" w:hAnsi="Times New Roman" w:cs="Times New Roman"/>
          <w:b/>
          <w:bCs/>
          <w:color w:val="000000" w:themeColor="text1"/>
          <w:sz w:val="28"/>
          <w:szCs w:val="28"/>
          <w:lang w:val="en-US"/>
        </w:rPr>
        <w:t>Supplementary material</w:t>
      </w:r>
    </w:p>
    <w:p w14:paraId="465A7DF6" w14:textId="189F21DB" w:rsidR="00716A8E" w:rsidRPr="00F675F8" w:rsidRDefault="00716A8E" w:rsidP="00716A8E">
      <w:pPr>
        <w:jc w:val="both"/>
        <w:rPr>
          <w:rFonts w:ascii="Times New Roman" w:hAnsi="Times New Roman" w:cs="Times New Roman"/>
          <w:b/>
          <w:bCs/>
          <w:color w:val="000000" w:themeColor="text1"/>
          <w:sz w:val="28"/>
          <w:szCs w:val="28"/>
          <w:lang w:val="en-US"/>
        </w:rPr>
      </w:pPr>
    </w:p>
    <w:p w14:paraId="72B02918" w14:textId="6B256F15" w:rsidR="00716A8E" w:rsidRPr="00F675F8" w:rsidRDefault="00716A8E" w:rsidP="00716A8E">
      <w:pPr>
        <w:rPr>
          <w:color w:val="000000" w:themeColor="text1"/>
          <w:lang w:val="en-US"/>
        </w:rPr>
      </w:pPr>
    </w:p>
    <w:p w14:paraId="23B18049" w14:textId="77777777" w:rsidR="00B52502" w:rsidRPr="00F675F8" w:rsidRDefault="00B52502" w:rsidP="00716A8E">
      <w:pPr>
        <w:pStyle w:val="Cuerpo"/>
        <w:spacing w:after="120"/>
        <w:rPr>
          <w:rStyle w:val="Ninguno"/>
          <w:i/>
          <w:iCs/>
          <w:color w:val="000000" w:themeColor="text1"/>
        </w:rPr>
      </w:pPr>
    </w:p>
    <w:p w14:paraId="0A2E78E7" w14:textId="77777777" w:rsidR="00B52502" w:rsidRPr="00F675F8" w:rsidRDefault="00B52502" w:rsidP="00716A8E">
      <w:pPr>
        <w:pStyle w:val="Cuerpo"/>
        <w:spacing w:after="120"/>
        <w:rPr>
          <w:rStyle w:val="Ninguno"/>
          <w:i/>
          <w:iCs/>
          <w:color w:val="000000" w:themeColor="text1"/>
        </w:rPr>
      </w:pPr>
    </w:p>
    <w:p w14:paraId="56E513AC" w14:textId="1724D886" w:rsidR="00B52502" w:rsidRPr="00F675F8" w:rsidRDefault="00B52502" w:rsidP="00716A8E">
      <w:pPr>
        <w:pStyle w:val="Cuerpo"/>
        <w:spacing w:after="120"/>
        <w:rPr>
          <w:rStyle w:val="Ninguno"/>
          <w:color w:val="000000" w:themeColor="text1"/>
        </w:rPr>
      </w:pPr>
      <w:r w:rsidRPr="00F675F8">
        <w:rPr>
          <w:rStyle w:val="Ninguno"/>
          <w:color w:val="000000" w:themeColor="text1"/>
        </w:rPr>
        <w:t>Supplementary appendix provided by authors to</w:t>
      </w:r>
      <w:r w:rsidR="00C1573A" w:rsidRPr="00F675F8">
        <w:rPr>
          <w:rStyle w:val="Ninguno"/>
          <w:color w:val="000000" w:themeColor="text1"/>
        </w:rPr>
        <w:t xml:space="preserve"> give readers additional information about their work.</w:t>
      </w:r>
    </w:p>
    <w:p w14:paraId="258E8216" w14:textId="30B17C7B" w:rsidR="00716A8E" w:rsidRPr="00F675F8" w:rsidRDefault="00B52502" w:rsidP="00716A8E">
      <w:pPr>
        <w:pStyle w:val="Cuerpo"/>
        <w:spacing w:after="120"/>
        <w:rPr>
          <w:rStyle w:val="Ninguno"/>
          <w:color w:val="000000" w:themeColor="text1"/>
          <w:sz w:val="20"/>
          <w:szCs w:val="20"/>
        </w:rPr>
      </w:pPr>
      <w:r w:rsidRPr="00F675F8">
        <w:rPr>
          <w:rFonts w:cs="Times New Roman"/>
          <w:color w:val="000000" w:themeColor="text1"/>
          <w:sz w:val="20"/>
          <w:szCs w:val="20"/>
        </w:rPr>
        <w:t xml:space="preserve">Supplement to: </w:t>
      </w:r>
      <w:r w:rsidR="00716A8E" w:rsidRPr="00F675F8">
        <w:rPr>
          <w:rStyle w:val="Ninguno"/>
          <w:color w:val="000000" w:themeColor="text1"/>
          <w:sz w:val="20"/>
          <w:szCs w:val="20"/>
        </w:rPr>
        <w:t>Plitidepsin as</w:t>
      </w:r>
      <w:r w:rsidR="00F414FC" w:rsidRPr="00F675F8">
        <w:rPr>
          <w:rStyle w:val="Ninguno"/>
          <w:color w:val="000000" w:themeColor="text1"/>
          <w:sz w:val="20"/>
          <w:szCs w:val="20"/>
        </w:rPr>
        <w:t xml:space="preserve"> a</w:t>
      </w:r>
      <w:r w:rsidR="00716A8E" w:rsidRPr="00F675F8">
        <w:rPr>
          <w:rStyle w:val="Ninguno"/>
          <w:color w:val="000000" w:themeColor="text1"/>
          <w:sz w:val="20"/>
          <w:szCs w:val="20"/>
        </w:rPr>
        <w:t xml:space="preserve"> successful rescue treatment for prolonged viral SARS-CoV-2 replication in a patient with previous anti-CD20 monoclonal antibody-mediated B cell depletion and chronic lymphocytic leukemia</w:t>
      </w:r>
      <w:r w:rsidR="004639FC" w:rsidRPr="00F675F8">
        <w:rPr>
          <w:rStyle w:val="Ninguno"/>
          <w:color w:val="000000" w:themeColor="text1"/>
          <w:sz w:val="20"/>
          <w:szCs w:val="20"/>
        </w:rPr>
        <w:t>.</w:t>
      </w:r>
    </w:p>
    <w:p w14:paraId="16237217" w14:textId="5E26849B" w:rsidR="00B52502" w:rsidRPr="00F675F8" w:rsidRDefault="00B52502">
      <w:pPr>
        <w:rPr>
          <w:color w:val="000000" w:themeColor="text1"/>
          <w:lang w:val="en-US"/>
        </w:rPr>
      </w:pPr>
      <w:r w:rsidRPr="00F675F8">
        <w:rPr>
          <w:color w:val="000000" w:themeColor="text1"/>
          <w:lang w:val="en-US"/>
        </w:rPr>
        <w:br w:type="page"/>
      </w:r>
    </w:p>
    <w:p w14:paraId="0B7DD9EC" w14:textId="6BDA4883" w:rsidR="00B52502" w:rsidRPr="00F675F8" w:rsidRDefault="00B52502" w:rsidP="00B52502">
      <w:pPr>
        <w:autoSpaceDE w:val="0"/>
        <w:autoSpaceDN w:val="0"/>
        <w:adjustRightInd w:val="0"/>
        <w:rPr>
          <w:rFonts w:ascii="Times New Roman" w:hAnsi="Times New Roman" w:cs="Times New Roman"/>
          <w:b/>
          <w:bCs/>
          <w:color w:val="000000" w:themeColor="text1"/>
          <w:sz w:val="22"/>
          <w:szCs w:val="22"/>
          <w:lang w:val="en-US"/>
        </w:rPr>
      </w:pPr>
      <w:r w:rsidRPr="00F675F8">
        <w:rPr>
          <w:rFonts w:ascii="Times New Roman" w:hAnsi="Times New Roman" w:cs="Times New Roman"/>
          <w:b/>
          <w:bCs/>
          <w:color w:val="000000" w:themeColor="text1"/>
          <w:sz w:val="22"/>
          <w:szCs w:val="22"/>
          <w:lang w:val="en-US"/>
        </w:rPr>
        <w:lastRenderedPageBreak/>
        <w:t>Supplemental Material</w:t>
      </w:r>
    </w:p>
    <w:p w14:paraId="49BED559" w14:textId="390BA238" w:rsidR="00B52502" w:rsidRPr="00F675F8" w:rsidRDefault="00B52502" w:rsidP="00B52502">
      <w:pPr>
        <w:autoSpaceDE w:val="0"/>
        <w:autoSpaceDN w:val="0"/>
        <w:adjustRightInd w:val="0"/>
        <w:rPr>
          <w:rFonts w:ascii="Times New Roman" w:hAnsi="Times New Roman" w:cs="Times New Roman"/>
          <w:color w:val="000000" w:themeColor="text1"/>
          <w:sz w:val="22"/>
          <w:szCs w:val="22"/>
          <w:lang w:val="en-US"/>
        </w:rPr>
      </w:pPr>
    </w:p>
    <w:p w14:paraId="0E5B0947" w14:textId="557F8E7B" w:rsidR="00B52502" w:rsidRPr="00F675F8" w:rsidRDefault="00B52502" w:rsidP="00B52502">
      <w:pPr>
        <w:autoSpaceDE w:val="0"/>
        <w:autoSpaceDN w:val="0"/>
        <w:adjustRightInd w:val="0"/>
        <w:rPr>
          <w:rFonts w:ascii="Times New Roman" w:hAnsi="Times New Roman" w:cs="Times New Roman"/>
          <w:color w:val="000000" w:themeColor="text1"/>
          <w:sz w:val="22"/>
          <w:szCs w:val="22"/>
          <w:lang w:val="en-US"/>
        </w:rPr>
      </w:pPr>
    </w:p>
    <w:p w14:paraId="1989EC89" w14:textId="77777777" w:rsidR="00B52502" w:rsidRPr="00F675F8" w:rsidRDefault="00B52502" w:rsidP="00B52502">
      <w:pPr>
        <w:autoSpaceDE w:val="0"/>
        <w:autoSpaceDN w:val="0"/>
        <w:adjustRightInd w:val="0"/>
        <w:rPr>
          <w:rFonts w:ascii="Times New Roman" w:hAnsi="Times New Roman" w:cs="Times New Roman"/>
          <w:color w:val="000000" w:themeColor="text1"/>
          <w:sz w:val="21"/>
          <w:szCs w:val="21"/>
          <w:lang w:val="en-US"/>
        </w:rPr>
      </w:pPr>
    </w:p>
    <w:p w14:paraId="761DE11D" w14:textId="5B44142B" w:rsidR="00B52502" w:rsidRPr="00480046" w:rsidRDefault="00B52502" w:rsidP="00B52502">
      <w:pPr>
        <w:autoSpaceDE w:val="0"/>
        <w:autoSpaceDN w:val="0"/>
        <w:adjustRightInd w:val="0"/>
        <w:rPr>
          <w:rFonts w:ascii="Times New Roman" w:hAnsi="Times New Roman" w:cs="Times New Roman"/>
          <w:color w:val="000000" w:themeColor="text1"/>
          <w:sz w:val="22"/>
          <w:szCs w:val="22"/>
          <w:lang w:val="en-US"/>
        </w:rPr>
      </w:pPr>
      <w:r w:rsidRPr="00480046">
        <w:rPr>
          <w:rFonts w:ascii="Times New Roman" w:hAnsi="Times New Roman" w:cs="Times New Roman"/>
          <w:color w:val="000000" w:themeColor="text1"/>
          <w:sz w:val="22"/>
          <w:szCs w:val="22"/>
          <w:lang w:val="en-US"/>
        </w:rPr>
        <w:t>Table of Contents</w:t>
      </w:r>
    </w:p>
    <w:p w14:paraId="5DC68BA3" w14:textId="24E7DA23" w:rsidR="00B52502" w:rsidRPr="00F675F8" w:rsidRDefault="00B52502" w:rsidP="00B52502">
      <w:pPr>
        <w:autoSpaceDE w:val="0"/>
        <w:autoSpaceDN w:val="0"/>
        <w:adjustRightInd w:val="0"/>
        <w:rPr>
          <w:rFonts w:ascii="Times New Roman" w:hAnsi="Times New Roman" w:cs="Times New Roman"/>
          <w:color w:val="000000" w:themeColor="text1"/>
          <w:sz w:val="21"/>
          <w:szCs w:val="21"/>
          <w:lang w:val="en-US"/>
        </w:rPr>
      </w:pPr>
    </w:p>
    <w:p w14:paraId="6DA83619" w14:textId="77777777" w:rsidR="00B52502" w:rsidRPr="00F675F8" w:rsidRDefault="00B52502" w:rsidP="00B52502">
      <w:pPr>
        <w:autoSpaceDE w:val="0"/>
        <w:autoSpaceDN w:val="0"/>
        <w:adjustRightInd w:val="0"/>
        <w:rPr>
          <w:rFonts w:ascii="Times New Roman" w:hAnsi="Times New Roman" w:cs="Times New Roman"/>
          <w:color w:val="000000" w:themeColor="text1"/>
          <w:sz w:val="21"/>
          <w:szCs w:val="21"/>
          <w:lang w:val="en-US"/>
        </w:rPr>
      </w:pPr>
    </w:p>
    <w:p w14:paraId="73520015" w14:textId="64331F75" w:rsidR="00B52502" w:rsidRPr="00480046" w:rsidRDefault="00B52502" w:rsidP="00480046">
      <w:pPr>
        <w:autoSpaceDE w:val="0"/>
        <w:autoSpaceDN w:val="0"/>
        <w:adjustRightInd w:val="0"/>
        <w:rPr>
          <w:rFonts w:ascii="Times New Roman" w:hAnsi="Times New Roman" w:cs="Times New Roman"/>
          <w:color w:val="000000" w:themeColor="text1"/>
          <w:sz w:val="21"/>
          <w:szCs w:val="21"/>
          <w:lang w:val="en-US"/>
        </w:rPr>
      </w:pPr>
      <w:r w:rsidRPr="00480046">
        <w:rPr>
          <w:rFonts w:ascii="Times New Roman" w:hAnsi="Times New Roman" w:cs="Times New Roman"/>
          <w:color w:val="000000" w:themeColor="text1"/>
          <w:sz w:val="21"/>
          <w:szCs w:val="21"/>
          <w:lang w:val="en-US"/>
        </w:rPr>
        <w:t xml:space="preserve">Methods……………………………………………………………………………………. Page </w:t>
      </w:r>
      <w:r w:rsidR="002A6B6B" w:rsidRPr="00480046">
        <w:rPr>
          <w:rFonts w:ascii="Times New Roman" w:hAnsi="Times New Roman" w:cs="Times New Roman"/>
          <w:color w:val="000000" w:themeColor="text1"/>
          <w:sz w:val="21"/>
          <w:szCs w:val="21"/>
          <w:lang w:val="en-US"/>
        </w:rPr>
        <w:t>3</w:t>
      </w:r>
    </w:p>
    <w:p w14:paraId="5B5BEB18" w14:textId="77777777" w:rsidR="00107641" w:rsidRPr="00480046" w:rsidRDefault="00107641" w:rsidP="00480046">
      <w:pPr>
        <w:autoSpaceDE w:val="0"/>
        <w:autoSpaceDN w:val="0"/>
        <w:adjustRightInd w:val="0"/>
        <w:rPr>
          <w:rFonts w:ascii="Times New Roman" w:hAnsi="Times New Roman" w:cs="Times New Roman"/>
          <w:b/>
          <w:bCs/>
          <w:color w:val="000000" w:themeColor="text1"/>
          <w:sz w:val="21"/>
          <w:szCs w:val="21"/>
          <w:lang w:val="en-US"/>
        </w:rPr>
      </w:pPr>
    </w:p>
    <w:p w14:paraId="1253E74D" w14:textId="3AFFEEA1" w:rsidR="00107641" w:rsidRPr="00480046" w:rsidRDefault="00107641" w:rsidP="00480046">
      <w:pPr>
        <w:autoSpaceDE w:val="0"/>
        <w:autoSpaceDN w:val="0"/>
        <w:adjustRightInd w:val="0"/>
        <w:rPr>
          <w:rFonts w:ascii="Times New Roman" w:hAnsi="Times New Roman" w:cs="Times New Roman"/>
          <w:color w:val="000000" w:themeColor="text1"/>
          <w:sz w:val="21"/>
          <w:szCs w:val="21"/>
          <w:lang w:val="en-US"/>
        </w:rPr>
      </w:pPr>
      <w:r w:rsidRPr="00480046">
        <w:rPr>
          <w:rFonts w:ascii="Times New Roman" w:hAnsi="Times New Roman" w:cs="Times New Roman"/>
          <w:color w:val="000000" w:themeColor="text1"/>
          <w:sz w:val="21"/>
          <w:szCs w:val="21"/>
          <w:lang w:val="en-US"/>
        </w:rPr>
        <w:t>Summarize of therapies prescribed to the patient before using plitidepsin against COVID-19…………………………………………………………………………………………</w:t>
      </w:r>
      <w:r w:rsidR="00480046">
        <w:rPr>
          <w:rFonts w:ascii="Times New Roman" w:hAnsi="Times New Roman" w:cs="Times New Roman"/>
          <w:color w:val="000000" w:themeColor="text1"/>
          <w:sz w:val="21"/>
          <w:szCs w:val="21"/>
          <w:lang w:val="en-US"/>
        </w:rPr>
        <w:t>…</w:t>
      </w:r>
      <w:r w:rsidRPr="00480046">
        <w:rPr>
          <w:rFonts w:ascii="Times New Roman" w:hAnsi="Times New Roman" w:cs="Times New Roman"/>
          <w:color w:val="000000" w:themeColor="text1"/>
          <w:sz w:val="21"/>
          <w:szCs w:val="21"/>
          <w:lang w:val="en-US"/>
        </w:rPr>
        <w:t xml:space="preserve">Page </w:t>
      </w:r>
      <w:r w:rsidR="00480046" w:rsidRPr="00480046">
        <w:rPr>
          <w:rFonts w:ascii="Times New Roman" w:hAnsi="Times New Roman" w:cs="Times New Roman"/>
          <w:color w:val="000000" w:themeColor="text1"/>
          <w:sz w:val="21"/>
          <w:szCs w:val="21"/>
          <w:lang w:val="en-US"/>
        </w:rPr>
        <w:t>5</w:t>
      </w:r>
    </w:p>
    <w:p w14:paraId="184AC138" w14:textId="77777777" w:rsidR="00107641" w:rsidRPr="00480046" w:rsidRDefault="00107641" w:rsidP="00480046">
      <w:pPr>
        <w:autoSpaceDE w:val="0"/>
        <w:autoSpaceDN w:val="0"/>
        <w:adjustRightInd w:val="0"/>
        <w:rPr>
          <w:rFonts w:ascii="Times New Roman" w:hAnsi="Times New Roman" w:cs="Times New Roman"/>
          <w:color w:val="000000" w:themeColor="text1"/>
          <w:sz w:val="21"/>
          <w:szCs w:val="21"/>
          <w:lang w:val="en-US"/>
        </w:rPr>
      </w:pPr>
    </w:p>
    <w:p w14:paraId="1A927295" w14:textId="3640DE79" w:rsidR="00107641" w:rsidRPr="00480046" w:rsidRDefault="00107641" w:rsidP="00480046">
      <w:pPr>
        <w:autoSpaceDE w:val="0"/>
        <w:autoSpaceDN w:val="0"/>
        <w:adjustRightInd w:val="0"/>
        <w:rPr>
          <w:rFonts w:ascii="Times New Roman" w:hAnsi="Times New Roman" w:cs="Times New Roman"/>
          <w:color w:val="000000" w:themeColor="text1"/>
          <w:sz w:val="21"/>
          <w:szCs w:val="21"/>
          <w:lang w:val="en-US"/>
        </w:rPr>
      </w:pPr>
      <w:r w:rsidRPr="00480046">
        <w:rPr>
          <w:rFonts w:ascii="Times New Roman" w:hAnsi="Times New Roman" w:cs="Times New Roman"/>
          <w:color w:val="000000" w:themeColor="text1"/>
          <w:sz w:val="21"/>
          <w:szCs w:val="21"/>
          <w:lang w:val="en-US"/>
        </w:rPr>
        <w:t>Clinical complications during hospital admission…………………………………………</w:t>
      </w:r>
      <w:r w:rsidR="00480046">
        <w:rPr>
          <w:rFonts w:ascii="Times New Roman" w:hAnsi="Times New Roman" w:cs="Times New Roman"/>
          <w:color w:val="000000" w:themeColor="text1"/>
          <w:sz w:val="21"/>
          <w:szCs w:val="21"/>
          <w:lang w:val="en-US"/>
        </w:rPr>
        <w:t xml:space="preserve">. </w:t>
      </w:r>
      <w:r w:rsidRPr="00480046">
        <w:rPr>
          <w:rFonts w:ascii="Times New Roman" w:hAnsi="Times New Roman" w:cs="Times New Roman"/>
          <w:color w:val="000000" w:themeColor="text1"/>
          <w:sz w:val="21"/>
          <w:szCs w:val="21"/>
          <w:lang w:val="en-US"/>
        </w:rPr>
        <w:t xml:space="preserve">Page </w:t>
      </w:r>
      <w:r w:rsidR="00480046" w:rsidRPr="00480046">
        <w:rPr>
          <w:rFonts w:ascii="Times New Roman" w:hAnsi="Times New Roman" w:cs="Times New Roman"/>
          <w:color w:val="000000" w:themeColor="text1"/>
          <w:sz w:val="21"/>
          <w:szCs w:val="21"/>
          <w:lang w:val="en-US"/>
        </w:rPr>
        <w:t>6</w:t>
      </w:r>
    </w:p>
    <w:p w14:paraId="6A003E95" w14:textId="77777777" w:rsidR="00480046" w:rsidRPr="00480046" w:rsidRDefault="00480046" w:rsidP="00480046">
      <w:pPr>
        <w:autoSpaceDE w:val="0"/>
        <w:autoSpaceDN w:val="0"/>
        <w:adjustRightInd w:val="0"/>
        <w:rPr>
          <w:rFonts w:ascii="Times New Roman" w:hAnsi="Times New Roman" w:cs="Times New Roman"/>
          <w:color w:val="000000" w:themeColor="text1"/>
          <w:sz w:val="21"/>
          <w:szCs w:val="21"/>
          <w:lang w:val="en-US"/>
        </w:rPr>
      </w:pPr>
    </w:p>
    <w:p w14:paraId="5EE8B74F" w14:textId="2DCD9D6C" w:rsidR="002A6B6B" w:rsidRPr="00480046" w:rsidRDefault="00480046" w:rsidP="00480046">
      <w:pPr>
        <w:spacing w:after="120" w:line="480" w:lineRule="auto"/>
        <w:rPr>
          <w:rFonts w:ascii="Times New Roman" w:hAnsi="Times New Roman" w:cs="Times New Roman"/>
          <w:color w:val="000000" w:themeColor="text1"/>
          <w:sz w:val="21"/>
          <w:szCs w:val="21"/>
          <w:lang w:val="en-US"/>
        </w:rPr>
      </w:pPr>
      <w:r w:rsidRPr="00480046">
        <w:rPr>
          <w:rFonts w:ascii="Times New Roman" w:hAnsi="Times New Roman" w:cs="Times New Roman"/>
          <w:color w:val="000000" w:themeColor="text1"/>
          <w:sz w:val="21"/>
          <w:szCs w:val="21"/>
          <w:lang w:val="en-US"/>
        </w:rPr>
        <w:t>Preliminary safety data of plitidepsin</w:t>
      </w:r>
      <w:r w:rsidRPr="00480046">
        <w:rPr>
          <w:rFonts w:ascii="Times New Roman" w:hAnsi="Times New Roman" w:cs="Times New Roman"/>
          <w:color w:val="000000" w:themeColor="text1"/>
          <w:sz w:val="21"/>
          <w:szCs w:val="21"/>
          <w:lang w:val="en-US"/>
        </w:rPr>
        <w:t>……………………………………………………</w:t>
      </w:r>
      <w:r>
        <w:rPr>
          <w:rFonts w:ascii="Times New Roman" w:hAnsi="Times New Roman" w:cs="Times New Roman"/>
          <w:color w:val="000000" w:themeColor="text1"/>
          <w:sz w:val="21"/>
          <w:szCs w:val="21"/>
          <w:lang w:val="en-US"/>
        </w:rPr>
        <w:t xml:space="preserve">…. </w:t>
      </w:r>
      <w:r w:rsidRPr="00480046">
        <w:rPr>
          <w:rFonts w:ascii="Times New Roman" w:hAnsi="Times New Roman" w:cs="Times New Roman"/>
          <w:color w:val="000000" w:themeColor="text1"/>
          <w:sz w:val="21"/>
          <w:szCs w:val="21"/>
          <w:lang w:val="en-US"/>
        </w:rPr>
        <w:t>Page 7</w:t>
      </w:r>
    </w:p>
    <w:p w14:paraId="0BEA7A5F" w14:textId="0CD604F9" w:rsidR="00480046" w:rsidRPr="00480046" w:rsidRDefault="00480046" w:rsidP="00480046">
      <w:pPr>
        <w:spacing w:after="120" w:line="480" w:lineRule="auto"/>
        <w:rPr>
          <w:rFonts w:ascii="Times New Roman" w:hAnsi="Times New Roman" w:cs="Times New Roman"/>
          <w:color w:val="000000" w:themeColor="text1"/>
          <w:sz w:val="21"/>
          <w:szCs w:val="21"/>
          <w:lang w:val="en-US"/>
        </w:rPr>
      </w:pPr>
      <w:r w:rsidRPr="00480046">
        <w:rPr>
          <w:rFonts w:ascii="Times New Roman" w:hAnsi="Times New Roman" w:cs="Times New Roman"/>
          <w:color w:val="000000" w:themeColor="text1"/>
          <w:sz w:val="21"/>
          <w:szCs w:val="21"/>
          <w:lang w:val="en-US"/>
        </w:rPr>
        <w:t>Further considerations</w:t>
      </w:r>
      <w:r w:rsidRPr="00480046">
        <w:rPr>
          <w:rFonts w:ascii="Times New Roman" w:hAnsi="Times New Roman" w:cs="Times New Roman"/>
          <w:color w:val="000000" w:themeColor="text1"/>
          <w:sz w:val="21"/>
          <w:szCs w:val="21"/>
          <w:lang w:val="en-US"/>
        </w:rPr>
        <w:t>……………………………………………………………………</w:t>
      </w:r>
      <w:r>
        <w:rPr>
          <w:rFonts w:ascii="Times New Roman" w:hAnsi="Times New Roman" w:cs="Times New Roman"/>
          <w:color w:val="000000" w:themeColor="text1"/>
          <w:sz w:val="21"/>
          <w:szCs w:val="21"/>
          <w:lang w:val="en-US"/>
        </w:rPr>
        <w:t>...</w:t>
      </w:r>
      <w:r w:rsidRPr="00480046">
        <w:rPr>
          <w:rFonts w:ascii="Times New Roman" w:hAnsi="Times New Roman" w:cs="Times New Roman"/>
          <w:color w:val="000000" w:themeColor="text1"/>
          <w:sz w:val="21"/>
          <w:szCs w:val="21"/>
          <w:lang w:val="en-US"/>
        </w:rPr>
        <w:t>. Page 8</w:t>
      </w:r>
    </w:p>
    <w:p w14:paraId="2BDA0ADC" w14:textId="245B94E2" w:rsidR="00B52502" w:rsidRPr="00480046" w:rsidRDefault="002A6B6B" w:rsidP="00480046">
      <w:pPr>
        <w:autoSpaceDE w:val="0"/>
        <w:autoSpaceDN w:val="0"/>
        <w:adjustRightInd w:val="0"/>
        <w:rPr>
          <w:rFonts w:ascii="Times New Roman" w:hAnsi="Times New Roman" w:cs="Times New Roman"/>
          <w:color w:val="000000" w:themeColor="text1"/>
          <w:sz w:val="21"/>
          <w:szCs w:val="21"/>
          <w:lang w:val="en-US"/>
        </w:rPr>
      </w:pPr>
      <w:r w:rsidRPr="00480046">
        <w:rPr>
          <w:rFonts w:ascii="Times New Roman" w:hAnsi="Times New Roman" w:cs="Times New Roman"/>
          <w:color w:val="000000" w:themeColor="text1"/>
          <w:sz w:val="21"/>
          <w:szCs w:val="21"/>
          <w:lang w:val="en-US"/>
        </w:rPr>
        <w:t>Table 1S</w:t>
      </w:r>
      <w:r w:rsidR="00B52502" w:rsidRPr="00480046">
        <w:rPr>
          <w:rFonts w:ascii="Times New Roman" w:hAnsi="Times New Roman" w:cs="Times New Roman"/>
          <w:color w:val="000000" w:themeColor="text1"/>
          <w:sz w:val="21"/>
          <w:szCs w:val="21"/>
          <w:lang w:val="en-US"/>
        </w:rPr>
        <w:t>……………………………………………………………………………………</w:t>
      </w:r>
      <w:r w:rsidR="00480046">
        <w:rPr>
          <w:rFonts w:ascii="Times New Roman" w:hAnsi="Times New Roman" w:cs="Times New Roman"/>
          <w:color w:val="000000" w:themeColor="text1"/>
          <w:sz w:val="21"/>
          <w:szCs w:val="21"/>
          <w:lang w:val="en-US"/>
        </w:rPr>
        <w:t>.</w:t>
      </w:r>
      <w:r w:rsidR="00B52502" w:rsidRPr="00480046">
        <w:rPr>
          <w:rFonts w:ascii="Times New Roman" w:hAnsi="Times New Roman" w:cs="Times New Roman"/>
          <w:color w:val="000000" w:themeColor="text1"/>
          <w:sz w:val="21"/>
          <w:szCs w:val="21"/>
          <w:lang w:val="en-US"/>
        </w:rPr>
        <w:t xml:space="preserve"> Page </w:t>
      </w:r>
      <w:r w:rsidR="00480046" w:rsidRPr="00480046">
        <w:rPr>
          <w:rFonts w:ascii="Times New Roman" w:hAnsi="Times New Roman" w:cs="Times New Roman"/>
          <w:color w:val="000000" w:themeColor="text1"/>
          <w:sz w:val="21"/>
          <w:szCs w:val="21"/>
          <w:lang w:val="en-US"/>
        </w:rPr>
        <w:t>10</w:t>
      </w:r>
    </w:p>
    <w:p w14:paraId="7BACEC0D" w14:textId="77777777" w:rsidR="002A6B6B" w:rsidRPr="00480046" w:rsidRDefault="002A6B6B" w:rsidP="00480046">
      <w:pPr>
        <w:autoSpaceDE w:val="0"/>
        <w:autoSpaceDN w:val="0"/>
        <w:adjustRightInd w:val="0"/>
        <w:rPr>
          <w:rFonts w:ascii="Times New Roman" w:hAnsi="Times New Roman" w:cs="Times New Roman"/>
          <w:color w:val="000000" w:themeColor="text1"/>
          <w:sz w:val="21"/>
          <w:szCs w:val="21"/>
          <w:lang w:val="en-US"/>
        </w:rPr>
      </w:pPr>
    </w:p>
    <w:p w14:paraId="66DF5CAE" w14:textId="180BF025" w:rsidR="00B52502" w:rsidRPr="00480046" w:rsidRDefault="00B52502" w:rsidP="00480046">
      <w:pPr>
        <w:autoSpaceDE w:val="0"/>
        <w:autoSpaceDN w:val="0"/>
        <w:adjustRightInd w:val="0"/>
        <w:rPr>
          <w:rFonts w:ascii="Times New Roman" w:hAnsi="Times New Roman" w:cs="Times New Roman"/>
          <w:color w:val="000000" w:themeColor="text1"/>
          <w:sz w:val="21"/>
          <w:szCs w:val="21"/>
          <w:lang w:val="en-US"/>
        </w:rPr>
      </w:pPr>
      <w:r w:rsidRPr="00480046">
        <w:rPr>
          <w:rFonts w:ascii="Times New Roman" w:hAnsi="Times New Roman" w:cs="Times New Roman"/>
          <w:color w:val="000000" w:themeColor="text1"/>
          <w:sz w:val="21"/>
          <w:szCs w:val="21"/>
          <w:lang w:val="en-US"/>
        </w:rPr>
        <w:t xml:space="preserve">Table </w:t>
      </w:r>
      <w:r w:rsidR="002A6B6B" w:rsidRPr="00480046">
        <w:rPr>
          <w:rFonts w:ascii="Times New Roman" w:hAnsi="Times New Roman" w:cs="Times New Roman"/>
          <w:color w:val="000000" w:themeColor="text1"/>
          <w:sz w:val="21"/>
          <w:szCs w:val="21"/>
          <w:lang w:val="en-US"/>
        </w:rPr>
        <w:t xml:space="preserve">2S </w:t>
      </w:r>
      <w:r w:rsidRPr="00480046">
        <w:rPr>
          <w:rFonts w:ascii="Times New Roman" w:hAnsi="Times New Roman" w:cs="Times New Roman"/>
          <w:color w:val="000000" w:themeColor="text1"/>
          <w:sz w:val="21"/>
          <w:szCs w:val="21"/>
          <w:lang w:val="en-US"/>
        </w:rPr>
        <w:t xml:space="preserve">…………………………………………………………………………………… Page </w:t>
      </w:r>
      <w:r w:rsidR="00480046" w:rsidRPr="00480046">
        <w:rPr>
          <w:rFonts w:ascii="Times New Roman" w:hAnsi="Times New Roman" w:cs="Times New Roman"/>
          <w:color w:val="000000" w:themeColor="text1"/>
          <w:sz w:val="21"/>
          <w:szCs w:val="21"/>
          <w:lang w:val="en-US"/>
        </w:rPr>
        <w:t>11</w:t>
      </w:r>
    </w:p>
    <w:p w14:paraId="6253C8F7" w14:textId="77777777" w:rsidR="002A6B6B" w:rsidRPr="00480046" w:rsidRDefault="002A6B6B" w:rsidP="00480046">
      <w:pPr>
        <w:autoSpaceDE w:val="0"/>
        <w:autoSpaceDN w:val="0"/>
        <w:adjustRightInd w:val="0"/>
        <w:rPr>
          <w:rFonts w:ascii="Times New Roman" w:hAnsi="Times New Roman" w:cs="Times New Roman"/>
          <w:color w:val="000000" w:themeColor="text1"/>
          <w:sz w:val="21"/>
          <w:szCs w:val="21"/>
          <w:lang w:val="en-US"/>
        </w:rPr>
      </w:pPr>
    </w:p>
    <w:p w14:paraId="61F58FD8" w14:textId="56A2DA2D" w:rsidR="002A6B6B" w:rsidRPr="00480046" w:rsidRDefault="002A6B6B" w:rsidP="00480046">
      <w:pPr>
        <w:autoSpaceDE w:val="0"/>
        <w:autoSpaceDN w:val="0"/>
        <w:adjustRightInd w:val="0"/>
        <w:rPr>
          <w:rFonts w:ascii="Times New Roman" w:hAnsi="Times New Roman" w:cs="Times New Roman"/>
          <w:color w:val="000000" w:themeColor="text1"/>
          <w:sz w:val="21"/>
          <w:szCs w:val="21"/>
          <w:lang w:val="en-US"/>
        </w:rPr>
      </w:pPr>
      <w:r w:rsidRPr="00480046">
        <w:rPr>
          <w:rFonts w:ascii="Times New Roman" w:hAnsi="Times New Roman" w:cs="Times New Roman"/>
          <w:color w:val="000000" w:themeColor="text1"/>
          <w:sz w:val="21"/>
          <w:szCs w:val="21"/>
          <w:lang w:val="en-US"/>
        </w:rPr>
        <w:t xml:space="preserve">Table 3S …………………………………………………………………………………… Page </w:t>
      </w:r>
      <w:r w:rsidR="00480046" w:rsidRPr="00480046">
        <w:rPr>
          <w:rFonts w:ascii="Times New Roman" w:hAnsi="Times New Roman" w:cs="Times New Roman"/>
          <w:color w:val="000000" w:themeColor="text1"/>
          <w:sz w:val="21"/>
          <w:szCs w:val="21"/>
          <w:lang w:val="en-US"/>
        </w:rPr>
        <w:t>12</w:t>
      </w:r>
    </w:p>
    <w:p w14:paraId="2EA84839" w14:textId="77777777" w:rsidR="002A6B6B" w:rsidRPr="00480046" w:rsidRDefault="002A6B6B" w:rsidP="00480046">
      <w:pPr>
        <w:autoSpaceDE w:val="0"/>
        <w:autoSpaceDN w:val="0"/>
        <w:adjustRightInd w:val="0"/>
        <w:rPr>
          <w:rFonts w:ascii="Times New Roman" w:hAnsi="Times New Roman" w:cs="Times New Roman"/>
          <w:color w:val="000000" w:themeColor="text1"/>
          <w:sz w:val="21"/>
          <w:szCs w:val="21"/>
          <w:lang w:val="en-US"/>
        </w:rPr>
      </w:pPr>
    </w:p>
    <w:p w14:paraId="627EB824" w14:textId="5CE1F724" w:rsidR="002A6B6B" w:rsidRPr="00480046" w:rsidRDefault="002A6B6B" w:rsidP="00480046">
      <w:pPr>
        <w:autoSpaceDE w:val="0"/>
        <w:autoSpaceDN w:val="0"/>
        <w:adjustRightInd w:val="0"/>
        <w:rPr>
          <w:rFonts w:ascii="Times New Roman" w:hAnsi="Times New Roman" w:cs="Times New Roman"/>
          <w:color w:val="000000" w:themeColor="text1"/>
          <w:sz w:val="21"/>
          <w:szCs w:val="21"/>
          <w:lang w:val="en-US"/>
        </w:rPr>
      </w:pPr>
      <w:r w:rsidRPr="00480046">
        <w:rPr>
          <w:rFonts w:ascii="Times New Roman" w:hAnsi="Times New Roman" w:cs="Times New Roman"/>
          <w:color w:val="000000" w:themeColor="text1"/>
          <w:sz w:val="21"/>
          <w:szCs w:val="21"/>
          <w:lang w:val="en-US"/>
        </w:rPr>
        <w:t>Table 4S ……………………………………………………………………………………</w:t>
      </w:r>
      <w:r w:rsidR="00480046">
        <w:rPr>
          <w:rFonts w:ascii="Times New Roman" w:hAnsi="Times New Roman" w:cs="Times New Roman"/>
          <w:color w:val="000000" w:themeColor="text1"/>
          <w:sz w:val="21"/>
          <w:szCs w:val="21"/>
          <w:lang w:val="en-US"/>
        </w:rPr>
        <w:t xml:space="preserve">. </w:t>
      </w:r>
      <w:r w:rsidRPr="00480046">
        <w:rPr>
          <w:rFonts w:ascii="Times New Roman" w:hAnsi="Times New Roman" w:cs="Times New Roman"/>
          <w:color w:val="000000" w:themeColor="text1"/>
          <w:sz w:val="21"/>
          <w:szCs w:val="21"/>
          <w:lang w:val="en-US"/>
        </w:rPr>
        <w:t xml:space="preserve">Page </w:t>
      </w:r>
      <w:r w:rsidR="00480046" w:rsidRPr="00480046">
        <w:rPr>
          <w:rFonts w:ascii="Times New Roman" w:hAnsi="Times New Roman" w:cs="Times New Roman"/>
          <w:color w:val="000000" w:themeColor="text1"/>
          <w:sz w:val="21"/>
          <w:szCs w:val="21"/>
          <w:lang w:val="en-US"/>
        </w:rPr>
        <w:t>13</w:t>
      </w:r>
    </w:p>
    <w:p w14:paraId="17BA55EA" w14:textId="2B37308D" w:rsidR="002A6B6B" w:rsidRPr="00480046" w:rsidRDefault="002A6B6B" w:rsidP="00480046">
      <w:pPr>
        <w:autoSpaceDE w:val="0"/>
        <w:autoSpaceDN w:val="0"/>
        <w:adjustRightInd w:val="0"/>
        <w:rPr>
          <w:rFonts w:ascii="Times New Roman" w:hAnsi="Times New Roman" w:cs="Times New Roman"/>
          <w:color w:val="000000" w:themeColor="text1"/>
          <w:sz w:val="21"/>
          <w:szCs w:val="21"/>
          <w:lang w:val="en-US"/>
        </w:rPr>
      </w:pPr>
    </w:p>
    <w:p w14:paraId="7D4323EE" w14:textId="604445ED" w:rsidR="002A6B6B" w:rsidRPr="00480046" w:rsidRDefault="002A6B6B" w:rsidP="00480046">
      <w:pPr>
        <w:autoSpaceDE w:val="0"/>
        <w:autoSpaceDN w:val="0"/>
        <w:adjustRightInd w:val="0"/>
        <w:rPr>
          <w:rFonts w:ascii="Times New Roman" w:hAnsi="Times New Roman" w:cs="Times New Roman"/>
          <w:color w:val="000000" w:themeColor="text1"/>
          <w:sz w:val="21"/>
          <w:szCs w:val="21"/>
          <w:lang w:val="en-US"/>
        </w:rPr>
      </w:pPr>
      <w:r w:rsidRPr="00480046">
        <w:rPr>
          <w:rFonts w:ascii="Times New Roman" w:hAnsi="Times New Roman" w:cs="Times New Roman"/>
          <w:color w:val="000000" w:themeColor="text1"/>
          <w:sz w:val="21"/>
          <w:szCs w:val="21"/>
          <w:lang w:val="en-US"/>
        </w:rPr>
        <w:t xml:space="preserve">Figure 1S …………………………………………………………………………………… Page </w:t>
      </w:r>
      <w:r w:rsidR="00480046" w:rsidRPr="00480046">
        <w:rPr>
          <w:rFonts w:ascii="Times New Roman" w:hAnsi="Times New Roman" w:cs="Times New Roman"/>
          <w:color w:val="000000" w:themeColor="text1"/>
          <w:sz w:val="21"/>
          <w:szCs w:val="21"/>
          <w:lang w:val="en-US"/>
        </w:rPr>
        <w:t>14</w:t>
      </w:r>
    </w:p>
    <w:p w14:paraId="7F4E6344" w14:textId="77777777" w:rsidR="002A6B6B" w:rsidRPr="00480046" w:rsidRDefault="002A6B6B" w:rsidP="00480046">
      <w:pPr>
        <w:autoSpaceDE w:val="0"/>
        <w:autoSpaceDN w:val="0"/>
        <w:adjustRightInd w:val="0"/>
        <w:rPr>
          <w:rFonts w:ascii="Times New Roman" w:hAnsi="Times New Roman" w:cs="Times New Roman"/>
          <w:color w:val="000000" w:themeColor="text1"/>
          <w:sz w:val="21"/>
          <w:szCs w:val="21"/>
          <w:lang w:val="en-US"/>
        </w:rPr>
      </w:pPr>
    </w:p>
    <w:p w14:paraId="1D72A5F9" w14:textId="23F5DE03" w:rsidR="00E53EFB" w:rsidRPr="00480046" w:rsidRDefault="00E53EFB" w:rsidP="00480046">
      <w:pPr>
        <w:autoSpaceDE w:val="0"/>
        <w:autoSpaceDN w:val="0"/>
        <w:adjustRightInd w:val="0"/>
        <w:rPr>
          <w:rFonts w:ascii="Times New Roman" w:hAnsi="Times New Roman" w:cs="Times New Roman"/>
          <w:color w:val="000000" w:themeColor="text1"/>
          <w:sz w:val="21"/>
          <w:szCs w:val="21"/>
          <w:lang w:val="en-US"/>
        </w:rPr>
      </w:pPr>
      <w:r w:rsidRPr="00480046">
        <w:rPr>
          <w:rFonts w:ascii="Times New Roman" w:hAnsi="Times New Roman" w:cs="Times New Roman"/>
          <w:color w:val="000000" w:themeColor="text1"/>
          <w:sz w:val="21"/>
          <w:szCs w:val="21"/>
          <w:lang w:val="en-US"/>
        </w:rPr>
        <w:t xml:space="preserve">Figure 2S …………………………………………………………………………………… Page </w:t>
      </w:r>
      <w:r w:rsidR="00107641" w:rsidRPr="00480046">
        <w:rPr>
          <w:rFonts w:ascii="Times New Roman" w:hAnsi="Times New Roman" w:cs="Times New Roman"/>
          <w:color w:val="000000" w:themeColor="text1"/>
          <w:sz w:val="21"/>
          <w:szCs w:val="21"/>
          <w:lang w:val="en-US"/>
        </w:rPr>
        <w:t>1</w:t>
      </w:r>
      <w:r w:rsidR="00480046" w:rsidRPr="00480046">
        <w:rPr>
          <w:rFonts w:ascii="Times New Roman" w:hAnsi="Times New Roman" w:cs="Times New Roman"/>
          <w:color w:val="000000" w:themeColor="text1"/>
          <w:sz w:val="21"/>
          <w:szCs w:val="21"/>
          <w:lang w:val="en-US"/>
        </w:rPr>
        <w:t>5</w:t>
      </w:r>
    </w:p>
    <w:p w14:paraId="0FAFAFBD" w14:textId="77777777" w:rsidR="002A6B6B" w:rsidRPr="00480046" w:rsidRDefault="002A6B6B" w:rsidP="00480046">
      <w:pPr>
        <w:autoSpaceDE w:val="0"/>
        <w:autoSpaceDN w:val="0"/>
        <w:adjustRightInd w:val="0"/>
        <w:rPr>
          <w:rFonts w:ascii="Times New Roman" w:hAnsi="Times New Roman" w:cs="Times New Roman"/>
          <w:color w:val="000000" w:themeColor="text1"/>
          <w:sz w:val="21"/>
          <w:szCs w:val="21"/>
          <w:lang w:val="en-US"/>
        </w:rPr>
      </w:pPr>
    </w:p>
    <w:p w14:paraId="7D2A52D8" w14:textId="77777777" w:rsidR="002A6B6B" w:rsidRPr="00F675F8" w:rsidRDefault="002A6B6B" w:rsidP="00B52502">
      <w:pPr>
        <w:autoSpaceDE w:val="0"/>
        <w:autoSpaceDN w:val="0"/>
        <w:adjustRightInd w:val="0"/>
        <w:rPr>
          <w:rFonts w:ascii="Times New Roman" w:hAnsi="Times New Roman" w:cs="Times New Roman"/>
          <w:color w:val="000000" w:themeColor="text1"/>
          <w:sz w:val="21"/>
          <w:szCs w:val="21"/>
          <w:lang w:val="en-US"/>
        </w:rPr>
      </w:pPr>
    </w:p>
    <w:p w14:paraId="019237AA" w14:textId="0CD5FAFB" w:rsidR="0017775A" w:rsidRPr="00F675F8" w:rsidRDefault="0017775A">
      <w:pPr>
        <w:rPr>
          <w:rFonts w:ascii="Times New Roman" w:hAnsi="Times New Roman" w:cs="Times New Roman"/>
          <w:color w:val="000000" w:themeColor="text1"/>
          <w:sz w:val="21"/>
          <w:szCs w:val="21"/>
          <w:lang w:val="en-US"/>
        </w:rPr>
      </w:pPr>
      <w:r w:rsidRPr="00F675F8">
        <w:rPr>
          <w:rFonts w:ascii="Times New Roman" w:hAnsi="Times New Roman" w:cs="Times New Roman"/>
          <w:color w:val="000000" w:themeColor="text1"/>
          <w:sz w:val="21"/>
          <w:szCs w:val="21"/>
          <w:lang w:val="en-US"/>
        </w:rPr>
        <w:br w:type="page"/>
      </w:r>
    </w:p>
    <w:p w14:paraId="662955FE" w14:textId="6FBF530B" w:rsidR="0017775A" w:rsidRPr="00F675F8" w:rsidRDefault="0017775A" w:rsidP="0017775A">
      <w:pPr>
        <w:pStyle w:val="Cuerpo"/>
        <w:spacing w:line="480" w:lineRule="auto"/>
        <w:jc w:val="both"/>
        <w:rPr>
          <w:rStyle w:val="Ninguno"/>
          <w:b/>
          <w:bCs/>
          <w:color w:val="000000" w:themeColor="text1"/>
        </w:rPr>
      </w:pPr>
      <w:r w:rsidRPr="00F675F8">
        <w:rPr>
          <w:rStyle w:val="Ninguno"/>
          <w:b/>
          <w:bCs/>
          <w:color w:val="000000" w:themeColor="text1"/>
        </w:rPr>
        <w:lastRenderedPageBreak/>
        <w:t>Methods</w:t>
      </w:r>
    </w:p>
    <w:p w14:paraId="5AD4DC92" w14:textId="3877025C" w:rsidR="0017775A" w:rsidRPr="00F675F8" w:rsidRDefault="0017775A" w:rsidP="00144C13">
      <w:pPr>
        <w:spacing w:line="480" w:lineRule="auto"/>
        <w:jc w:val="both"/>
        <w:rPr>
          <w:color w:val="000000" w:themeColor="text1"/>
          <w:lang w:val="en-US"/>
        </w:rPr>
      </w:pPr>
      <w:r w:rsidRPr="00F675F8">
        <w:rPr>
          <w:color w:val="000000" w:themeColor="text1"/>
          <w:lang w:val="en-US"/>
        </w:rPr>
        <w:t xml:space="preserve">For </w:t>
      </w:r>
      <w:r w:rsidR="00F414FC" w:rsidRPr="00F675F8">
        <w:rPr>
          <w:color w:val="000000" w:themeColor="text1"/>
          <w:lang w:val="en-US"/>
        </w:rPr>
        <w:t>supplementary material</w:t>
      </w:r>
      <w:r w:rsidRPr="00F675F8">
        <w:rPr>
          <w:color w:val="000000" w:themeColor="text1"/>
          <w:lang w:val="en-US"/>
        </w:rPr>
        <w:t xml:space="preserve">, the following serum samples </w:t>
      </w:r>
      <w:r w:rsidR="00521578" w:rsidRPr="00F675F8">
        <w:rPr>
          <w:color w:val="000000" w:themeColor="text1"/>
          <w:lang w:val="en-US"/>
        </w:rPr>
        <w:t xml:space="preserve">timepoints </w:t>
      </w:r>
      <w:r w:rsidRPr="00F675F8">
        <w:rPr>
          <w:color w:val="000000" w:themeColor="text1"/>
          <w:lang w:val="en-US"/>
        </w:rPr>
        <w:t>have been selected: 12 months before admission (last day of follow up in the</w:t>
      </w:r>
      <w:r w:rsidR="00AB0FD8" w:rsidRPr="00F675F8">
        <w:rPr>
          <w:color w:val="000000" w:themeColor="text1"/>
          <w:lang w:val="en-US"/>
        </w:rPr>
        <w:t xml:space="preserve"> outpatient</w:t>
      </w:r>
      <w:r w:rsidRPr="00F675F8">
        <w:rPr>
          <w:color w:val="000000" w:themeColor="text1"/>
          <w:lang w:val="en-US"/>
        </w:rPr>
        <w:t xml:space="preserve"> hematology department)</w:t>
      </w:r>
      <w:r w:rsidR="00063800" w:rsidRPr="00F675F8">
        <w:rPr>
          <w:color w:val="000000" w:themeColor="text1"/>
          <w:lang w:val="en-US"/>
        </w:rPr>
        <w:t>;</w:t>
      </w:r>
      <w:r w:rsidRPr="00F675F8">
        <w:rPr>
          <w:color w:val="000000" w:themeColor="text1"/>
          <w:lang w:val="en-US"/>
        </w:rPr>
        <w:t xml:space="preserve"> fifteen days </w:t>
      </w:r>
      <w:r w:rsidR="00063800" w:rsidRPr="00F675F8">
        <w:rPr>
          <w:color w:val="000000" w:themeColor="text1"/>
          <w:lang w:val="en-US"/>
        </w:rPr>
        <w:t xml:space="preserve">prior to </w:t>
      </w:r>
      <w:r w:rsidRPr="00F675F8">
        <w:rPr>
          <w:color w:val="000000" w:themeColor="text1"/>
          <w:lang w:val="en-US"/>
        </w:rPr>
        <w:t>the first injection of plitidepsin</w:t>
      </w:r>
      <w:r w:rsidR="00063800" w:rsidRPr="00F675F8">
        <w:rPr>
          <w:color w:val="000000" w:themeColor="text1"/>
          <w:lang w:val="en-US"/>
        </w:rPr>
        <w:t>;</w:t>
      </w:r>
      <w:r w:rsidRPr="00F675F8">
        <w:rPr>
          <w:color w:val="000000" w:themeColor="text1"/>
          <w:lang w:val="en-US"/>
        </w:rPr>
        <w:t xml:space="preserve"> </w:t>
      </w:r>
      <w:r w:rsidR="00063800" w:rsidRPr="00F675F8">
        <w:rPr>
          <w:color w:val="000000" w:themeColor="text1"/>
          <w:lang w:val="en-US"/>
        </w:rPr>
        <w:t xml:space="preserve">the time of plitidepsin injection, which is comprised of </w:t>
      </w:r>
      <w:r w:rsidRPr="00F675F8">
        <w:rPr>
          <w:color w:val="000000" w:themeColor="text1"/>
          <w:lang w:val="en-US"/>
        </w:rPr>
        <w:t xml:space="preserve">six days </w:t>
      </w:r>
      <w:r w:rsidR="00063800" w:rsidRPr="00F675F8">
        <w:rPr>
          <w:color w:val="000000" w:themeColor="text1"/>
          <w:lang w:val="en-US"/>
        </w:rPr>
        <w:t xml:space="preserve">prior to </w:t>
      </w:r>
      <w:r w:rsidRPr="00F675F8">
        <w:rPr>
          <w:color w:val="000000" w:themeColor="text1"/>
          <w:lang w:val="en-US"/>
        </w:rPr>
        <w:t xml:space="preserve">the first cycle </w:t>
      </w:r>
      <w:r w:rsidR="00063800" w:rsidRPr="00F675F8">
        <w:rPr>
          <w:color w:val="000000" w:themeColor="text1"/>
          <w:lang w:val="en-US"/>
        </w:rPr>
        <w:t xml:space="preserve">through </w:t>
      </w:r>
      <w:r w:rsidRPr="00F675F8">
        <w:rPr>
          <w:color w:val="000000" w:themeColor="text1"/>
          <w:lang w:val="en-US"/>
        </w:rPr>
        <w:t xml:space="preserve">six days after the second cycle of </w:t>
      </w:r>
      <w:r w:rsidR="00063800" w:rsidRPr="00F675F8">
        <w:rPr>
          <w:color w:val="000000" w:themeColor="text1"/>
          <w:lang w:val="en-US"/>
        </w:rPr>
        <w:t>p</w:t>
      </w:r>
      <w:r w:rsidRPr="00F675F8">
        <w:rPr>
          <w:color w:val="000000" w:themeColor="text1"/>
          <w:lang w:val="en-US"/>
        </w:rPr>
        <w:t>litidepsin</w:t>
      </w:r>
      <w:r w:rsidR="00063800" w:rsidRPr="00F675F8">
        <w:rPr>
          <w:color w:val="000000" w:themeColor="text1"/>
          <w:lang w:val="en-US"/>
        </w:rPr>
        <w:t>;</w:t>
      </w:r>
      <w:r w:rsidRPr="00F675F8">
        <w:rPr>
          <w:color w:val="000000" w:themeColor="text1"/>
          <w:lang w:val="en-US"/>
        </w:rPr>
        <w:t xml:space="preserve"> fifteen days after the last injection of </w:t>
      </w:r>
      <w:r w:rsidR="00063800" w:rsidRPr="00F675F8">
        <w:rPr>
          <w:color w:val="000000" w:themeColor="text1"/>
          <w:lang w:val="en-US"/>
        </w:rPr>
        <w:t>p</w:t>
      </w:r>
      <w:r w:rsidRPr="00F675F8">
        <w:rPr>
          <w:color w:val="000000" w:themeColor="text1"/>
          <w:lang w:val="en-US"/>
        </w:rPr>
        <w:t>litidepsin</w:t>
      </w:r>
      <w:r w:rsidR="00063800" w:rsidRPr="00F675F8">
        <w:rPr>
          <w:color w:val="000000" w:themeColor="text1"/>
          <w:lang w:val="en-US"/>
        </w:rPr>
        <w:t>;</w:t>
      </w:r>
      <w:r w:rsidRPr="00F675F8">
        <w:rPr>
          <w:color w:val="000000" w:themeColor="text1"/>
          <w:lang w:val="en-US"/>
        </w:rPr>
        <w:t xml:space="preserve"> and ninety days post-discharge.</w:t>
      </w:r>
    </w:p>
    <w:p w14:paraId="48A255FE" w14:textId="0E286DC6" w:rsidR="00C9586F" w:rsidRPr="00F675F8" w:rsidRDefault="00C9586F" w:rsidP="00C9586F">
      <w:pPr>
        <w:spacing w:after="120" w:line="480" w:lineRule="auto"/>
        <w:jc w:val="both"/>
        <w:rPr>
          <w:color w:val="000000" w:themeColor="text1"/>
          <w:lang w:val="en-US"/>
        </w:rPr>
      </w:pPr>
      <w:r w:rsidRPr="00F675F8">
        <w:rPr>
          <w:color w:val="000000" w:themeColor="text1"/>
          <w:lang w:val="en-US"/>
        </w:rPr>
        <w:t xml:space="preserve">The patient was initially diagnosed with CLL in 2014 (Rai stage 0) and was started on treatment using a combination of </w:t>
      </w:r>
      <w:proofErr w:type="spellStart"/>
      <w:r w:rsidRPr="00F675F8">
        <w:rPr>
          <w:color w:val="000000" w:themeColor="text1"/>
          <w:lang w:val="en-US"/>
        </w:rPr>
        <w:t>bendamustine</w:t>
      </w:r>
      <w:proofErr w:type="spellEnd"/>
      <w:r w:rsidRPr="00F675F8">
        <w:rPr>
          <w:color w:val="000000" w:themeColor="text1"/>
          <w:lang w:val="en-US"/>
        </w:rPr>
        <w:t xml:space="preserve"> and rituximab in 2016 after progression to Rai stage 3. After an initial remission, relapse again to Rai stage 3 (negative for </w:t>
      </w:r>
      <w:r w:rsidRPr="00F675F8">
        <w:rPr>
          <w:i/>
          <w:iCs/>
          <w:color w:val="000000" w:themeColor="text1"/>
          <w:lang w:val="en-US"/>
        </w:rPr>
        <w:t>TP53</w:t>
      </w:r>
      <w:r w:rsidRPr="00F675F8">
        <w:rPr>
          <w:color w:val="000000" w:themeColor="text1"/>
          <w:lang w:val="en-US"/>
        </w:rPr>
        <w:t xml:space="preserve"> and other somatic mutations) prompted treatment with obinutuzumab as maintenance therapy. </w:t>
      </w:r>
      <w:r w:rsidR="00AA7351" w:rsidRPr="00F675F8">
        <w:rPr>
          <w:color w:val="000000" w:themeColor="text1"/>
          <w:lang w:val="en-US"/>
        </w:rPr>
        <w:t>The anti-CD 20 therapy (obinutuzumab) was withdrawn a year before COVID-19 diagnosis, as the patient reached complete remission of its CLL.</w:t>
      </w:r>
    </w:p>
    <w:p w14:paraId="331EAB13" w14:textId="0602D802" w:rsidR="0017775A" w:rsidRPr="00F675F8" w:rsidRDefault="0017775A" w:rsidP="00144C13">
      <w:pPr>
        <w:spacing w:line="480" w:lineRule="auto"/>
        <w:jc w:val="both"/>
        <w:rPr>
          <w:color w:val="000000" w:themeColor="text1"/>
          <w:lang w:val="en-US"/>
        </w:rPr>
      </w:pPr>
      <w:r w:rsidRPr="00F675F8">
        <w:rPr>
          <w:color w:val="000000" w:themeColor="text1"/>
          <w:lang w:val="en-US"/>
        </w:rPr>
        <w:t xml:space="preserve">Peripheral blood flow cytometry was performed </w:t>
      </w:r>
      <w:r w:rsidR="00063800" w:rsidRPr="00F675F8">
        <w:rPr>
          <w:color w:val="000000" w:themeColor="text1"/>
          <w:lang w:val="en-US"/>
        </w:rPr>
        <w:t xml:space="preserve">on </w:t>
      </w:r>
      <w:r w:rsidRPr="00F675F8">
        <w:rPr>
          <w:color w:val="000000" w:themeColor="text1"/>
          <w:lang w:val="en-US"/>
        </w:rPr>
        <w:t xml:space="preserve">serum samples obtained between </w:t>
      </w:r>
      <w:r w:rsidR="00063800" w:rsidRPr="00F675F8">
        <w:rPr>
          <w:color w:val="000000" w:themeColor="text1"/>
          <w:lang w:val="en-US"/>
        </w:rPr>
        <w:t>p</w:t>
      </w:r>
      <w:r w:rsidRPr="00F675F8">
        <w:rPr>
          <w:color w:val="000000" w:themeColor="text1"/>
          <w:lang w:val="en-US"/>
        </w:rPr>
        <w:t xml:space="preserve">litidepsin cycles and ninety days post-discharge, using </w:t>
      </w:r>
      <w:proofErr w:type="spellStart"/>
      <w:r w:rsidRPr="00F675F8">
        <w:rPr>
          <w:color w:val="000000" w:themeColor="text1"/>
          <w:lang w:val="en-US"/>
        </w:rPr>
        <w:t>Navios</w:t>
      </w:r>
      <w:proofErr w:type="spellEnd"/>
      <w:r w:rsidRPr="00F675F8">
        <w:rPr>
          <w:color w:val="000000" w:themeColor="text1"/>
          <w:lang w:val="en-US"/>
        </w:rPr>
        <w:t xml:space="preserve"> Ex flow cytometer (Beckman Coulter Inc., Brea, CA, USA).</w:t>
      </w:r>
    </w:p>
    <w:p w14:paraId="3A95D02B" w14:textId="587DFDAC" w:rsidR="0017775A" w:rsidRPr="00F675F8" w:rsidRDefault="00063800" w:rsidP="00144C13">
      <w:pPr>
        <w:spacing w:line="480" w:lineRule="auto"/>
        <w:jc w:val="both"/>
        <w:rPr>
          <w:color w:val="000000" w:themeColor="text1"/>
          <w:lang w:val="en-US"/>
        </w:rPr>
      </w:pPr>
      <w:r w:rsidRPr="00F675F8">
        <w:rPr>
          <w:color w:val="000000" w:themeColor="text1"/>
          <w:lang w:val="en-US"/>
        </w:rPr>
        <w:t>All data a</w:t>
      </w:r>
      <w:r w:rsidR="0017775A" w:rsidRPr="00F675F8">
        <w:rPr>
          <w:color w:val="000000" w:themeColor="text1"/>
          <w:lang w:val="en-US"/>
        </w:rPr>
        <w:t xml:space="preserve">nalysis </w:t>
      </w:r>
      <w:r w:rsidR="00546954" w:rsidRPr="00F675F8">
        <w:rPr>
          <w:color w:val="000000" w:themeColor="text1"/>
          <w:lang w:val="en-US"/>
        </w:rPr>
        <w:t>and figure creation were performed</w:t>
      </w:r>
      <w:r w:rsidR="0017775A" w:rsidRPr="00F675F8">
        <w:rPr>
          <w:color w:val="000000" w:themeColor="text1"/>
          <w:lang w:val="en-US"/>
        </w:rPr>
        <w:t xml:space="preserve"> using GraphPad Prism v.9 software (GraphPad Software Inc, CA, USA).</w:t>
      </w:r>
    </w:p>
    <w:p w14:paraId="205FDA6A" w14:textId="57D0338C" w:rsidR="0017775A" w:rsidRPr="00F675F8" w:rsidRDefault="0017775A" w:rsidP="00144C13">
      <w:pPr>
        <w:spacing w:line="480" w:lineRule="auto"/>
        <w:jc w:val="both"/>
        <w:rPr>
          <w:color w:val="000000" w:themeColor="text1"/>
          <w:lang w:val="en-US"/>
        </w:rPr>
      </w:pPr>
      <w:r w:rsidRPr="00F675F8">
        <w:rPr>
          <w:color w:val="000000" w:themeColor="text1"/>
          <w:lang w:val="en-US"/>
        </w:rPr>
        <w:t xml:space="preserve">Nasopharyngeal (NP) swab samples for SARS-CoV-2 were analyzed with antigen test </w:t>
      </w:r>
      <w:proofErr w:type="spellStart"/>
      <w:r w:rsidRPr="00F675F8">
        <w:rPr>
          <w:color w:val="000000" w:themeColor="text1"/>
          <w:lang w:val="en-US"/>
        </w:rPr>
        <w:t>Panbio</w:t>
      </w:r>
      <w:proofErr w:type="spellEnd"/>
      <w:r w:rsidRPr="00F675F8">
        <w:rPr>
          <w:color w:val="000000" w:themeColor="text1"/>
          <w:lang w:val="en-US"/>
        </w:rPr>
        <w:t xml:space="preserve">™ COVID-19 Ag Rapid Test Device (Abbott Diagnostics, Jena, Germany) and through real time polymerase chain reaction (RT-PCR, </w:t>
      </w:r>
      <w:proofErr w:type="spellStart"/>
      <w:r w:rsidRPr="00F675F8">
        <w:rPr>
          <w:color w:val="000000" w:themeColor="text1"/>
          <w:lang w:val="en-US"/>
        </w:rPr>
        <w:t>Allplex</w:t>
      </w:r>
      <w:proofErr w:type="spellEnd"/>
      <w:r w:rsidRPr="00F675F8">
        <w:rPr>
          <w:color w:val="000000" w:themeColor="text1"/>
          <w:lang w:val="en-US"/>
        </w:rPr>
        <w:t>™ 2019-nCoV Assay (</w:t>
      </w:r>
      <w:proofErr w:type="spellStart"/>
      <w:r w:rsidRPr="00F675F8">
        <w:rPr>
          <w:color w:val="000000" w:themeColor="text1"/>
          <w:lang w:val="en-US"/>
        </w:rPr>
        <w:t>Seegene</w:t>
      </w:r>
      <w:proofErr w:type="spellEnd"/>
      <w:r w:rsidRPr="00F675F8">
        <w:rPr>
          <w:color w:val="000000" w:themeColor="text1"/>
          <w:lang w:val="en-US"/>
        </w:rPr>
        <w:t xml:space="preserve"> </w:t>
      </w:r>
      <w:proofErr w:type="spellStart"/>
      <w:r w:rsidRPr="00F675F8">
        <w:rPr>
          <w:color w:val="000000" w:themeColor="text1"/>
          <w:lang w:val="en-US"/>
        </w:rPr>
        <w:t>inc</w:t>
      </w:r>
      <w:proofErr w:type="spellEnd"/>
      <w:r w:rsidRPr="00F675F8">
        <w:rPr>
          <w:color w:val="000000" w:themeColor="text1"/>
          <w:lang w:val="en-US"/>
        </w:rPr>
        <w:t>, Seoul, South Korea).</w:t>
      </w:r>
    </w:p>
    <w:p w14:paraId="184AD15A" w14:textId="1886BAA2" w:rsidR="0017775A" w:rsidRPr="00F675F8" w:rsidRDefault="0017775A" w:rsidP="00144C13">
      <w:pPr>
        <w:spacing w:line="480" w:lineRule="auto"/>
        <w:jc w:val="both"/>
        <w:rPr>
          <w:color w:val="000000" w:themeColor="text1"/>
          <w:lang w:val="en-US"/>
        </w:rPr>
      </w:pPr>
      <w:r w:rsidRPr="00F675F8">
        <w:rPr>
          <w:color w:val="000000" w:themeColor="text1"/>
          <w:lang w:val="en-US"/>
        </w:rPr>
        <w:lastRenderedPageBreak/>
        <w:t xml:space="preserve">Antibodies against SARS-CoV-2 were analyzed using Covid-19 VIRCLIA® </w:t>
      </w:r>
      <w:proofErr w:type="spellStart"/>
      <w:r w:rsidRPr="00F675F8">
        <w:rPr>
          <w:color w:val="000000" w:themeColor="text1"/>
          <w:lang w:val="en-US"/>
        </w:rPr>
        <w:t>IgM+IgA</w:t>
      </w:r>
      <w:proofErr w:type="spellEnd"/>
      <w:r w:rsidRPr="00F675F8">
        <w:rPr>
          <w:color w:val="000000" w:themeColor="text1"/>
          <w:lang w:val="en-US"/>
        </w:rPr>
        <w:t xml:space="preserve"> (</w:t>
      </w:r>
      <w:proofErr w:type="spellStart"/>
      <w:r w:rsidRPr="00F675F8">
        <w:rPr>
          <w:color w:val="000000" w:themeColor="text1"/>
          <w:lang w:val="en-US"/>
        </w:rPr>
        <w:t>Vircell</w:t>
      </w:r>
      <w:proofErr w:type="spellEnd"/>
      <w:r w:rsidRPr="00F675F8">
        <w:rPr>
          <w:color w:val="000000" w:themeColor="text1"/>
          <w:lang w:val="en-US"/>
        </w:rPr>
        <w:t xml:space="preserve"> S.L. Granada, Spain) and C</w:t>
      </w:r>
      <w:r w:rsidR="005F5D5A" w:rsidRPr="00F675F8">
        <w:rPr>
          <w:color w:val="000000" w:themeColor="text1"/>
          <w:lang w:val="en-US"/>
        </w:rPr>
        <w:t>OVID</w:t>
      </w:r>
      <w:r w:rsidRPr="00F675F8">
        <w:rPr>
          <w:color w:val="000000" w:themeColor="text1"/>
          <w:lang w:val="en-US"/>
        </w:rPr>
        <w:t>-19 spike quantitative VIRCLIA® IgG (</w:t>
      </w:r>
      <w:proofErr w:type="spellStart"/>
      <w:r w:rsidRPr="00F675F8">
        <w:rPr>
          <w:color w:val="000000" w:themeColor="text1"/>
          <w:lang w:val="en-US"/>
        </w:rPr>
        <w:t>Vircell</w:t>
      </w:r>
      <w:proofErr w:type="spellEnd"/>
      <w:r w:rsidRPr="00F675F8">
        <w:rPr>
          <w:color w:val="000000" w:themeColor="text1"/>
          <w:lang w:val="en-US"/>
        </w:rPr>
        <w:t xml:space="preserve"> S.L).</w:t>
      </w:r>
    </w:p>
    <w:p w14:paraId="03B2A4D5" w14:textId="610121EE" w:rsidR="00CE4A75" w:rsidRPr="00F675F8" w:rsidRDefault="00CE4A75" w:rsidP="00144C13">
      <w:pPr>
        <w:spacing w:line="480" w:lineRule="auto"/>
        <w:jc w:val="both"/>
        <w:rPr>
          <w:color w:val="000000" w:themeColor="text1"/>
          <w:lang w:val="en-US"/>
        </w:rPr>
      </w:pPr>
      <w:r w:rsidRPr="00F675F8">
        <w:rPr>
          <w:color w:val="000000" w:themeColor="text1"/>
          <w:lang w:val="en-US" w:eastAsia="es-ES_tradnl"/>
        </w:rPr>
        <w:t>Pharma Mar provided the study</w:t>
      </w:r>
      <w:r w:rsidRPr="00F675F8">
        <w:rPr>
          <w:color w:val="000000" w:themeColor="text1"/>
          <w:lang w:val="en-US"/>
        </w:rPr>
        <w:t xml:space="preserve"> </w:t>
      </w:r>
      <w:r w:rsidRPr="00F675F8">
        <w:rPr>
          <w:color w:val="000000" w:themeColor="text1"/>
          <w:lang w:val="en-US" w:eastAsia="es-ES_tradnl"/>
        </w:rPr>
        <w:t>drug as well as operational and regulatory support.</w:t>
      </w:r>
    </w:p>
    <w:p w14:paraId="350BBF82" w14:textId="1EBEB871" w:rsidR="00B562FE" w:rsidRPr="00F675F8" w:rsidRDefault="00B562FE">
      <w:pPr>
        <w:rPr>
          <w:color w:val="000000" w:themeColor="text1"/>
          <w:lang w:val="en-US"/>
        </w:rPr>
      </w:pPr>
      <w:r w:rsidRPr="00F675F8">
        <w:rPr>
          <w:color w:val="000000" w:themeColor="text1"/>
          <w:lang w:val="en-US"/>
        </w:rPr>
        <w:br w:type="page"/>
      </w:r>
    </w:p>
    <w:p w14:paraId="1886B0AD" w14:textId="77777777" w:rsidR="00B562FE" w:rsidRPr="00F675F8" w:rsidRDefault="00B562FE" w:rsidP="00B562FE">
      <w:pPr>
        <w:rPr>
          <w:b/>
          <w:bCs/>
          <w:color w:val="000000" w:themeColor="text1"/>
          <w:lang w:val="en-US"/>
        </w:rPr>
      </w:pPr>
      <w:r w:rsidRPr="00F675F8">
        <w:rPr>
          <w:b/>
          <w:bCs/>
          <w:color w:val="000000" w:themeColor="text1"/>
          <w:lang w:val="en-US"/>
        </w:rPr>
        <w:lastRenderedPageBreak/>
        <w:t>Summarize of therapies prescribed to the patient before using plitidepsin against COVID-19.</w:t>
      </w:r>
    </w:p>
    <w:p w14:paraId="0234ACF3" w14:textId="77777777" w:rsidR="00B562FE" w:rsidRPr="00F675F8" w:rsidRDefault="00B562FE" w:rsidP="00B562FE">
      <w:pPr>
        <w:rPr>
          <w:color w:val="000000" w:themeColor="text1"/>
          <w:lang w:val="en-US"/>
        </w:rPr>
      </w:pPr>
    </w:p>
    <w:p w14:paraId="39DBA06C" w14:textId="77777777" w:rsidR="00B562FE" w:rsidRPr="00F675F8" w:rsidRDefault="00B562FE" w:rsidP="00B562FE">
      <w:pPr>
        <w:spacing w:after="120" w:line="480" w:lineRule="auto"/>
        <w:jc w:val="both"/>
        <w:rPr>
          <w:color w:val="000000" w:themeColor="text1"/>
          <w:lang w:val="en-US"/>
        </w:rPr>
      </w:pPr>
      <w:r w:rsidRPr="00F675F8">
        <w:rPr>
          <w:color w:val="000000" w:themeColor="text1"/>
          <w:lang w:val="en-US"/>
        </w:rPr>
        <w:tab/>
        <w:t>After initial diagnosis of SARS-CoV-2 infection, the 75-years-old male patient was discharged from the ED and received two courses of levofloxacin and dexamethasone 4 mg once daily (q.d.) over ten days.</w:t>
      </w:r>
    </w:p>
    <w:p w14:paraId="39A62747" w14:textId="77BDABF5" w:rsidR="00F675F8" w:rsidRPr="00F675F8" w:rsidRDefault="00B562FE" w:rsidP="00B562FE">
      <w:pPr>
        <w:spacing w:after="120" w:line="480" w:lineRule="auto"/>
        <w:jc w:val="both"/>
        <w:rPr>
          <w:color w:val="000000" w:themeColor="text1"/>
          <w:lang w:val="en-US"/>
        </w:rPr>
      </w:pPr>
      <w:r w:rsidRPr="00F675F8">
        <w:rPr>
          <w:color w:val="000000" w:themeColor="text1"/>
          <w:lang w:val="en-US"/>
        </w:rPr>
        <w:tab/>
        <w:t>After 22 days of continued illness, the patient was admitted to our hospital. Then, upon admission, we prescribed a second schedule of dexamethasone 6 mg q.d. combined with compassionate use of cyclosporine A (5) (&lt;5 mg/kg q.d.) without any improvement in his clinical status</w:t>
      </w:r>
      <w:r w:rsidR="00E23A05" w:rsidRPr="00F675F8">
        <w:rPr>
          <w:color w:val="000000" w:themeColor="text1"/>
          <w:lang w:val="en-US"/>
        </w:rPr>
        <w:t xml:space="preserve"> (</w:t>
      </w:r>
      <w:proofErr w:type="spellStart"/>
      <w:r w:rsidR="00E23A05" w:rsidRPr="00F675F8">
        <w:rPr>
          <w:color w:val="000000" w:themeColor="text1"/>
          <w:lang w:val="en-US"/>
        </w:rPr>
        <w:t>Guisado</w:t>
      </w:r>
      <w:proofErr w:type="spellEnd"/>
      <w:r w:rsidR="00E23A05" w:rsidRPr="00F675F8">
        <w:rPr>
          <w:color w:val="000000" w:themeColor="text1"/>
          <w:lang w:val="en-US"/>
        </w:rPr>
        <w:t xml:space="preserve"> Vasco et al, </w:t>
      </w:r>
      <w:proofErr w:type="spellStart"/>
      <w:r w:rsidR="00E23A05" w:rsidRPr="00F675F8">
        <w:rPr>
          <w:color w:val="000000" w:themeColor="text1"/>
          <w:lang w:val="en-US"/>
        </w:rPr>
        <w:t>EClinicalMedicine</w:t>
      </w:r>
      <w:proofErr w:type="spellEnd"/>
      <w:r w:rsidR="00E23A05" w:rsidRPr="00F675F8">
        <w:rPr>
          <w:color w:val="000000" w:themeColor="text1"/>
          <w:lang w:val="en-US"/>
        </w:rPr>
        <w:t xml:space="preserve">. 2020 </w:t>
      </w:r>
      <w:proofErr w:type="gramStart"/>
      <w:r w:rsidR="00E23A05" w:rsidRPr="00F675F8">
        <w:rPr>
          <w:color w:val="000000" w:themeColor="text1"/>
          <w:lang w:val="en-US"/>
        </w:rPr>
        <w:t>Nov;28:100591</w:t>
      </w:r>
      <w:proofErr w:type="gramEnd"/>
      <w:r w:rsidR="00E23A05" w:rsidRPr="00F675F8">
        <w:rPr>
          <w:color w:val="000000" w:themeColor="text1"/>
          <w:lang w:val="en-US"/>
        </w:rPr>
        <w:t>)</w:t>
      </w:r>
      <w:r w:rsidRPr="00F675F8">
        <w:rPr>
          <w:color w:val="000000" w:themeColor="text1"/>
          <w:lang w:val="en-US"/>
        </w:rPr>
        <w:t>. The infusion of three units of convalescent hyperimmune plasma also did not improve the patient’s signs of respiratory failure. Furthermore, the patient’s lymphopenia remained unchanged, and he continued to test positive for SARS-CoV-2 via RT-PCR (Figure 1).</w:t>
      </w:r>
    </w:p>
    <w:p w14:paraId="427ADDD9" w14:textId="77777777" w:rsidR="00F675F8" w:rsidRPr="00F675F8" w:rsidRDefault="00F675F8">
      <w:pPr>
        <w:rPr>
          <w:color w:val="000000" w:themeColor="text1"/>
          <w:lang w:val="en-US"/>
        </w:rPr>
      </w:pPr>
      <w:r w:rsidRPr="00F675F8">
        <w:rPr>
          <w:color w:val="000000" w:themeColor="text1"/>
          <w:lang w:val="en-US"/>
        </w:rPr>
        <w:br w:type="page"/>
      </w:r>
    </w:p>
    <w:p w14:paraId="363DA9AF" w14:textId="77777777" w:rsidR="00B562FE" w:rsidRPr="00F675F8" w:rsidRDefault="00B562FE" w:rsidP="00B562FE">
      <w:pPr>
        <w:spacing w:after="120" w:line="480" w:lineRule="auto"/>
        <w:jc w:val="both"/>
        <w:rPr>
          <w:b/>
          <w:bCs/>
          <w:color w:val="000000" w:themeColor="text1"/>
          <w:lang w:val="en-US"/>
        </w:rPr>
      </w:pPr>
      <w:r w:rsidRPr="00F675F8">
        <w:rPr>
          <w:b/>
          <w:bCs/>
          <w:color w:val="000000" w:themeColor="text1"/>
          <w:lang w:val="en-US"/>
        </w:rPr>
        <w:lastRenderedPageBreak/>
        <w:t>Clinical complications during hospital admission</w:t>
      </w:r>
    </w:p>
    <w:p w14:paraId="76A35EB6" w14:textId="77777777" w:rsidR="00B562FE" w:rsidRPr="00F675F8" w:rsidRDefault="00B562FE" w:rsidP="00B562FE">
      <w:pPr>
        <w:spacing w:after="120" w:line="480" w:lineRule="auto"/>
        <w:jc w:val="both"/>
        <w:rPr>
          <w:color w:val="000000" w:themeColor="text1"/>
          <w:lang w:val="en-US"/>
        </w:rPr>
      </w:pPr>
      <w:r w:rsidRPr="00F675F8">
        <w:rPr>
          <w:color w:val="000000" w:themeColor="text1"/>
          <w:lang w:val="en-US"/>
        </w:rPr>
        <w:tab/>
        <w:t xml:space="preserve">During hospitalization, the patient had several complications unrelated to plitidepsin treatment: oral herpes virus simplex reactivation (day 31, treated with valacyclovir), acute heart failure (day 45, successfully treated with loop diuretics), and </w:t>
      </w:r>
      <w:r w:rsidRPr="00F675F8">
        <w:rPr>
          <w:i/>
          <w:iCs/>
          <w:color w:val="000000" w:themeColor="text1"/>
          <w:lang w:val="en-US"/>
        </w:rPr>
        <w:t>Staphylococcus epidermidis</w:t>
      </w:r>
      <w:r w:rsidRPr="00F675F8">
        <w:rPr>
          <w:color w:val="000000" w:themeColor="text1"/>
          <w:lang w:val="en-US"/>
        </w:rPr>
        <w:t xml:space="preserve"> venous central catheter-related bacteriemia (day 74), which required removal of his permanent central catheter, and a 7-day course of daptomycin. Each of these complications was deemed to be related to the prolonged use of glucocorticoids, and previous cardiovascular comorbidities.</w:t>
      </w:r>
    </w:p>
    <w:p w14:paraId="15B69534" w14:textId="6BD12AD7" w:rsidR="00424C9C" w:rsidRPr="00F675F8" w:rsidRDefault="00B562FE" w:rsidP="00B562FE">
      <w:pPr>
        <w:spacing w:after="120" w:line="480" w:lineRule="auto"/>
        <w:jc w:val="both"/>
        <w:rPr>
          <w:color w:val="000000" w:themeColor="text1"/>
          <w:lang w:val="en-US"/>
        </w:rPr>
      </w:pPr>
      <w:r w:rsidRPr="00F675F8">
        <w:rPr>
          <w:color w:val="000000" w:themeColor="text1"/>
          <w:lang w:val="en-US"/>
        </w:rPr>
        <w:tab/>
        <w:t>Over the course of both treatments, plitidepsin was well tolerated by the patient, with only grade 1 nausea reported within 48 hours of the first course. We did not detect any additional hematological or cardiological toxicities.</w:t>
      </w:r>
    </w:p>
    <w:p w14:paraId="15F8C9BA" w14:textId="1A39CC45" w:rsidR="006516A1" w:rsidRPr="00F675F8" w:rsidRDefault="006516A1" w:rsidP="006516A1">
      <w:pPr>
        <w:pStyle w:val="Cuerpo"/>
        <w:spacing w:line="480" w:lineRule="auto"/>
        <w:ind w:firstLine="708"/>
        <w:jc w:val="both"/>
        <w:rPr>
          <w:rStyle w:val="Ninguno"/>
          <w:color w:val="000000" w:themeColor="text1"/>
        </w:rPr>
      </w:pPr>
      <w:r w:rsidRPr="00F675F8">
        <w:rPr>
          <w:rStyle w:val="Ninguno"/>
          <w:color w:val="000000" w:themeColor="text1"/>
        </w:rPr>
        <w:t xml:space="preserve">The patient continues to slowly recover and is still suffering from exertional dyspnea, fatigue, and weakness in the context of a post-acute COVID-19 condition. </w:t>
      </w:r>
    </w:p>
    <w:p w14:paraId="52655EF5" w14:textId="77777777" w:rsidR="006516A1" w:rsidRPr="00F675F8" w:rsidRDefault="006516A1" w:rsidP="00B562FE">
      <w:pPr>
        <w:spacing w:after="120" w:line="480" w:lineRule="auto"/>
        <w:jc w:val="both"/>
        <w:rPr>
          <w:color w:val="000000" w:themeColor="text1"/>
          <w:lang w:val="en-US"/>
        </w:rPr>
      </w:pPr>
    </w:p>
    <w:p w14:paraId="0307EE36" w14:textId="77777777" w:rsidR="00F675F8" w:rsidRPr="00F675F8" w:rsidRDefault="00F675F8">
      <w:pPr>
        <w:rPr>
          <w:b/>
          <w:bCs/>
          <w:color w:val="000000" w:themeColor="text1"/>
          <w:lang w:val="en-US"/>
        </w:rPr>
      </w:pPr>
      <w:r w:rsidRPr="00F675F8">
        <w:rPr>
          <w:b/>
          <w:bCs/>
          <w:color w:val="000000" w:themeColor="text1"/>
          <w:lang w:val="en-US"/>
        </w:rPr>
        <w:br w:type="page"/>
      </w:r>
    </w:p>
    <w:p w14:paraId="7EC1FE3F" w14:textId="7E9DB3CE" w:rsidR="00424C9C" w:rsidRPr="00F675F8" w:rsidRDefault="00424C9C" w:rsidP="00424C9C">
      <w:pPr>
        <w:spacing w:after="120" w:line="480" w:lineRule="auto"/>
        <w:jc w:val="both"/>
        <w:rPr>
          <w:b/>
          <w:bCs/>
          <w:color w:val="000000" w:themeColor="text1"/>
          <w:lang w:val="en-US"/>
        </w:rPr>
      </w:pPr>
      <w:r w:rsidRPr="00F675F8">
        <w:rPr>
          <w:b/>
          <w:bCs/>
          <w:color w:val="000000" w:themeColor="text1"/>
          <w:lang w:val="en-US"/>
        </w:rPr>
        <w:lastRenderedPageBreak/>
        <w:t>Preliminary safety data of plitidepsin</w:t>
      </w:r>
    </w:p>
    <w:p w14:paraId="6CF8F95F" w14:textId="25A66B5C" w:rsidR="00107641" w:rsidRPr="00F675F8" w:rsidRDefault="00107641" w:rsidP="00424C9C">
      <w:pPr>
        <w:spacing w:after="120" w:line="480" w:lineRule="auto"/>
        <w:jc w:val="both"/>
        <w:rPr>
          <w:color w:val="000000" w:themeColor="text1"/>
          <w:lang w:val="en-US"/>
        </w:rPr>
      </w:pPr>
      <w:r w:rsidRPr="00F675F8">
        <w:rPr>
          <w:color w:val="000000" w:themeColor="text1"/>
          <w:lang w:val="en-US"/>
        </w:rPr>
        <w:tab/>
      </w:r>
      <w:r w:rsidR="00424C9C" w:rsidRPr="00F675F8">
        <w:rPr>
          <w:color w:val="000000" w:themeColor="text1"/>
          <w:lang w:val="en-US"/>
        </w:rPr>
        <w:t>The preliminary safety and therapeutic benefit of plitidepsin in patients with COVID-19 requiring hospital admission (</w:t>
      </w:r>
      <w:r w:rsidR="00424C9C" w:rsidRPr="00F675F8">
        <w:rPr>
          <w:bCs/>
          <w:color w:val="000000" w:themeColor="text1"/>
          <w:lang w:val="en-US"/>
        </w:rPr>
        <w:t>NCT04382066</w:t>
      </w:r>
      <w:r w:rsidR="00424C9C" w:rsidRPr="00F675F8">
        <w:rPr>
          <w:color w:val="000000" w:themeColor="text1"/>
          <w:lang w:val="en-US"/>
        </w:rPr>
        <w:t xml:space="preserve">) has been recently demonstrated in a 46-patient proof-of-concept clinical study. In this open-label, non-control group, phase 1/2 trial, adult patients hospitalized with COVID-19 were randomized into three dose-ranging cohorts. </w:t>
      </w:r>
    </w:p>
    <w:p w14:paraId="534EA2CF" w14:textId="77777777" w:rsidR="00F675F8" w:rsidRPr="00F675F8" w:rsidRDefault="00107641" w:rsidP="00B562FE">
      <w:pPr>
        <w:spacing w:after="120" w:line="480" w:lineRule="auto"/>
        <w:jc w:val="both"/>
        <w:rPr>
          <w:color w:val="000000" w:themeColor="text1"/>
          <w:lang w:val="en-US"/>
        </w:rPr>
      </w:pPr>
      <w:r w:rsidRPr="00F675F8">
        <w:rPr>
          <w:color w:val="000000" w:themeColor="text1"/>
          <w:lang w:val="en-US"/>
        </w:rPr>
        <w:tab/>
      </w:r>
      <w:r w:rsidR="00424C9C" w:rsidRPr="00F675F8">
        <w:rPr>
          <w:color w:val="000000" w:themeColor="text1"/>
          <w:lang w:val="en-US"/>
        </w:rPr>
        <w:t>Plitidepsin was either infused using a schedule of 1.5, 2, or 2.5 mg q.d. for three consecutive days as a 90-minute intravenous infusion. Overall, the discharge rates by days 8 and 15 were 56.8% and 81.8%, respectively, with a more pronounced impact on those patients with moderate COVID-19. A mean reduction in viral load of 4.2 log</w:t>
      </w:r>
      <w:proofErr w:type="gramStart"/>
      <w:r w:rsidR="00424C9C" w:rsidRPr="00F675F8">
        <w:rPr>
          <w:color w:val="000000" w:themeColor="text1"/>
          <w:vertAlign w:val="subscript"/>
          <w:lang w:val="en-US"/>
        </w:rPr>
        <w:t xml:space="preserve">10  </w:t>
      </w:r>
      <w:r w:rsidR="00424C9C" w:rsidRPr="00F675F8">
        <w:rPr>
          <w:color w:val="000000" w:themeColor="text1"/>
          <w:lang w:val="en-US"/>
        </w:rPr>
        <w:t>was</w:t>
      </w:r>
      <w:proofErr w:type="gramEnd"/>
      <w:r w:rsidR="00424C9C" w:rsidRPr="00F675F8">
        <w:rPr>
          <w:color w:val="000000" w:themeColor="text1"/>
          <w:lang w:val="en-US"/>
        </w:rPr>
        <w:t xml:space="preserve"> attained at Day 15, and improvement in inflammatory markers was observed in a dose-dependent manner. Plitidepsin treatment was well tolerated in this proof-of-concept trial, and the most common side-effects were nausea, vomiting, diarrhea, abdominal pain, dizziness and dysgeusia. Just two grade 3 treatment-related adverse events observed: hypersensitivity and diarrhea. Despite the limitations of the study, the safety data in the proof-of-concept trial are encouraging when considering the low dose of plitidepsin used – a maximum of 7.5 mg total – compared to the dose of plitidepsin used in the treatment of </w:t>
      </w:r>
      <w:r w:rsidR="00243A0F" w:rsidRPr="00F675F8">
        <w:rPr>
          <w:color w:val="000000" w:themeColor="text1"/>
          <w:lang w:val="en-US"/>
        </w:rPr>
        <w:t xml:space="preserve">multiple </w:t>
      </w:r>
      <w:r w:rsidR="00424C9C" w:rsidRPr="00F675F8">
        <w:rPr>
          <w:color w:val="000000" w:themeColor="text1"/>
          <w:lang w:val="en-US"/>
        </w:rPr>
        <w:t>myeloma (5 mg/m</w:t>
      </w:r>
      <w:r w:rsidR="00424C9C" w:rsidRPr="00F675F8">
        <w:rPr>
          <w:color w:val="000000" w:themeColor="text1"/>
          <w:vertAlign w:val="superscript"/>
          <w:lang w:val="en-US"/>
        </w:rPr>
        <w:t>2</w:t>
      </w:r>
      <w:r w:rsidR="00424C9C" w:rsidRPr="00F675F8">
        <w:rPr>
          <w:color w:val="000000" w:themeColor="text1"/>
          <w:lang w:val="en-US"/>
        </w:rPr>
        <w:t xml:space="preserve">). An international phase 3 trial comparing plitidepsin to standard of care in hospitalized patients with moderate COVID-19 is currently ongoing (NEPTUNE; NCT04784559). </w:t>
      </w:r>
    </w:p>
    <w:p w14:paraId="53834E61" w14:textId="77777777" w:rsidR="00F675F8" w:rsidRPr="00F675F8" w:rsidRDefault="00F675F8" w:rsidP="00B562FE">
      <w:pPr>
        <w:spacing w:after="120" w:line="480" w:lineRule="auto"/>
        <w:jc w:val="both"/>
        <w:rPr>
          <w:color w:val="000000" w:themeColor="text1"/>
          <w:lang w:val="en-US"/>
        </w:rPr>
      </w:pPr>
    </w:p>
    <w:p w14:paraId="3A0C9E4F" w14:textId="77777777" w:rsidR="00F675F8" w:rsidRPr="00F675F8" w:rsidRDefault="00F675F8" w:rsidP="00B562FE">
      <w:pPr>
        <w:spacing w:after="120" w:line="480" w:lineRule="auto"/>
        <w:jc w:val="both"/>
        <w:rPr>
          <w:color w:val="000000" w:themeColor="text1"/>
          <w:lang w:val="en-US"/>
        </w:rPr>
      </w:pPr>
    </w:p>
    <w:p w14:paraId="61C7D4D3" w14:textId="77777777" w:rsidR="00F675F8" w:rsidRPr="00F675F8" w:rsidRDefault="00F675F8">
      <w:pPr>
        <w:rPr>
          <w:color w:val="000000" w:themeColor="text1"/>
          <w:lang w:val="en-US"/>
        </w:rPr>
      </w:pPr>
      <w:r w:rsidRPr="00F675F8">
        <w:rPr>
          <w:color w:val="000000" w:themeColor="text1"/>
          <w:lang w:val="en-US"/>
        </w:rPr>
        <w:br w:type="page"/>
      </w:r>
    </w:p>
    <w:p w14:paraId="0EA3A866" w14:textId="77777777" w:rsidR="00F675F8" w:rsidRPr="00F675F8" w:rsidRDefault="00F675F8" w:rsidP="00B562FE">
      <w:pPr>
        <w:spacing w:after="120" w:line="480" w:lineRule="auto"/>
        <w:jc w:val="both"/>
        <w:rPr>
          <w:b/>
          <w:bCs/>
          <w:color w:val="000000" w:themeColor="text1"/>
          <w:lang w:val="en-US"/>
        </w:rPr>
      </w:pPr>
      <w:r w:rsidRPr="00F675F8">
        <w:rPr>
          <w:b/>
          <w:bCs/>
          <w:color w:val="000000" w:themeColor="text1"/>
          <w:lang w:val="en-US"/>
        </w:rPr>
        <w:lastRenderedPageBreak/>
        <w:t>Further considerations</w:t>
      </w:r>
    </w:p>
    <w:p w14:paraId="5E7EBB04" w14:textId="77777777" w:rsidR="00F675F8" w:rsidRDefault="00F675F8" w:rsidP="00F675F8">
      <w:pPr>
        <w:pStyle w:val="Prrafodelista"/>
        <w:spacing w:after="120" w:line="480" w:lineRule="auto"/>
        <w:jc w:val="both"/>
        <w:rPr>
          <w:rStyle w:val="Ninguno"/>
          <w:color w:val="000000" w:themeColor="text1"/>
        </w:rPr>
      </w:pPr>
    </w:p>
    <w:p w14:paraId="66A61938" w14:textId="77777777" w:rsidR="00F675F8" w:rsidRDefault="00F675F8" w:rsidP="00F675F8">
      <w:pPr>
        <w:pStyle w:val="Prrafodelista"/>
        <w:numPr>
          <w:ilvl w:val="0"/>
          <w:numId w:val="4"/>
        </w:numPr>
        <w:spacing w:after="120" w:line="480" w:lineRule="auto"/>
        <w:jc w:val="both"/>
        <w:rPr>
          <w:rStyle w:val="Ninguno"/>
          <w:color w:val="000000" w:themeColor="text1"/>
        </w:rPr>
      </w:pPr>
      <w:r>
        <w:rPr>
          <w:rStyle w:val="Ninguno"/>
          <w:color w:val="000000" w:themeColor="text1"/>
        </w:rPr>
        <w:t>T</w:t>
      </w:r>
      <w:r w:rsidRPr="00F675F8">
        <w:rPr>
          <w:rStyle w:val="Ninguno"/>
          <w:color w:val="000000" w:themeColor="text1"/>
        </w:rPr>
        <w:t xml:space="preserve">here is a clear unmet need for effective antiviral therapies, considering that several reports have shown that convalescent plasma or </w:t>
      </w:r>
      <w:proofErr w:type="spellStart"/>
      <w:r w:rsidRPr="00F675F8">
        <w:rPr>
          <w:rStyle w:val="Ninguno"/>
          <w:color w:val="000000" w:themeColor="text1"/>
        </w:rPr>
        <w:t>remdesivir</w:t>
      </w:r>
      <w:proofErr w:type="spellEnd"/>
      <w:r w:rsidRPr="00F675F8">
        <w:rPr>
          <w:rStyle w:val="Ninguno"/>
          <w:color w:val="000000" w:themeColor="text1"/>
        </w:rPr>
        <w:t xml:space="preserve"> have limited efficacy in this population. </w:t>
      </w:r>
    </w:p>
    <w:p w14:paraId="23FE7AD0" w14:textId="05A0450F" w:rsidR="00F675F8" w:rsidRDefault="00F675F8" w:rsidP="00F675F8">
      <w:pPr>
        <w:pStyle w:val="Prrafodelista"/>
        <w:numPr>
          <w:ilvl w:val="0"/>
          <w:numId w:val="4"/>
        </w:numPr>
        <w:spacing w:after="120" w:line="480" w:lineRule="auto"/>
        <w:jc w:val="both"/>
        <w:rPr>
          <w:rStyle w:val="Ninguno"/>
          <w:color w:val="000000" w:themeColor="text1"/>
        </w:rPr>
      </w:pPr>
      <w:r>
        <w:rPr>
          <w:rStyle w:val="Ninguno"/>
          <w:color w:val="000000" w:themeColor="text1"/>
        </w:rPr>
        <w:t>O</w:t>
      </w:r>
      <w:r w:rsidRPr="00F675F8">
        <w:rPr>
          <w:rStyle w:val="Ninguno"/>
          <w:color w:val="000000" w:themeColor="text1"/>
        </w:rPr>
        <w:t xml:space="preserve">ther therapies, like the neutralizing monoclonal antibody cocktail of </w:t>
      </w:r>
      <w:proofErr w:type="spellStart"/>
      <w:r w:rsidRPr="00F675F8">
        <w:rPr>
          <w:rStyle w:val="Ninguno"/>
          <w:color w:val="000000" w:themeColor="text1"/>
        </w:rPr>
        <w:t>casirivimab</w:t>
      </w:r>
      <w:proofErr w:type="spellEnd"/>
      <w:r w:rsidRPr="00F675F8">
        <w:rPr>
          <w:rStyle w:val="Ninguno"/>
          <w:color w:val="000000" w:themeColor="text1"/>
        </w:rPr>
        <w:t xml:space="preserve"> and </w:t>
      </w:r>
      <w:proofErr w:type="spellStart"/>
      <w:r w:rsidRPr="00F675F8">
        <w:rPr>
          <w:rStyle w:val="Ninguno"/>
          <w:color w:val="000000" w:themeColor="text1"/>
        </w:rPr>
        <w:t>imdevimab</w:t>
      </w:r>
      <w:proofErr w:type="spellEnd"/>
      <w:r w:rsidRPr="00F675F8">
        <w:rPr>
          <w:rStyle w:val="Ninguno"/>
          <w:color w:val="000000" w:themeColor="text1"/>
        </w:rPr>
        <w:t xml:space="preserve"> (REGN-CoV2), may be administered very early after the initial diagnosis of SARS-CoV-2 infection in this population, though there are still some concerns over their </w:t>
      </w:r>
      <w:r w:rsidRPr="00F675F8">
        <w:rPr>
          <w:rStyle w:val="Ninguno"/>
          <w:color w:val="000000" w:themeColor="text1"/>
        </w:rPr>
        <w:t>use.</w:t>
      </w:r>
      <w:r w:rsidRPr="00F675F8">
        <w:rPr>
          <w:rStyle w:val="Ninguno"/>
          <w:color w:val="000000" w:themeColor="text1"/>
        </w:rPr>
        <w:t xml:space="preserve"> Specifically, these therapies are not widely available, have an unknown success/failure</w:t>
      </w:r>
      <w:r>
        <w:rPr>
          <w:rStyle w:val="Ninguno"/>
          <w:color w:val="000000" w:themeColor="text1"/>
        </w:rPr>
        <w:t xml:space="preserve"> in the immunocompromised population</w:t>
      </w:r>
      <w:r w:rsidRPr="00F675F8">
        <w:rPr>
          <w:rStyle w:val="Ninguno"/>
          <w:color w:val="000000" w:themeColor="text1"/>
        </w:rPr>
        <w:t xml:space="preserve">, and may have a reduced therapeutic effect on SARS-CoV-2 variants. </w:t>
      </w:r>
    </w:p>
    <w:p w14:paraId="4C61FCA4" w14:textId="77777777" w:rsidR="00F675F8" w:rsidRDefault="00F675F8" w:rsidP="00F675F8">
      <w:pPr>
        <w:pStyle w:val="Prrafodelista"/>
        <w:numPr>
          <w:ilvl w:val="0"/>
          <w:numId w:val="4"/>
        </w:numPr>
        <w:spacing w:after="120" w:line="480" w:lineRule="auto"/>
        <w:jc w:val="both"/>
        <w:rPr>
          <w:rStyle w:val="Ninguno"/>
          <w:color w:val="000000" w:themeColor="text1"/>
        </w:rPr>
      </w:pPr>
      <w:r>
        <w:rPr>
          <w:rStyle w:val="Ninguno"/>
          <w:color w:val="000000" w:themeColor="text1"/>
        </w:rPr>
        <w:t>A</w:t>
      </w:r>
      <w:r w:rsidRPr="00F675F8">
        <w:rPr>
          <w:rStyle w:val="Ninguno"/>
          <w:color w:val="000000" w:themeColor="text1"/>
        </w:rPr>
        <w:t>ny patients with hematological cancer</w:t>
      </w:r>
      <w:r>
        <w:rPr>
          <w:rStyle w:val="Ninguno"/>
          <w:color w:val="000000" w:themeColor="text1"/>
        </w:rPr>
        <w:t xml:space="preserve"> and immune deficiency</w:t>
      </w:r>
      <w:r w:rsidRPr="00F675F8">
        <w:rPr>
          <w:rStyle w:val="Ninguno"/>
          <w:color w:val="000000" w:themeColor="text1"/>
        </w:rPr>
        <w:t xml:space="preserve"> should be treated with antiviral therapies as soon as they are diagnosed with COVID-19, even without any respiratory failure. These patients represent a high-risk population for the development of serious COVID-19 pneumonia complications, are likely to have prolonged hospital admissions given their higher disease </w:t>
      </w:r>
      <w:r w:rsidRPr="00F675F8">
        <w:rPr>
          <w:rStyle w:val="Ninguno"/>
          <w:color w:val="000000" w:themeColor="text1"/>
        </w:rPr>
        <w:t>burden and</w:t>
      </w:r>
      <w:r w:rsidRPr="00F675F8">
        <w:rPr>
          <w:rStyle w:val="Ninguno"/>
          <w:color w:val="000000" w:themeColor="text1"/>
        </w:rPr>
        <w:t xml:space="preserve"> contribute to higher consumption of healthcare resources. </w:t>
      </w:r>
    </w:p>
    <w:p w14:paraId="0F7C7515" w14:textId="77777777" w:rsidR="00F675F8" w:rsidRDefault="00F675F8" w:rsidP="00F675F8">
      <w:pPr>
        <w:pStyle w:val="Prrafodelista"/>
        <w:numPr>
          <w:ilvl w:val="0"/>
          <w:numId w:val="4"/>
        </w:numPr>
        <w:spacing w:after="120" w:line="480" w:lineRule="auto"/>
        <w:jc w:val="both"/>
        <w:rPr>
          <w:rStyle w:val="Ninguno"/>
          <w:color w:val="000000" w:themeColor="text1"/>
        </w:rPr>
      </w:pPr>
      <w:r>
        <w:rPr>
          <w:rStyle w:val="Ninguno"/>
          <w:color w:val="000000" w:themeColor="text1"/>
        </w:rPr>
        <w:t>P</w:t>
      </w:r>
      <w:r w:rsidRPr="00F675F8">
        <w:rPr>
          <w:rStyle w:val="Ninguno"/>
          <w:color w:val="000000" w:themeColor="text1"/>
        </w:rPr>
        <w:t xml:space="preserve">litidepsin may have a place as a potential antiviral therapy for this population, given that some clinical criteria are met: the patient should be on non-oxygen, or low-flow oxygen support, in a hospital setting, with remission of their hematological disease (or a very </w:t>
      </w:r>
      <w:proofErr w:type="gramStart"/>
      <w:r w:rsidRPr="00F675F8">
        <w:rPr>
          <w:rStyle w:val="Ninguno"/>
          <w:color w:val="000000" w:themeColor="text1"/>
        </w:rPr>
        <w:t>good expected</w:t>
      </w:r>
      <w:proofErr w:type="gramEnd"/>
      <w:r w:rsidRPr="00F675F8">
        <w:rPr>
          <w:rStyle w:val="Ninguno"/>
          <w:color w:val="000000" w:themeColor="text1"/>
        </w:rPr>
        <w:t xml:space="preserve"> outcome during ongoing therapy). </w:t>
      </w:r>
    </w:p>
    <w:p w14:paraId="0158BB2E" w14:textId="77777777" w:rsidR="00F675F8" w:rsidRDefault="00F675F8" w:rsidP="00F675F8">
      <w:pPr>
        <w:pStyle w:val="Prrafodelista"/>
        <w:numPr>
          <w:ilvl w:val="0"/>
          <w:numId w:val="4"/>
        </w:numPr>
        <w:spacing w:after="120" w:line="480" w:lineRule="auto"/>
        <w:jc w:val="both"/>
        <w:rPr>
          <w:rStyle w:val="Ninguno"/>
          <w:color w:val="000000" w:themeColor="text1"/>
        </w:rPr>
      </w:pPr>
      <w:r>
        <w:rPr>
          <w:rStyle w:val="Ninguno"/>
          <w:color w:val="000000" w:themeColor="text1"/>
        </w:rPr>
        <w:t>T</w:t>
      </w:r>
      <w:r w:rsidRPr="00F675F8">
        <w:rPr>
          <w:rStyle w:val="Ninguno"/>
          <w:color w:val="000000" w:themeColor="text1"/>
        </w:rPr>
        <w:t xml:space="preserve">here are few blood parameters that are easy to use and measured in daily clinical practice that directly relate to clinical status and COVID-19 progression. One of them is the overall lymphocyte count, but particularly neutrophil counts. Lymphopenia is </w:t>
      </w:r>
      <w:r w:rsidRPr="00F675F8">
        <w:rPr>
          <w:rStyle w:val="Ninguno"/>
          <w:color w:val="000000" w:themeColor="text1"/>
        </w:rPr>
        <w:lastRenderedPageBreak/>
        <w:t xml:space="preserve">one of the singular characteristics of COVID-19 and it is related with poor prognosis. There are scant data about the change in lymphocyte counts over time in a large proportion of clinical trials that are exploring COVID-19 therapies. We observed that our patient had an increase in lymphocyte counts just after the first infusion of plitidepsin, an outcome that was not observed or reported with any other COVID-19 drug candidate. </w:t>
      </w:r>
    </w:p>
    <w:p w14:paraId="6D31A87E" w14:textId="77777777" w:rsidR="00F675F8" w:rsidRDefault="00F675F8" w:rsidP="00F675F8">
      <w:pPr>
        <w:pStyle w:val="Prrafodelista"/>
        <w:numPr>
          <w:ilvl w:val="0"/>
          <w:numId w:val="4"/>
        </w:numPr>
        <w:spacing w:after="120" w:line="480" w:lineRule="auto"/>
        <w:jc w:val="both"/>
        <w:rPr>
          <w:rStyle w:val="Ninguno"/>
          <w:color w:val="000000" w:themeColor="text1"/>
        </w:rPr>
      </w:pPr>
      <w:r w:rsidRPr="00F675F8">
        <w:rPr>
          <w:rStyle w:val="Ninguno"/>
          <w:color w:val="000000" w:themeColor="text1"/>
        </w:rPr>
        <w:t xml:space="preserve">We propose that the correction of lymphopenia may be a strong positive clinical prognostic factor in the COVID-19 outcome. </w:t>
      </w:r>
    </w:p>
    <w:p w14:paraId="1C4600C8" w14:textId="1C8A1E29" w:rsidR="00F675F8" w:rsidRPr="00F675F8" w:rsidRDefault="00F675F8" w:rsidP="00F675F8">
      <w:pPr>
        <w:pStyle w:val="Prrafodelista"/>
        <w:numPr>
          <w:ilvl w:val="0"/>
          <w:numId w:val="4"/>
        </w:numPr>
        <w:spacing w:after="120" w:line="480" w:lineRule="auto"/>
        <w:jc w:val="both"/>
        <w:rPr>
          <w:rStyle w:val="Ninguno"/>
          <w:color w:val="000000" w:themeColor="text1"/>
        </w:rPr>
      </w:pPr>
      <w:r>
        <w:rPr>
          <w:rStyle w:val="Ninguno"/>
          <w:color w:val="000000" w:themeColor="text1"/>
        </w:rPr>
        <w:t>We</w:t>
      </w:r>
      <w:r w:rsidRPr="00F675F8">
        <w:rPr>
          <w:rStyle w:val="Ninguno"/>
          <w:color w:val="000000" w:themeColor="text1"/>
        </w:rPr>
        <w:t xml:space="preserve"> suggest that immunocompromised patients could benefit from adaptative protocols of plitidepsin, such as using two courses of therapy separated by at least 7 days, use of a loading dose, or prolonging the time of therapy (e.g., from 3 to 5 days). These adaptations to the available protocols should be considered given that the viral clearance of immunocompromised patients is much slower than those without any immune deficiency</w:t>
      </w:r>
    </w:p>
    <w:p w14:paraId="0B4618AD" w14:textId="4FEADA7C" w:rsidR="00F675F8" w:rsidRPr="00F675F8" w:rsidRDefault="00F675F8" w:rsidP="00F675F8">
      <w:pPr>
        <w:pStyle w:val="Prrafodelista"/>
        <w:spacing w:after="120" w:line="480" w:lineRule="auto"/>
        <w:ind w:left="0"/>
        <w:jc w:val="both"/>
        <w:rPr>
          <w:rStyle w:val="Ninguno"/>
          <w:color w:val="000000" w:themeColor="text1"/>
          <w:sz w:val="20"/>
          <w:szCs w:val="20"/>
        </w:rPr>
      </w:pPr>
      <w:r w:rsidRPr="00F675F8">
        <w:rPr>
          <w:rStyle w:val="Ninguno"/>
          <w:color w:val="000000" w:themeColor="text1"/>
          <w:sz w:val="20"/>
          <w:szCs w:val="20"/>
        </w:rPr>
        <w:t>References</w:t>
      </w:r>
    </w:p>
    <w:p w14:paraId="0BE53F84" w14:textId="06758FCF" w:rsidR="00F675F8" w:rsidRPr="000B3FED" w:rsidRDefault="00F675F8" w:rsidP="00F675F8">
      <w:pPr>
        <w:pStyle w:val="Prrafodelista"/>
        <w:numPr>
          <w:ilvl w:val="0"/>
          <w:numId w:val="2"/>
        </w:numPr>
        <w:pBdr>
          <w:top w:val="nil"/>
          <w:left w:val="nil"/>
          <w:bottom w:val="nil"/>
          <w:right w:val="nil"/>
          <w:between w:val="nil"/>
          <w:bar w:val="nil"/>
        </w:pBdr>
        <w:autoSpaceDE w:val="0"/>
        <w:autoSpaceDN w:val="0"/>
        <w:ind w:left="0"/>
        <w:contextualSpacing w:val="0"/>
        <w:jc w:val="both"/>
        <w:rPr>
          <w:rStyle w:val="Ninguno"/>
          <w:rFonts w:eastAsia="Times New Roman"/>
          <w:color w:val="000000" w:themeColor="text1"/>
          <w:sz w:val="20"/>
          <w:szCs w:val="20"/>
        </w:rPr>
      </w:pPr>
      <w:r w:rsidRPr="000B3FED">
        <w:rPr>
          <w:rStyle w:val="Ninguno"/>
          <w:color w:val="000000" w:themeColor="text1"/>
          <w:sz w:val="20"/>
          <w:szCs w:val="20"/>
        </w:rPr>
        <w:t>Wang F, Hou H, Luo Y et al. The laboratory tests and host immunity of COVID-19 patients with different severity of illness. JCI insight 2020 May 21;5(10</w:t>
      </w:r>
      <w:proofErr w:type="gramStart"/>
      <w:r w:rsidRPr="000B3FED">
        <w:rPr>
          <w:rStyle w:val="Ninguno"/>
          <w:color w:val="000000" w:themeColor="text1"/>
          <w:sz w:val="20"/>
          <w:szCs w:val="20"/>
        </w:rPr>
        <w:t>):e</w:t>
      </w:r>
      <w:proofErr w:type="gramEnd"/>
      <w:r w:rsidRPr="000B3FED">
        <w:rPr>
          <w:rStyle w:val="Ninguno"/>
          <w:color w:val="000000" w:themeColor="text1"/>
          <w:sz w:val="20"/>
          <w:szCs w:val="20"/>
        </w:rPr>
        <w:t>137799</w:t>
      </w:r>
      <w:r w:rsidRPr="000B3FED">
        <w:rPr>
          <w:rStyle w:val="Ninguno"/>
          <w:color w:val="000000" w:themeColor="text1"/>
          <w:sz w:val="20"/>
          <w:szCs w:val="20"/>
        </w:rPr>
        <w:t>.</w:t>
      </w:r>
    </w:p>
    <w:p w14:paraId="610F03B9" w14:textId="345F87D6" w:rsidR="00F675F8" w:rsidRPr="000B3FED" w:rsidRDefault="00F675F8" w:rsidP="00F675F8">
      <w:pPr>
        <w:pStyle w:val="Prrafodelista"/>
        <w:numPr>
          <w:ilvl w:val="0"/>
          <w:numId w:val="2"/>
        </w:numPr>
        <w:pBdr>
          <w:top w:val="nil"/>
          <w:left w:val="nil"/>
          <w:bottom w:val="nil"/>
          <w:right w:val="nil"/>
          <w:between w:val="nil"/>
          <w:bar w:val="nil"/>
        </w:pBdr>
        <w:autoSpaceDE w:val="0"/>
        <w:autoSpaceDN w:val="0"/>
        <w:ind w:left="0"/>
        <w:contextualSpacing w:val="0"/>
        <w:jc w:val="both"/>
        <w:rPr>
          <w:rStyle w:val="Ninguno"/>
          <w:rFonts w:eastAsia="Times New Roman"/>
          <w:color w:val="000000" w:themeColor="text1"/>
          <w:sz w:val="20"/>
          <w:szCs w:val="20"/>
        </w:rPr>
      </w:pPr>
      <w:proofErr w:type="spellStart"/>
      <w:r w:rsidRPr="000B3FED">
        <w:rPr>
          <w:rFonts w:eastAsia="Times New Roman"/>
          <w:color w:val="000000" w:themeColor="text1"/>
          <w:sz w:val="20"/>
          <w:szCs w:val="20"/>
          <w:lang w:val="en-US"/>
        </w:rPr>
        <w:t>Weinreich</w:t>
      </w:r>
      <w:proofErr w:type="spellEnd"/>
      <w:r w:rsidRPr="000B3FED">
        <w:rPr>
          <w:rFonts w:eastAsia="Times New Roman"/>
          <w:color w:val="000000" w:themeColor="text1"/>
          <w:sz w:val="20"/>
          <w:szCs w:val="20"/>
          <w:lang w:val="en-US"/>
        </w:rPr>
        <w:t xml:space="preserve"> DM, </w:t>
      </w:r>
      <w:proofErr w:type="spellStart"/>
      <w:r w:rsidRPr="000B3FED">
        <w:rPr>
          <w:rFonts w:eastAsia="Times New Roman"/>
          <w:color w:val="000000" w:themeColor="text1"/>
          <w:sz w:val="20"/>
          <w:szCs w:val="20"/>
          <w:lang w:val="en-US"/>
        </w:rPr>
        <w:t>Sivapalasingam</w:t>
      </w:r>
      <w:proofErr w:type="spellEnd"/>
      <w:r w:rsidRPr="000B3FED">
        <w:rPr>
          <w:rFonts w:eastAsia="Times New Roman"/>
          <w:color w:val="000000" w:themeColor="text1"/>
          <w:sz w:val="20"/>
          <w:szCs w:val="20"/>
          <w:lang w:val="en-US"/>
        </w:rPr>
        <w:t xml:space="preserve"> S, Norton T et al. REGN-COV2, a Neutralizing Antibody Cocktail, in Outpatients with Covid-19. N </w:t>
      </w:r>
      <w:proofErr w:type="spellStart"/>
      <w:r w:rsidRPr="000B3FED">
        <w:rPr>
          <w:rFonts w:eastAsia="Times New Roman"/>
          <w:color w:val="000000" w:themeColor="text1"/>
          <w:sz w:val="20"/>
          <w:szCs w:val="20"/>
          <w:lang w:val="en-US"/>
        </w:rPr>
        <w:t>Engl</w:t>
      </w:r>
      <w:proofErr w:type="spellEnd"/>
      <w:r w:rsidRPr="000B3FED">
        <w:rPr>
          <w:rFonts w:eastAsia="Times New Roman"/>
          <w:color w:val="000000" w:themeColor="text1"/>
          <w:sz w:val="20"/>
          <w:szCs w:val="20"/>
          <w:lang w:val="en-US"/>
        </w:rPr>
        <w:t xml:space="preserve"> J Med 2021;384(3):238–51.</w:t>
      </w:r>
    </w:p>
    <w:p w14:paraId="00D6C402" w14:textId="3A97B9EE" w:rsidR="00F675F8" w:rsidRPr="000B3FED" w:rsidRDefault="00F675F8" w:rsidP="00F675F8">
      <w:pPr>
        <w:pStyle w:val="Prrafodelista"/>
        <w:numPr>
          <w:ilvl w:val="0"/>
          <w:numId w:val="2"/>
        </w:numPr>
        <w:pBdr>
          <w:top w:val="nil"/>
          <w:left w:val="nil"/>
          <w:bottom w:val="nil"/>
          <w:right w:val="nil"/>
          <w:between w:val="nil"/>
          <w:bar w:val="nil"/>
        </w:pBdr>
        <w:autoSpaceDE w:val="0"/>
        <w:autoSpaceDN w:val="0"/>
        <w:ind w:left="0"/>
        <w:contextualSpacing w:val="0"/>
        <w:jc w:val="both"/>
        <w:rPr>
          <w:rFonts w:eastAsia="Times New Roman"/>
          <w:color w:val="000000" w:themeColor="text1"/>
          <w:sz w:val="20"/>
          <w:szCs w:val="20"/>
          <w:lang w:val="en-US"/>
        </w:rPr>
      </w:pPr>
      <w:proofErr w:type="spellStart"/>
      <w:r w:rsidRPr="000B3FED">
        <w:rPr>
          <w:color w:val="000000" w:themeColor="text1"/>
          <w:sz w:val="20"/>
          <w:szCs w:val="20"/>
          <w:lang w:val="en-US"/>
        </w:rPr>
        <w:t>Spicka</w:t>
      </w:r>
      <w:proofErr w:type="spellEnd"/>
      <w:r w:rsidRPr="000B3FED">
        <w:rPr>
          <w:color w:val="000000" w:themeColor="text1"/>
          <w:sz w:val="20"/>
          <w:szCs w:val="20"/>
          <w:lang w:val="en-US"/>
        </w:rPr>
        <w:t xml:space="preserve"> I., O</w:t>
      </w:r>
      <w:proofErr w:type="spellStart"/>
      <w:r w:rsidRPr="000B3FED">
        <w:rPr>
          <w:color w:val="000000" w:themeColor="text1"/>
          <w:sz w:val="20"/>
          <w:szCs w:val="20"/>
          <w:lang w:val="en-US"/>
        </w:rPr>
        <w:t>cio</w:t>
      </w:r>
      <w:proofErr w:type="spellEnd"/>
      <w:r w:rsidRPr="000B3FED">
        <w:rPr>
          <w:color w:val="000000" w:themeColor="text1"/>
          <w:sz w:val="20"/>
          <w:szCs w:val="20"/>
          <w:lang w:val="en-US"/>
        </w:rPr>
        <w:t xml:space="preserve"> EM, </w:t>
      </w:r>
      <w:proofErr w:type="spellStart"/>
      <w:r w:rsidRPr="000B3FED">
        <w:rPr>
          <w:color w:val="000000" w:themeColor="text1"/>
          <w:sz w:val="20"/>
          <w:szCs w:val="20"/>
          <w:lang w:val="en-US"/>
        </w:rPr>
        <w:t>Oakervee</w:t>
      </w:r>
      <w:proofErr w:type="spellEnd"/>
      <w:r w:rsidRPr="000B3FED">
        <w:rPr>
          <w:color w:val="000000" w:themeColor="text1"/>
          <w:sz w:val="20"/>
          <w:szCs w:val="20"/>
          <w:lang w:val="en-US"/>
        </w:rPr>
        <w:t xml:space="preserve"> HE et al. Randomized phase III study (ADMYRE) of plitidepsin in combination with dexamethasone vs. dexamethasone alone in patients with relapsed/refractory multiple myeloma. Ann. </w:t>
      </w:r>
      <w:proofErr w:type="spellStart"/>
      <w:r w:rsidRPr="000B3FED">
        <w:rPr>
          <w:color w:val="000000" w:themeColor="text1"/>
          <w:sz w:val="20"/>
          <w:szCs w:val="20"/>
          <w:lang w:val="en-US"/>
        </w:rPr>
        <w:t>Hematol</w:t>
      </w:r>
      <w:proofErr w:type="spellEnd"/>
      <w:r w:rsidRPr="000B3FED">
        <w:rPr>
          <w:color w:val="000000" w:themeColor="text1"/>
          <w:sz w:val="20"/>
          <w:szCs w:val="20"/>
          <w:lang w:val="en-US"/>
        </w:rPr>
        <w:t>. 2019, 98, 2139–2150.</w:t>
      </w:r>
    </w:p>
    <w:p w14:paraId="38F4A871" w14:textId="77777777" w:rsidR="000B3FED" w:rsidRPr="000B3FED" w:rsidRDefault="000B3FED" w:rsidP="000B3FED">
      <w:pPr>
        <w:pStyle w:val="Prrafodelista"/>
        <w:numPr>
          <w:ilvl w:val="0"/>
          <w:numId w:val="2"/>
        </w:numPr>
        <w:pBdr>
          <w:top w:val="nil"/>
          <w:left w:val="nil"/>
          <w:bottom w:val="nil"/>
          <w:right w:val="nil"/>
          <w:between w:val="nil"/>
          <w:bar w:val="nil"/>
        </w:pBdr>
        <w:autoSpaceDE w:val="0"/>
        <w:autoSpaceDN w:val="0"/>
        <w:ind w:left="0"/>
        <w:contextualSpacing w:val="0"/>
        <w:jc w:val="both"/>
        <w:rPr>
          <w:rFonts w:eastAsia="Times New Roman"/>
          <w:color w:val="000000" w:themeColor="text1"/>
          <w:sz w:val="20"/>
          <w:szCs w:val="20"/>
          <w:lang w:val="en-US"/>
        </w:rPr>
      </w:pPr>
      <w:proofErr w:type="spellStart"/>
      <w:r w:rsidRPr="000B3FED">
        <w:rPr>
          <w:rStyle w:val="Ninguno"/>
          <w:color w:val="000000" w:themeColor="text1"/>
          <w:sz w:val="20"/>
          <w:szCs w:val="20"/>
        </w:rPr>
        <w:t>Peñaloza</w:t>
      </w:r>
      <w:proofErr w:type="spellEnd"/>
      <w:r w:rsidRPr="000B3FED">
        <w:rPr>
          <w:rStyle w:val="Ninguno"/>
          <w:color w:val="000000" w:themeColor="text1"/>
          <w:sz w:val="20"/>
          <w:szCs w:val="20"/>
        </w:rPr>
        <w:t xml:space="preserve"> HF, Lee JS, Ray P. Neutrophils and lymphopenia, an unknown axis in severe COVID-19 disease. </w:t>
      </w:r>
      <w:proofErr w:type="spellStart"/>
      <w:r w:rsidRPr="000B3FED">
        <w:rPr>
          <w:rStyle w:val="Ninguno"/>
          <w:color w:val="000000" w:themeColor="text1"/>
          <w:sz w:val="20"/>
          <w:szCs w:val="20"/>
        </w:rPr>
        <w:t>PLos</w:t>
      </w:r>
      <w:proofErr w:type="spellEnd"/>
      <w:r w:rsidRPr="000B3FED">
        <w:rPr>
          <w:rStyle w:val="Ninguno"/>
          <w:color w:val="000000" w:themeColor="text1"/>
          <w:sz w:val="20"/>
          <w:szCs w:val="20"/>
        </w:rPr>
        <w:t xml:space="preserve"> </w:t>
      </w:r>
      <w:proofErr w:type="spellStart"/>
      <w:r w:rsidRPr="000B3FED">
        <w:rPr>
          <w:rStyle w:val="Ninguno"/>
          <w:color w:val="000000" w:themeColor="text1"/>
          <w:sz w:val="20"/>
          <w:szCs w:val="20"/>
        </w:rPr>
        <w:t>Pathog</w:t>
      </w:r>
      <w:proofErr w:type="spellEnd"/>
      <w:r w:rsidRPr="000B3FED">
        <w:rPr>
          <w:rStyle w:val="Ninguno"/>
          <w:color w:val="000000" w:themeColor="text1"/>
          <w:sz w:val="20"/>
          <w:szCs w:val="20"/>
        </w:rPr>
        <w:t xml:space="preserve"> 2021 Sep 2;17(9): e1009850.</w:t>
      </w:r>
      <w:r w:rsidRPr="000B3FED">
        <w:rPr>
          <w:rFonts w:eastAsia="Times New Roman"/>
          <w:color w:val="000000" w:themeColor="text1"/>
          <w:sz w:val="20"/>
          <w:szCs w:val="20"/>
        </w:rPr>
        <w:t xml:space="preserve"> </w:t>
      </w:r>
    </w:p>
    <w:p w14:paraId="56DE6E38" w14:textId="5AF5302D" w:rsidR="00B562FE" w:rsidRPr="000B3FED" w:rsidRDefault="00424C9C" w:rsidP="00F675F8">
      <w:pPr>
        <w:pStyle w:val="Prrafodelista"/>
        <w:spacing w:after="120" w:line="480" w:lineRule="auto"/>
        <w:ind w:left="0"/>
        <w:jc w:val="both"/>
        <w:rPr>
          <w:color w:val="000000" w:themeColor="text1"/>
          <w:sz w:val="20"/>
          <w:szCs w:val="20"/>
          <w:lang w:val="en-US"/>
        </w:rPr>
      </w:pPr>
      <w:r w:rsidRPr="000B3FED">
        <w:rPr>
          <w:color w:val="000000" w:themeColor="text1"/>
          <w:sz w:val="20"/>
          <w:szCs w:val="20"/>
          <w:lang w:val="en-US"/>
        </w:rPr>
        <w:br w:type="page"/>
      </w:r>
    </w:p>
    <w:p w14:paraId="2B4706C4" w14:textId="71BB5C52" w:rsidR="001E52A1" w:rsidRPr="00F675F8" w:rsidRDefault="001E52A1">
      <w:pPr>
        <w:rPr>
          <w:color w:val="000000" w:themeColor="text1"/>
          <w:lang w:val="en-US"/>
        </w:rPr>
      </w:pPr>
    </w:p>
    <w:p w14:paraId="1E77EBED" w14:textId="26763FC0" w:rsidR="001E52A1" w:rsidRPr="00F675F8" w:rsidRDefault="00422F62" w:rsidP="0017775A">
      <w:pPr>
        <w:spacing w:line="480" w:lineRule="auto"/>
        <w:rPr>
          <w:color w:val="000000" w:themeColor="text1"/>
          <w:lang w:val="en-US"/>
        </w:rPr>
      </w:pPr>
      <w:r w:rsidRPr="00F675F8">
        <w:rPr>
          <w:noProof/>
          <w:color w:val="000000" w:themeColor="text1"/>
          <w:lang w:eastAsia="es-ES"/>
        </w:rPr>
        <w:drawing>
          <wp:anchor distT="0" distB="0" distL="114300" distR="114300" simplePos="0" relativeHeight="251659264" behindDoc="0" locked="0" layoutInCell="1" allowOverlap="1" wp14:anchorId="5039134F" wp14:editId="14EBFE6E">
            <wp:simplePos x="0" y="0"/>
            <wp:positionH relativeFrom="column">
              <wp:posOffset>0</wp:posOffset>
            </wp:positionH>
            <wp:positionV relativeFrom="paragraph">
              <wp:posOffset>0</wp:posOffset>
            </wp:positionV>
            <wp:extent cx="5396230" cy="1990725"/>
            <wp:effectExtent l="0" t="0" r="1270" b="3175"/>
            <wp:wrapNone/>
            <wp:docPr id="3" name="table" descr="Tabla&#10;&#10;Descripción generada automáticamente">
              <a:extLst xmlns:a="http://schemas.openxmlformats.org/drawingml/2006/main">
                <a:ext uri="{FF2B5EF4-FFF2-40B4-BE49-F238E27FC236}">
                  <a16:creationId xmlns:a16="http://schemas.microsoft.com/office/drawing/2014/main" id="{D04145FE-3FBD-AA42-BF01-04EA4349C1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descr="Tabla&#10;&#10;Descripción generada automáticamente">
                      <a:extLst>
                        <a:ext uri="{FF2B5EF4-FFF2-40B4-BE49-F238E27FC236}">
                          <a16:creationId xmlns:a16="http://schemas.microsoft.com/office/drawing/2014/main" id="{D04145FE-3FBD-AA42-BF01-04EA4349C115}"/>
                        </a:ext>
                      </a:extLst>
                    </pic:cNvPr>
                    <pic:cNvPicPr>
                      <a:picLocks noChangeAspect="1"/>
                    </pic:cNvPicPr>
                  </pic:nvPicPr>
                  <pic:blipFill>
                    <a:blip r:embed="rId7"/>
                    <a:stretch>
                      <a:fillRect/>
                    </a:stretch>
                  </pic:blipFill>
                  <pic:spPr>
                    <a:xfrm>
                      <a:off x="0" y="0"/>
                      <a:ext cx="5396230" cy="1990725"/>
                    </a:xfrm>
                    <a:prstGeom prst="rect">
                      <a:avLst/>
                    </a:prstGeom>
                  </pic:spPr>
                </pic:pic>
              </a:graphicData>
            </a:graphic>
          </wp:anchor>
        </w:drawing>
      </w:r>
    </w:p>
    <w:p w14:paraId="080A1EEB" w14:textId="77777777" w:rsidR="00716A8E" w:rsidRPr="00F675F8" w:rsidRDefault="00716A8E" w:rsidP="00716A8E">
      <w:pPr>
        <w:rPr>
          <w:color w:val="000000" w:themeColor="text1"/>
          <w:lang w:val="en-US"/>
        </w:rPr>
      </w:pPr>
    </w:p>
    <w:p w14:paraId="48D51626" w14:textId="31BF8D64" w:rsidR="00716A8E" w:rsidRPr="00F675F8" w:rsidRDefault="00716A8E" w:rsidP="00716A8E">
      <w:pPr>
        <w:rPr>
          <w:color w:val="000000" w:themeColor="text1"/>
          <w:lang w:val="en-US"/>
        </w:rPr>
      </w:pPr>
    </w:p>
    <w:p w14:paraId="09D6D882" w14:textId="77777777" w:rsidR="00422F62" w:rsidRPr="00F675F8" w:rsidRDefault="00422F62" w:rsidP="00716A8E">
      <w:pPr>
        <w:rPr>
          <w:color w:val="000000" w:themeColor="text1"/>
          <w:lang w:val="en-US"/>
        </w:rPr>
      </w:pPr>
    </w:p>
    <w:p w14:paraId="3F01387B" w14:textId="77777777" w:rsidR="00422F62" w:rsidRPr="00F675F8" w:rsidRDefault="00422F62" w:rsidP="00716A8E">
      <w:pPr>
        <w:rPr>
          <w:color w:val="000000" w:themeColor="text1"/>
          <w:lang w:val="en-US"/>
        </w:rPr>
      </w:pPr>
    </w:p>
    <w:p w14:paraId="3EE89875" w14:textId="77777777" w:rsidR="00422F62" w:rsidRPr="00F675F8" w:rsidRDefault="00422F62" w:rsidP="00716A8E">
      <w:pPr>
        <w:rPr>
          <w:color w:val="000000" w:themeColor="text1"/>
          <w:lang w:val="en-US"/>
        </w:rPr>
      </w:pPr>
    </w:p>
    <w:p w14:paraId="7CAF31D4" w14:textId="77777777" w:rsidR="00422F62" w:rsidRPr="00F675F8" w:rsidRDefault="00422F62" w:rsidP="00716A8E">
      <w:pPr>
        <w:rPr>
          <w:color w:val="000000" w:themeColor="text1"/>
          <w:lang w:val="en-US"/>
        </w:rPr>
      </w:pPr>
    </w:p>
    <w:p w14:paraId="685A623B" w14:textId="77777777" w:rsidR="00422F62" w:rsidRPr="00F675F8" w:rsidRDefault="00422F62" w:rsidP="00716A8E">
      <w:pPr>
        <w:rPr>
          <w:color w:val="000000" w:themeColor="text1"/>
          <w:lang w:val="en-US"/>
        </w:rPr>
      </w:pPr>
    </w:p>
    <w:p w14:paraId="749A8B0D" w14:textId="77777777" w:rsidR="00422F62" w:rsidRPr="00F675F8" w:rsidRDefault="00422F62" w:rsidP="00716A8E">
      <w:pPr>
        <w:rPr>
          <w:color w:val="000000" w:themeColor="text1"/>
          <w:lang w:val="en-US"/>
        </w:rPr>
      </w:pPr>
    </w:p>
    <w:p w14:paraId="01CE2ADE" w14:textId="77777777" w:rsidR="00422F62" w:rsidRPr="00F675F8" w:rsidRDefault="00422F62" w:rsidP="00716A8E">
      <w:pPr>
        <w:rPr>
          <w:color w:val="000000" w:themeColor="text1"/>
          <w:lang w:val="en-US"/>
        </w:rPr>
      </w:pPr>
    </w:p>
    <w:p w14:paraId="427B9A8D" w14:textId="1138C778" w:rsidR="00422F62" w:rsidRPr="00F675F8" w:rsidRDefault="001359EB" w:rsidP="00716A8E">
      <w:pPr>
        <w:rPr>
          <w:color w:val="000000" w:themeColor="text1"/>
          <w:lang w:val="en-US"/>
        </w:rPr>
      </w:pPr>
      <w:r w:rsidRPr="00F675F8">
        <w:rPr>
          <w:noProof/>
          <w:color w:val="000000" w:themeColor="text1"/>
          <w:lang w:eastAsia="es-ES"/>
        </w:rPr>
        <mc:AlternateContent>
          <mc:Choice Requires="wps">
            <w:drawing>
              <wp:anchor distT="0" distB="0" distL="114300" distR="114300" simplePos="0" relativeHeight="251661312" behindDoc="0" locked="0" layoutInCell="1" allowOverlap="1" wp14:anchorId="165ABA10" wp14:editId="4B9F9581">
                <wp:simplePos x="0" y="0"/>
                <wp:positionH relativeFrom="column">
                  <wp:posOffset>-843</wp:posOffset>
                </wp:positionH>
                <wp:positionV relativeFrom="paragraph">
                  <wp:posOffset>186543</wp:posOffset>
                </wp:positionV>
                <wp:extent cx="5396230" cy="846945"/>
                <wp:effectExtent l="0" t="0" r="0" b="0"/>
                <wp:wrapNone/>
                <wp:docPr id="6" name="CuadroTexto 5"/>
                <wp:cNvGraphicFramePr/>
                <a:graphic xmlns:a="http://schemas.openxmlformats.org/drawingml/2006/main">
                  <a:graphicData uri="http://schemas.microsoft.com/office/word/2010/wordprocessingShape">
                    <wps:wsp>
                      <wps:cNvSpPr txBox="1"/>
                      <wps:spPr>
                        <a:xfrm>
                          <a:off x="0" y="0"/>
                          <a:ext cx="5396230" cy="846945"/>
                        </a:xfrm>
                        <a:prstGeom prst="rect">
                          <a:avLst/>
                        </a:prstGeom>
                        <a:noFill/>
                      </wps:spPr>
                      <wps:txbx>
                        <w:txbxContent>
                          <w:p w14:paraId="6148DEC5" w14:textId="5D5C890D" w:rsidR="00422F62" w:rsidRPr="00422F62" w:rsidRDefault="00422F62" w:rsidP="00422F62">
                            <w:pPr>
                              <w:jc w:val="both"/>
                              <w:rPr>
                                <w:rFonts w:hAnsi="Calibri"/>
                                <w:color w:val="000000" w:themeColor="text1"/>
                                <w:kern w:val="24"/>
                                <w:sz w:val="22"/>
                                <w:szCs w:val="22"/>
                                <w:lang w:val="en-US"/>
                              </w:rPr>
                            </w:pPr>
                            <w:r w:rsidRPr="00422F62">
                              <w:rPr>
                                <w:rFonts w:hAnsi="Calibri"/>
                                <w:color w:val="000000" w:themeColor="text1"/>
                                <w:kern w:val="24"/>
                                <w:sz w:val="22"/>
                                <w:szCs w:val="22"/>
                                <w:lang w:val="en-US"/>
                              </w:rPr>
                              <w:t xml:space="preserve">Table 1S. Patient </w:t>
                            </w:r>
                            <w:r>
                              <w:rPr>
                                <w:rFonts w:hAnsi="Calibri"/>
                                <w:color w:val="000000" w:themeColor="text1"/>
                                <w:kern w:val="24"/>
                                <w:sz w:val="22"/>
                                <w:szCs w:val="22"/>
                                <w:lang w:val="en-US"/>
                              </w:rPr>
                              <w:t xml:space="preserve">immune </w:t>
                            </w:r>
                            <w:r w:rsidRPr="00422F62">
                              <w:rPr>
                                <w:rFonts w:hAnsi="Calibri"/>
                                <w:color w:val="000000" w:themeColor="text1"/>
                                <w:kern w:val="24"/>
                                <w:sz w:val="22"/>
                                <w:szCs w:val="22"/>
                                <w:lang w:val="en-US"/>
                              </w:rPr>
                              <w:t>profile</w:t>
                            </w:r>
                            <w:r w:rsidR="001359EB">
                              <w:rPr>
                                <w:rFonts w:hAnsi="Calibri"/>
                                <w:color w:val="000000" w:themeColor="text1"/>
                                <w:kern w:val="24"/>
                                <w:sz w:val="22"/>
                                <w:szCs w:val="22"/>
                                <w:lang w:val="en-US"/>
                              </w:rPr>
                              <w:t xml:space="preserve"> and serostatus against SARS-CoV-2</w:t>
                            </w:r>
                            <w:r w:rsidRPr="00422F62">
                              <w:rPr>
                                <w:rFonts w:hAnsi="Calibri"/>
                                <w:color w:val="000000" w:themeColor="text1"/>
                                <w:kern w:val="24"/>
                                <w:sz w:val="22"/>
                                <w:szCs w:val="22"/>
                                <w:lang w:val="en-US"/>
                              </w:rPr>
                              <w:t>. Total IgG; IgA; IgM and IgG; IgA; IgM against C</w:t>
                            </w:r>
                            <w:r w:rsidR="005F5D5A">
                              <w:rPr>
                                <w:rFonts w:hAnsi="Calibri"/>
                                <w:color w:val="000000" w:themeColor="text1"/>
                                <w:kern w:val="24"/>
                                <w:sz w:val="22"/>
                                <w:szCs w:val="22"/>
                                <w:lang w:val="en-US"/>
                              </w:rPr>
                              <w:t>OVID</w:t>
                            </w:r>
                            <w:r w:rsidRPr="00422F62">
                              <w:rPr>
                                <w:rFonts w:hAnsi="Calibri"/>
                                <w:color w:val="000000" w:themeColor="text1"/>
                                <w:kern w:val="24"/>
                                <w:sz w:val="22"/>
                                <w:szCs w:val="22"/>
                                <w:lang w:val="en-US"/>
                              </w:rPr>
                              <w:t>-19 were measured in blood samples. *Positives in C</w:t>
                            </w:r>
                            <w:r w:rsidR="005F5D5A">
                              <w:rPr>
                                <w:rFonts w:hAnsi="Calibri"/>
                                <w:color w:val="000000" w:themeColor="text1"/>
                                <w:kern w:val="24"/>
                                <w:sz w:val="22"/>
                                <w:szCs w:val="22"/>
                                <w:lang w:val="en-US"/>
                              </w:rPr>
                              <w:t>OVID</w:t>
                            </w:r>
                            <w:r w:rsidRPr="00422F62">
                              <w:rPr>
                                <w:rFonts w:hAnsi="Calibri"/>
                                <w:color w:val="000000" w:themeColor="text1"/>
                                <w:kern w:val="24"/>
                                <w:sz w:val="22"/>
                                <w:szCs w:val="22"/>
                                <w:lang w:val="en-US"/>
                              </w:rPr>
                              <w:t>-19 IgG are related with injection of convalescent plasma. Immunoglobulin G, M or A (IgG, IgM or IgA).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65ABA10" id="_x0000_t202" coordsize="21600,21600" o:spt="202" path="m,l,21600r21600,l21600,xe">
                <v:stroke joinstyle="miter"/>
                <v:path gradientshapeok="t" o:connecttype="rect"/>
              </v:shapetype>
              <v:shape id="CuadroTexto 5" o:spid="_x0000_s1026" type="#_x0000_t202" style="position:absolute;margin-left:-.05pt;margin-top:14.7pt;width:424.9pt;height:6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" filled="f" stroked="f">
                <v:textbox>
                  <w:txbxContent>
                    <w:p w14:paraId="6148DEC5" w14:textId="5D5C890D" w:rsidR="00422F62" w:rsidRPr="00422F62" w:rsidRDefault="00422F62" w:rsidP="00422F62">
                      <w:pPr>
                        <w:jc w:val="both"/>
                        <w:rPr>
                          <w:rFonts w:hAnsi="Calibri"/>
                          <w:color w:val="000000" w:themeColor="text1"/>
                          <w:kern w:val="24"/>
                          <w:sz w:val="22"/>
                          <w:szCs w:val="22"/>
                          <w:lang w:val="en-US"/>
                        </w:rPr>
                      </w:pPr>
                      <w:r w:rsidRPr="00422F62">
                        <w:rPr>
                          <w:rFonts w:hAnsi="Calibri"/>
                          <w:color w:val="000000" w:themeColor="text1"/>
                          <w:kern w:val="24"/>
                          <w:sz w:val="22"/>
                          <w:szCs w:val="22"/>
                          <w:lang w:val="en-US"/>
                        </w:rPr>
                        <w:t xml:space="preserve">Table 1S. Patient </w:t>
                      </w:r>
                      <w:r>
                        <w:rPr>
                          <w:rFonts w:hAnsi="Calibri"/>
                          <w:color w:val="000000" w:themeColor="text1"/>
                          <w:kern w:val="24"/>
                          <w:sz w:val="22"/>
                          <w:szCs w:val="22"/>
                          <w:lang w:val="en-US"/>
                        </w:rPr>
                        <w:t xml:space="preserve">immune </w:t>
                      </w:r>
                      <w:r w:rsidRPr="00422F62">
                        <w:rPr>
                          <w:rFonts w:hAnsi="Calibri"/>
                          <w:color w:val="000000" w:themeColor="text1"/>
                          <w:kern w:val="24"/>
                          <w:sz w:val="22"/>
                          <w:szCs w:val="22"/>
                          <w:lang w:val="en-US"/>
                        </w:rPr>
                        <w:t>profile</w:t>
                      </w:r>
                      <w:r w:rsidR="001359EB">
                        <w:rPr>
                          <w:rFonts w:hAnsi="Calibri"/>
                          <w:color w:val="000000" w:themeColor="text1"/>
                          <w:kern w:val="24"/>
                          <w:sz w:val="22"/>
                          <w:szCs w:val="22"/>
                          <w:lang w:val="en-US"/>
                        </w:rPr>
                        <w:t xml:space="preserve"> and serostatus against SARS-CoV-2</w:t>
                      </w:r>
                      <w:r w:rsidRPr="00422F62">
                        <w:rPr>
                          <w:rFonts w:hAnsi="Calibri"/>
                          <w:color w:val="000000" w:themeColor="text1"/>
                          <w:kern w:val="24"/>
                          <w:sz w:val="22"/>
                          <w:szCs w:val="22"/>
                          <w:lang w:val="en-US"/>
                        </w:rPr>
                        <w:t>. Total IgG; IgA; IgM and IgG; IgA; IgM against C</w:t>
                      </w:r>
                      <w:r w:rsidR="005F5D5A">
                        <w:rPr>
                          <w:rFonts w:hAnsi="Calibri"/>
                          <w:color w:val="000000" w:themeColor="text1"/>
                          <w:kern w:val="24"/>
                          <w:sz w:val="22"/>
                          <w:szCs w:val="22"/>
                          <w:lang w:val="en-US"/>
                        </w:rPr>
                        <w:t>OVID</w:t>
                      </w:r>
                      <w:r w:rsidRPr="00422F62">
                        <w:rPr>
                          <w:rFonts w:hAnsi="Calibri"/>
                          <w:color w:val="000000" w:themeColor="text1"/>
                          <w:kern w:val="24"/>
                          <w:sz w:val="22"/>
                          <w:szCs w:val="22"/>
                          <w:lang w:val="en-US"/>
                        </w:rPr>
                        <w:t>-19 were measured in blood samples. *Positives in C</w:t>
                      </w:r>
                      <w:r w:rsidR="005F5D5A">
                        <w:rPr>
                          <w:rFonts w:hAnsi="Calibri"/>
                          <w:color w:val="000000" w:themeColor="text1"/>
                          <w:kern w:val="24"/>
                          <w:sz w:val="22"/>
                          <w:szCs w:val="22"/>
                          <w:lang w:val="en-US"/>
                        </w:rPr>
                        <w:t>OVID</w:t>
                      </w:r>
                      <w:r w:rsidRPr="00422F62">
                        <w:rPr>
                          <w:rFonts w:hAnsi="Calibri"/>
                          <w:color w:val="000000" w:themeColor="text1"/>
                          <w:kern w:val="24"/>
                          <w:sz w:val="22"/>
                          <w:szCs w:val="22"/>
                          <w:lang w:val="en-US"/>
                        </w:rPr>
                        <w:t>-19 IgG are related with injection of convalescent plasma. Immunoglobulin G, M or A (IgG, IgM or IgA).</w:t>
                      </w:r>
                    </w:p>
                  </w:txbxContent>
                </v:textbox>
              </v:shape>
            </w:pict>
          </mc:Fallback>
        </mc:AlternateContent>
      </w:r>
    </w:p>
    <w:p w14:paraId="5B0594E1" w14:textId="1A5D880B" w:rsidR="00422F62" w:rsidRPr="00F675F8" w:rsidRDefault="00422F62" w:rsidP="00716A8E">
      <w:pPr>
        <w:rPr>
          <w:color w:val="000000" w:themeColor="text1"/>
          <w:lang w:val="en-US"/>
        </w:rPr>
      </w:pPr>
    </w:p>
    <w:p w14:paraId="69E7B604" w14:textId="77777777" w:rsidR="00422F62" w:rsidRPr="00F675F8" w:rsidRDefault="00422F62" w:rsidP="00716A8E">
      <w:pPr>
        <w:rPr>
          <w:color w:val="000000" w:themeColor="text1"/>
          <w:lang w:val="en-US"/>
        </w:rPr>
      </w:pPr>
    </w:p>
    <w:p w14:paraId="74AE5862" w14:textId="77777777" w:rsidR="00422F62" w:rsidRPr="00F675F8" w:rsidRDefault="00422F62" w:rsidP="00716A8E">
      <w:pPr>
        <w:rPr>
          <w:color w:val="000000" w:themeColor="text1"/>
          <w:lang w:val="en-US"/>
        </w:rPr>
      </w:pPr>
    </w:p>
    <w:p w14:paraId="1CA00A26" w14:textId="62B3C14D" w:rsidR="00422F62" w:rsidRPr="00F675F8" w:rsidRDefault="00422F62">
      <w:pPr>
        <w:rPr>
          <w:color w:val="000000" w:themeColor="text1"/>
          <w:lang w:val="en-US"/>
        </w:rPr>
      </w:pPr>
      <w:r w:rsidRPr="00F675F8">
        <w:rPr>
          <w:color w:val="000000" w:themeColor="text1"/>
          <w:lang w:val="en-US"/>
        </w:rPr>
        <w:br w:type="page"/>
      </w:r>
    </w:p>
    <w:p w14:paraId="5801F54B" w14:textId="77777777" w:rsidR="00422F62" w:rsidRPr="00F675F8" w:rsidRDefault="00422F62" w:rsidP="00422F62">
      <w:pPr>
        <w:rPr>
          <w:color w:val="000000" w:themeColor="text1"/>
          <w:lang w:val="en-US"/>
        </w:rPr>
      </w:pPr>
      <w:r w:rsidRPr="00F675F8">
        <w:rPr>
          <w:noProof/>
          <w:color w:val="000000" w:themeColor="text1"/>
          <w:lang w:eastAsia="es-ES"/>
        </w:rPr>
        <w:lastRenderedPageBreak/>
        <mc:AlternateContent>
          <mc:Choice Requires="wps">
            <w:drawing>
              <wp:anchor distT="0" distB="0" distL="114300" distR="114300" simplePos="0" relativeHeight="251664384" behindDoc="0" locked="0" layoutInCell="1" allowOverlap="1" wp14:anchorId="5E2C3442" wp14:editId="60DDA509">
                <wp:simplePos x="0" y="0"/>
                <wp:positionH relativeFrom="column">
                  <wp:posOffset>-143250</wp:posOffset>
                </wp:positionH>
                <wp:positionV relativeFrom="paragraph">
                  <wp:posOffset>2158198</wp:posOffset>
                </wp:positionV>
                <wp:extent cx="5396230" cy="524656"/>
                <wp:effectExtent l="0" t="0" r="0" b="0"/>
                <wp:wrapNone/>
                <wp:docPr id="7" name="CuadroTexto 6"/>
                <wp:cNvGraphicFramePr/>
                <a:graphic xmlns:a="http://schemas.openxmlformats.org/drawingml/2006/main">
                  <a:graphicData uri="http://schemas.microsoft.com/office/word/2010/wordprocessingShape">
                    <wps:wsp>
                      <wps:cNvSpPr txBox="1"/>
                      <wps:spPr>
                        <a:xfrm>
                          <a:off x="0" y="0"/>
                          <a:ext cx="5396230" cy="524656"/>
                        </a:xfrm>
                        <a:prstGeom prst="rect">
                          <a:avLst/>
                        </a:prstGeom>
                        <a:noFill/>
                      </wps:spPr>
                      <wps:txbx>
                        <w:txbxContent>
                          <w:p w14:paraId="1F63F02F" w14:textId="51CC2A80" w:rsidR="00422F62" w:rsidRPr="00422F62" w:rsidRDefault="00422F62" w:rsidP="00422F62">
                            <w:pPr>
                              <w:jc w:val="both"/>
                              <w:rPr>
                                <w:rFonts w:hAnsi="Calibri"/>
                                <w:color w:val="000000" w:themeColor="text1"/>
                                <w:kern w:val="24"/>
                                <w:sz w:val="22"/>
                                <w:szCs w:val="22"/>
                                <w:lang w:val="en-US"/>
                              </w:rPr>
                            </w:pPr>
                            <w:r w:rsidRPr="00422F62">
                              <w:rPr>
                                <w:rFonts w:hAnsi="Calibri"/>
                                <w:color w:val="000000" w:themeColor="text1"/>
                                <w:kern w:val="24"/>
                                <w:sz w:val="22"/>
                                <w:szCs w:val="22"/>
                                <w:lang w:val="en-US"/>
                              </w:rPr>
                              <w:t>Table 2</w:t>
                            </w:r>
                            <w:r>
                              <w:rPr>
                                <w:rFonts w:hAnsi="Calibri"/>
                                <w:color w:val="000000" w:themeColor="text1"/>
                                <w:kern w:val="24"/>
                                <w:sz w:val="22"/>
                                <w:szCs w:val="22"/>
                                <w:lang w:val="en-US"/>
                              </w:rPr>
                              <w:t>S</w:t>
                            </w:r>
                            <w:r w:rsidRPr="00422F62">
                              <w:rPr>
                                <w:rFonts w:hAnsi="Calibri"/>
                                <w:color w:val="000000" w:themeColor="text1"/>
                                <w:kern w:val="24"/>
                                <w:sz w:val="22"/>
                                <w:szCs w:val="22"/>
                                <w:lang w:val="en-US"/>
                              </w:rPr>
                              <w:t xml:space="preserve">. Lymphocyte </w:t>
                            </w:r>
                            <w:r>
                              <w:rPr>
                                <w:rFonts w:hAnsi="Calibri"/>
                                <w:color w:val="000000" w:themeColor="text1"/>
                                <w:kern w:val="24"/>
                                <w:sz w:val="22"/>
                                <w:szCs w:val="22"/>
                                <w:lang w:val="en-US"/>
                              </w:rPr>
                              <w:t xml:space="preserve">counts and </w:t>
                            </w:r>
                            <w:r w:rsidRPr="00422F62">
                              <w:rPr>
                                <w:rFonts w:hAnsi="Calibri"/>
                                <w:color w:val="000000" w:themeColor="text1"/>
                                <w:kern w:val="24"/>
                                <w:sz w:val="22"/>
                                <w:szCs w:val="22"/>
                                <w:lang w:val="en-US"/>
                              </w:rPr>
                              <w:t>population</w:t>
                            </w:r>
                            <w:r>
                              <w:rPr>
                                <w:rFonts w:hAnsi="Calibri"/>
                                <w:color w:val="000000" w:themeColor="text1"/>
                                <w:kern w:val="24"/>
                                <w:sz w:val="22"/>
                                <w:szCs w:val="22"/>
                                <w:lang w:val="en-US"/>
                              </w:rPr>
                              <w:t>s</w:t>
                            </w:r>
                            <w:r w:rsidRPr="00422F62">
                              <w:rPr>
                                <w:rFonts w:hAnsi="Calibri"/>
                                <w:color w:val="000000" w:themeColor="text1"/>
                                <w:kern w:val="24"/>
                                <w:sz w:val="22"/>
                                <w:szCs w:val="22"/>
                                <w:lang w:val="en-US"/>
                              </w:rPr>
                              <w:t xml:space="preserve"> </w:t>
                            </w:r>
                            <w:r>
                              <w:rPr>
                                <w:rFonts w:hAnsi="Calibri"/>
                                <w:color w:val="000000" w:themeColor="text1"/>
                                <w:kern w:val="24"/>
                                <w:sz w:val="22"/>
                                <w:szCs w:val="22"/>
                                <w:lang w:val="en-US"/>
                              </w:rPr>
                              <w:t>while</w:t>
                            </w:r>
                            <w:r w:rsidRPr="00422F62">
                              <w:rPr>
                                <w:rFonts w:hAnsi="Calibri"/>
                                <w:color w:val="000000" w:themeColor="text1"/>
                                <w:kern w:val="24"/>
                                <w:sz w:val="22"/>
                                <w:szCs w:val="22"/>
                                <w:lang w:val="en-US"/>
                              </w:rPr>
                              <w:t xml:space="preserve"> </w:t>
                            </w:r>
                            <w:r w:rsidR="00AB533A">
                              <w:rPr>
                                <w:rFonts w:hAnsi="Calibri"/>
                                <w:color w:val="000000" w:themeColor="text1"/>
                                <w:kern w:val="24"/>
                                <w:sz w:val="22"/>
                                <w:szCs w:val="22"/>
                                <w:lang w:val="en-US"/>
                              </w:rPr>
                              <w:t>infected with SARS-CoV-2</w:t>
                            </w:r>
                            <w:r w:rsidRPr="00422F62">
                              <w:rPr>
                                <w:rFonts w:hAnsi="Calibri"/>
                                <w:color w:val="000000" w:themeColor="text1"/>
                                <w:kern w:val="24"/>
                                <w:sz w:val="22"/>
                                <w:szCs w:val="22"/>
                                <w:lang w:val="en-US"/>
                              </w:rPr>
                              <w:t>. Lymphocyte populations were analyzed by flow cytometry</w:t>
                            </w:r>
                            <w:r w:rsidR="00D00C5E">
                              <w:rPr>
                                <w:rFonts w:hAnsi="Calibri"/>
                                <w:color w:val="000000" w:themeColor="text1"/>
                                <w:kern w:val="24"/>
                                <w:sz w:val="22"/>
                                <w:szCs w:val="22"/>
                                <w:lang w:val="en-US"/>
                              </w:rPr>
                              <w:t xml:space="preserve"> in serum samples.</w:t>
                            </w:r>
                            <w:r w:rsidRPr="00422F62">
                              <w:rPr>
                                <w:rFonts w:hAnsi="Calibri"/>
                                <w:color w:val="000000" w:themeColor="text1"/>
                                <w:kern w:val="24"/>
                                <w:sz w:val="22"/>
                                <w:szCs w:val="22"/>
                                <w:lang w:val="en-US"/>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E2C3442" id="CuadroTexto 6" o:spid="_x0000_s1027" type="#_x0000_t202" style="position:absolute;margin-left:-11.3pt;margin-top:169.95pt;width:424.9pt;height:4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" filled="f" stroked="f">
                <v:textbox>
                  <w:txbxContent>
                    <w:p w14:paraId="1F63F02F" w14:textId="51CC2A80" w:rsidR="00422F62" w:rsidRPr="00422F62" w:rsidRDefault="00422F62" w:rsidP="00422F62">
                      <w:pPr>
                        <w:jc w:val="both"/>
                        <w:rPr>
                          <w:rFonts w:hAnsi="Calibri"/>
                          <w:color w:val="000000" w:themeColor="text1"/>
                          <w:kern w:val="24"/>
                          <w:sz w:val="22"/>
                          <w:szCs w:val="22"/>
                          <w:lang w:val="en-US"/>
                        </w:rPr>
                      </w:pPr>
                      <w:r w:rsidRPr="00422F62">
                        <w:rPr>
                          <w:rFonts w:hAnsi="Calibri"/>
                          <w:color w:val="000000" w:themeColor="text1"/>
                          <w:kern w:val="24"/>
                          <w:sz w:val="22"/>
                          <w:szCs w:val="22"/>
                          <w:lang w:val="en-US"/>
                        </w:rPr>
                        <w:t>Table 2</w:t>
                      </w:r>
                      <w:r>
                        <w:rPr>
                          <w:rFonts w:hAnsi="Calibri"/>
                          <w:color w:val="000000" w:themeColor="text1"/>
                          <w:kern w:val="24"/>
                          <w:sz w:val="22"/>
                          <w:szCs w:val="22"/>
                          <w:lang w:val="en-US"/>
                        </w:rPr>
                        <w:t>S</w:t>
                      </w:r>
                      <w:r w:rsidRPr="00422F62">
                        <w:rPr>
                          <w:rFonts w:hAnsi="Calibri"/>
                          <w:color w:val="000000" w:themeColor="text1"/>
                          <w:kern w:val="24"/>
                          <w:sz w:val="22"/>
                          <w:szCs w:val="22"/>
                          <w:lang w:val="en-US"/>
                        </w:rPr>
                        <w:t xml:space="preserve">. Lymphocyte </w:t>
                      </w:r>
                      <w:r>
                        <w:rPr>
                          <w:rFonts w:hAnsi="Calibri"/>
                          <w:color w:val="000000" w:themeColor="text1"/>
                          <w:kern w:val="24"/>
                          <w:sz w:val="22"/>
                          <w:szCs w:val="22"/>
                          <w:lang w:val="en-US"/>
                        </w:rPr>
                        <w:t xml:space="preserve">counts and </w:t>
                      </w:r>
                      <w:r w:rsidRPr="00422F62">
                        <w:rPr>
                          <w:rFonts w:hAnsi="Calibri"/>
                          <w:color w:val="000000" w:themeColor="text1"/>
                          <w:kern w:val="24"/>
                          <w:sz w:val="22"/>
                          <w:szCs w:val="22"/>
                          <w:lang w:val="en-US"/>
                        </w:rPr>
                        <w:t>population</w:t>
                      </w:r>
                      <w:r>
                        <w:rPr>
                          <w:rFonts w:hAnsi="Calibri"/>
                          <w:color w:val="000000" w:themeColor="text1"/>
                          <w:kern w:val="24"/>
                          <w:sz w:val="22"/>
                          <w:szCs w:val="22"/>
                          <w:lang w:val="en-US"/>
                        </w:rPr>
                        <w:t>s</w:t>
                      </w:r>
                      <w:r w:rsidRPr="00422F62">
                        <w:rPr>
                          <w:rFonts w:hAnsi="Calibri"/>
                          <w:color w:val="000000" w:themeColor="text1"/>
                          <w:kern w:val="24"/>
                          <w:sz w:val="22"/>
                          <w:szCs w:val="22"/>
                          <w:lang w:val="en-US"/>
                        </w:rPr>
                        <w:t xml:space="preserve"> </w:t>
                      </w:r>
                      <w:r>
                        <w:rPr>
                          <w:rFonts w:hAnsi="Calibri"/>
                          <w:color w:val="000000" w:themeColor="text1"/>
                          <w:kern w:val="24"/>
                          <w:sz w:val="22"/>
                          <w:szCs w:val="22"/>
                          <w:lang w:val="en-US"/>
                        </w:rPr>
                        <w:t>while</w:t>
                      </w:r>
                      <w:r w:rsidRPr="00422F62">
                        <w:rPr>
                          <w:rFonts w:hAnsi="Calibri"/>
                          <w:color w:val="000000" w:themeColor="text1"/>
                          <w:kern w:val="24"/>
                          <w:sz w:val="22"/>
                          <w:szCs w:val="22"/>
                          <w:lang w:val="en-US"/>
                        </w:rPr>
                        <w:t xml:space="preserve"> </w:t>
                      </w:r>
                      <w:r w:rsidR="00AB533A">
                        <w:rPr>
                          <w:rFonts w:hAnsi="Calibri"/>
                          <w:color w:val="000000" w:themeColor="text1"/>
                          <w:kern w:val="24"/>
                          <w:sz w:val="22"/>
                          <w:szCs w:val="22"/>
                          <w:lang w:val="en-US"/>
                        </w:rPr>
                        <w:t>infected with SARS-CoV-2</w:t>
                      </w:r>
                      <w:r w:rsidRPr="00422F62">
                        <w:rPr>
                          <w:rFonts w:hAnsi="Calibri"/>
                          <w:color w:val="000000" w:themeColor="text1"/>
                          <w:kern w:val="24"/>
                          <w:sz w:val="22"/>
                          <w:szCs w:val="22"/>
                          <w:lang w:val="en-US"/>
                        </w:rPr>
                        <w:t>. Lymphocyte populations were analyzed by flow cytometry</w:t>
                      </w:r>
                      <w:r w:rsidR="00D00C5E">
                        <w:rPr>
                          <w:rFonts w:hAnsi="Calibri"/>
                          <w:color w:val="000000" w:themeColor="text1"/>
                          <w:kern w:val="24"/>
                          <w:sz w:val="22"/>
                          <w:szCs w:val="22"/>
                          <w:lang w:val="en-US"/>
                        </w:rPr>
                        <w:t xml:space="preserve"> in serum samples.</w:t>
                      </w:r>
                      <w:r w:rsidRPr="00422F62">
                        <w:rPr>
                          <w:rFonts w:hAnsi="Calibri"/>
                          <w:color w:val="000000" w:themeColor="text1"/>
                          <w:kern w:val="24"/>
                          <w:sz w:val="22"/>
                          <w:szCs w:val="22"/>
                          <w:lang w:val="en-US"/>
                        </w:rPr>
                        <w:t xml:space="preserve"> </w:t>
                      </w:r>
                    </w:p>
                  </w:txbxContent>
                </v:textbox>
              </v:shape>
            </w:pict>
          </mc:Fallback>
        </mc:AlternateContent>
      </w:r>
      <w:r w:rsidRPr="00F675F8">
        <w:rPr>
          <w:noProof/>
          <w:color w:val="000000" w:themeColor="text1"/>
          <w:lang w:eastAsia="es-ES"/>
        </w:rPr>
        <w:drawing>
          <wp:anchor distT="0" distB="0" distL="114300" distR="114300" simplePos="0" relativeHeight="251663360" behindDoc="0" locked="0" layoutInCell="1" allowOverlap="1" wp14:anchorId="32113B0A" wp14:editId="5A12B045">
            <wp:simplePos x="0" y="0"/>
            <wp:positionH relativeFrom="column">
              <wp:posOffset>-145415</wp:posOffset>
            </wp:positionH>
            <wp:positionV relativeFrom="paragraph">
              <wp:posOffset>-67945</wp:posOffset>
            </wp:positionV>
            <wp:extent cx="5396230" cy="2044065"/>
            <wp:effectExtent l="0" t="0" r="1270" b="635"/>
            <wp:wrapNone/>
            <wp:docPr id="2" name="table" descr="Tabla&#10;&#10;Descripción generada automáticamente">
              <a:extLst xmlns:a="http://schemas.openxmlformats.org/drawingml/2006/main">
                <a:ext uri="{FF2B5EF4-FFF2-40B4-BE49-F238E27FC236}">
                  <a16:creationId xmlns:a16="http://schemas.microsoft.com/office/drawing/2014/main" id="{99081B75-E612-9545-9F3D-FCA2EDFFAE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descr="Tabla&#10;&#10;Descripción generada automáticamente">
                      <a:extLst>
                        <a:ext uri="{FF2B5EF4-FFF2-40B4-BE49-F238E27FC236}">
                          <a16:creationId xmlns:a16="http://schemas.microsoft.com/office/drawing/2014/main" id="{99081B75-E612-9545-9F3D-FCA2EDFFAEA5}"/>
                        </a:ext>
                      </a:extLst>
                    </pic:cNvPr>
                    <pic:cNvPicPr>
                      <a:picLocks noChangeAspect="1"/>
                    </pic:cNvPicPr>
                  </pic:nvPicPr>
                  <pic:blipFill>
                    <a:blip r:embed="rId8"/>
                    <a:stretch>
                      <a:fillRect/>
                    </a:stretch>
                  </pic:blipFill>
                  <pic:spPr>
                    <a:xfrm>
                      <a:off x="0" y="0"/>
                      <a:ext cx="5396230" cy="2044065"/>
                    </a:xfrm>
                    <a:prstGeom prst="rect">
                      <a:avLst/>
                    </a:prstGeom>
                  </pic:spPr>
                </pic:pic>
              </a:graphicData>
            </a:graphic>
          </wp:anchor>
        </w:drawing>
      </w:r>
    </w:p>
    <w:p w14:paraId="423E0D0C" w14:textId="68F5DC1B" w:rsidR="00BB5B09" w:rsidRPr="00F675F8" w:rsidRDefault="00422F62" w:rsidP="00BB5B09">
      <w:pPr>
        <w:rPr>
          <w:color w:val="000000" w:themeColor="text1"/>
          <w:lang w:val="en-US"/>
        </w:rPr>
      </w:pPr>
      <w:r w:rsidRPr="00F675F8">
        <w:rPr>
          <w:color w:val="000000" w:themeColor="text1"/>
          <w:lang w:val="en-US"/>
        </w:rPr>
        <w:br w:type="page"/>
      </w:r>
    </w:p>
    <w:p w14:paraId="183A4CAC" w14:textId="0FEA235B" w:rsidR="00BB5B09" w:rsidRPr="00F675F8" w:rsidRDefault="00BB5B09" w:rsidP="00BB5B09">
      <w:pPr>
        <w:rPr>
          <w:color w:val="000000" w:themeColor="text1"/>
          <w:lang w:val="en-US"/>
        </w:rPr>
      </w:pPr>
      <w:r w:rsidRPr="00F675F8">
        <w:rPr>
          <w:noProof/>
          <w:color w:val="000000" w:themeColor="text1"/>
          <w:lang w:eastAsia="es-ES"/>
        </w:rPr>
        <w:lastRenderedPageBreak/>
        <w:drawing>
          <wp:anchor distT="0" distB="0" distL="114300" distR="114300" simplePos="0" relativeHeight="251669504" behindDoc="0" locked="0" layoutInCell="1" allowOverlap="1" wp14:anchorId="1D778F64" wp14:editId="7B88FB0D">
            <wp:simplePos x="0" y="0"/>
            <wp:positionH relativeFrom="column">
              <wp:posOffset>45720</wp:posOffset>
            </wp:positionH>
            <wp:positionV relativeFrom="paragraph">
              <wp:posOffset>0</wp:posOffset>
            </wp:positionV>
            <wp:extent cx="5396230" cy="1764665"/>
            <wp:effectExtent l="0" t="0" r="1270" b="635"/>
            <wp:wrapNone/>
            <wp:docPr id="11" name="table" descr="Tabla&#10;&#10;Descripción generada automáticamente">
              <a:extLst xmlns:a="http://schemas.openxmlformats.org/drawingml/2006/main">
                <a:ext uri="{FF2B5EF4-FFF2-40B4-BE49-F238E27FC236}">
                  <a16:creationId xmlns:a16="http://schemas.microsoft.com/office/drawing/2014/main" id="{C10B706A-A8EB-7C42-AD07-E13033B244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able" descr="Tabla&#10;&#10;Descripción generada automáticamente">
                      <a:extLst>
                        <a:ext uri="{FF2B5EF4-FFF2-40B4-BE49-F238E27FC236}">
                          <a16:creationId xmlns:a16="http://schemas.microsoft.com/office/drawing/2014/main" id="{C10B706A-A8EB-7C42-AD07-E13033B244A9}"/>
                        </a:ext>
                      </a:extLst>
                    </pic:cNvPr>
                    <pic:cNvPicPr>
                      <a:picLocks noChangeAspect="1"/>
                    </pic:cNvPicPr>
                  </pic:nvPicPr>
                  <pic:blipFill>
                    <a:blip r:embed="rId9"/>
                    <a:stretch>
                      <a:fillRect/>
                    </a:stretch>
                  </pic:blipFill>
                  <pic:spPr>
                    <a:xfrm>
                      <a:off x="0" y="0"/>
                      <a:ext cx="5396230" cy="1764665"/>
                    </a:xfrm>
                    <a:prstGeom prst="rect">
                      <a:avLst/>
                    </a:prstGeom>
                  </pic:spPr>
                </pic:pic>
              </a:graphicData>
            </a:graphic>
          </wp:anchor>
        </w:drawing>
      </w:r>
    </w:p>
    <w:p w14:paraId="2923C4D8" w14:textId="245B0D29" w:rsidR="00DE5940" w:rsidRPr="00F675F8" w:rsidRDefault="008212FA">
      <w:pPr>
        <w:rPr>
          <w:color w:val="000000" w:themeColor="text1"/>
          <w:lang w:val="en-US"/>
        </w:rPr>
      </w:pPr>
      <w:r w:rsidRPr="00F675F8">
        <w:rPr>
          <w:noProof/>
          <w:color w:val="000000" w:themeColor="text1"/>
          <w:lang w:eastAsia="es-ES"/>
        </w:rPr>
        <mc:AlternateContent>
          <mc:Choice Requires="wps">
            <w:drawing>
              <wp:anchor distT="0" distB="0" distL="114300" distR="114300" simplePos="0" relativeHeight="251670528" behindDoc="0" locked="0" layoutInCell="1" allowOverlap="1" wp14:anchorId="0F9C20AE" wp14:editId="064C1DF3">
                <wp:simplePos x="0" y="0"/>
                <wp:positionH relativeFrom="column">
                  <wp:posOffset>-843</wp:posOffset>
                </wp:positionH>
                <wp:positionV relativeFrom="paragraph">
                  <wp:posOffset>1702321</wp:posOffset>
                </wp:positionV>
                <wp:extent cx="5396230" cy="786984"/>
                <wp:effectExtent l="0" t="0" r="0" b="0"/>
                <wp:wrapNone/>
                <wp:docPr id="10" name="CuadroTexto 7"/>
                <wp:cNvGraphicFramePr/>
                <a:graphic xmlns:a="http://schemas.openxmlformats.org/drawingml/2006/main">
                  <a:graphicData uri="http://schemas.microsoft.com/office/word/2010/wordprocessingShape">
                    <wps:wsp>
                      <wps:cNvSpPr txBox="1"/>
                      <wps:spPr>
                        <a:xfrm>
                          <a:off x="0" y="0"/>
                          <a:ext cx="5396230" cy="786984"/>
                        </a:xfrm>
                        <a:prstGeom prst="rect">
                          <a:avLst/>
                        </a:prstGeom>
                        <a:noFill/>
                      </wps:spPr>
                      <wps:txbx>
                        <w:txbxContent>
                          <w:p w14:paraId="5A677695" w14:textId="76B15B9F" w:rsidR="00BB5B09" w:rsidRPr="008212FA" w:rsidRDefault="00BB5B09" w:rsidP="00BB5B09">
                            <w:pPr>
                              <w:jc w:val="both"/>
                              <w:rPr>
                                <w:rFonts w:hAnsi="Calibri"/>
                                <w:color w:val="000000" w:themeColor="text1"/>
                                <w:kern w:val="24"/>
                                <w:sz w:val="20"/>
                                <w:szCs w:val="20"/>
                                <w:lang w:val="en-US"/>
                              </w:rPr>
                            </w:pPr>
                            <w:r w:rsidRPr="008212FA">
                              <w:rPr>
                                <w:rFonts w:hAnsi="Calibri"/>
                                <w:color w:val="000000" w:themeColor="text1"/>
                                <w:kern w:val="24"/>
                                <w:sz w:val="20"/>
                                <w:szCs w:val="20"/>
                                <w:lang w:val="en-US"/>
                              </w:rPr>
                              <w:t xml:space="preserve">Table 3S. Analytical profile </w:t>
                            </w:r>
                            <w:proofErr w:type="gramStart"/>
                            <w:r w:rsidR="00AB533A" w:rsidRPr="008212FA">
                              <w:rPr>
                                <w:rFonts w:hAnsi="Calibri"/>
                                <w:color w:val="000000" w:themeColor="text1"/>
                                <w:kern w:val="24"/>
                                <w:sz w:val="20"/>
                                <w:szCs w:val="20"/>
                                <w:lang w:val="en-US"/>
                              </w:rPr>
                              <w:t xml:space="preserve">during </w:t>
                            </w:r>
                            <w:r w:rsidRPr="008212FA">
                              <w:rPr>
                                <w:rFonts w:hAnsi="Calibri"/>
                                <w:color w:val="000000" w:themeColor="text1"/>
                                <w:kern w:val="24"/>
                                <w:sz w:val="20"/>
                                <w:szCs w:val="20"/>
                                <w:lang w:val="en-US"/>
                              </w:rPr>
                              <w:t>the course of</w:t>
                            </w:r>
                            <w:proofErr w:type="gramEnd"/>
                            <w:r w:rsidRPr="008212FA">
                              <w:rPr>
                                <w:rFonts w:hAnsi="Calibri"/>
                                <w:color w:val="000000" w:themeColor="text1"/>
                                <w:kern w:val="24"/>
                                <w:sz w:val="20"/>
                                <w:szCs w:val="20"/>
                                <w:lang w:val="en-US"/>
                              </w:rPr>
                              <w:t xml:space="preserve"> disease. C</w:t>
                            </w:r>
                            <w:r w:rsidR="00043F2D" w:rsidRPr="008212FA">
                              <w:rPr>
                                <w:rFonts w:hAnsi="Calibri"/>
                                <w:color w:val="000000" w:themeColor="text1"/>
                                <w:kern w:val="24"/>
                                <w:sz w:val="20"/>
                                <w:szCs w:val="20"/>
                                <w:lang w:val="en-US"/>
                              </w:rPr>
                              <w:t>RP</w:t>
                            </w:r>
                            <w:r w:rsidRPr="008212FA">
                              <w:rPr>
                                <w:rFonts w:hAnsi="Calibri"/>
                                <w:color w:val="000000" w:themeColor="text1"/>
                                <w:kern w:val="24"/>
                                <w:sz w:val="20"/>
                                <w:szCs w:val="20"/>
                                <w:lang w:val="en-US"/>
                              </w:rPr>
                              <w:t xml:space="preserve"> (C-reactive protein); AST (aspartate aminotransferase); ALT (alanine aminotransferase); LDH (lactate dehydrogenase).</w:t>
                            </w:r>
                            <w:r w:rsidR="008212FA" w:rsidRPr="008212FA">
                              <w:rPr>
                                <w:sz w:val="20"/>
                                <w:szCs w:val="20"/>
                                <w:lang w:val="en-US"/>
                              </w:rPr>
                              <w:t xml:space="preserve"> At admission, laboratory parameters showed persistent lymphopenia (200 </w:t>
                            </w:r>
                            <w:r w:rsidR="008212FA" w:rsidRPr="008212FA">
                              <w:rPr>
                                <w:color w:val="000000" w:themeColor="text1"/>
                                <w:sz w:val="20"/>
                                <w:szCs w:val="20"/>
                                <w:lang w:val="en-US"/>
                              </w:rPr>
                              <w:t>cell/mm</w:t>
                            </w:r>
                            <w:r w:rsidR="008212FA" w:rsidRPr="008212FA">
                              <w:rPr>
                                <w:color w:val="000000" w:themeColor="text1"/>
                                <w:sz w:val="20"/>
                                <w:szCs w:val="20"/>
                                <w:vertAlign w:val="superscript"/>
                                <w:lang w:val="en-US"/>
                              </w:rPr>
                              <w:t>3</w:t>
                            </w:r>
                            <w:r w:rsidR="008212FA" w:rsidRPr="008212FA">
                              <w:rPr>
                                <w:color w:val="000000" w:themeColor="text1"/>
                                <w:sz w:val="20"/>
                                <w:szCs w:val="20"/>
                                <w:lang w:val="en-US"/>
                              </w:rPr>
                              <w:t xml:space="preserve">), elevated ferritin (1,851 ng/ml), D-dimer (0.537 </w:t>
                            </w:r>
                            <w:r w:rsidR="008212FA" w:rsidRPr="008212FA">
                              <w:rPr>
                                <w:rFonts w:ascii="Symbol" w:hAnsi="Symbol"/>
                                <w:color w:val="000000" w:themeColor="text1"/>
                                <w:sz w:val="20"/>
                                <w:szCs w:val="20"/>
                              </w:rPr>
                              <w:t></w:t>
                            </w:r>
                            <w:r w:rsidR="008212FA" w:rsidRPr="008212FA">
                              <w:rPr>
                                <w:color w:val="000000" w:themeColor="text1"/>
                                <w:sz w:val="20"/>
                                <w:szCs w:val="20"/>
                                <w:lang w:val="en-US"/>
                              </w:rPr>
                              <w:t xml:space="preserve">/mL), and C-reactive protein (51.4 mg/L). </w:t>
                            </w:r>
                            <w:r w:rsidRPr="008212FA">
                              <w:rPr>
                                <w:rFonts w:hAnsi="Calibri"/>
                                <w:color w:val="000000" w:themeColor="text1"/>
                                <w:kern w:val="24"/>
                                <w:sz w:val="20"/>
                                <w:szCs w:val="20"/>
                                <w:lang w:val="en-US"/>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F9C20AE" id="CuadroTexto 7" o:spid="_x0000_s1028" type="#_x0000_t202" style="position:absolute;margin-left:-.05pt;margin-top:134.05pt;width:424.9pt;height:6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" filled="f" stroked="f">
                <v:textbox>
                  <w:txbxContent>
                    <w:p w14:paraId="5A677695" w14:textId="76B15B9F" w:rsidR="00BB5B09" w:rsidRPr="008212FA" w:rsidRDefault="00BB5B09" w:rsidP="00BB5B09">
                      <w:pPr>
                        <w:jc w:val="both"/>
                        <w:rPr>
                          <w:rFonts w:hAnsi="Calibri"/>
                          <w:color w:val="000000" w:themeColor="text1"/>
                          <w:kern w:val="24"/>
                          <w:sz w:val="20"/>
                          <w:szCs w:val="20"/>
                          <w:lang w:val="en-US"/>
                        </w:rPr>
                      </w:pPr>
                      <w:r w:rsidRPr="008212FA">
                        <w:rPr>
                          <w:rFonts w:hAnsi="Calibri"/>
                          <w:color w:val="000000" w:themeColor="text1"/>
                          <w:kern w:val="24"/>
                          <w:sz w:val="20"/>
                          <w:szCs w:val="20"/>
                          <w:lang w:val="en-US"/>
                        </w:rPr>
                        <w:t xml:space="preserve">Table 3S. Analytical profile </w:t>
                      </w:r>
                      <w:proofErr w:type="gramStart"/>
                      <w:r w:rsidR="00AB533A" w:rsidRPr="008212FA">
                        <w:rPr>
                          <w:rFonts w:hAnsi="Calibri"/>
                          <w:color w:val="000000" w:themeColor="text1"/>
                          <w:kern w:val="24"/>
                          <w:sz w:val="20"/>
                          <w:szCs w:val="20"/>
                          <w:lang w:val="en-US"/>
                        </w:rPr>
                        <w:t xml:space="preserve">during </w:t>
                      </w:r>
                      <w:r w:rsidRPr="008212FA">
                        <w:rPr>
                          <w:rFonts w:hAnsi="Calibri"/>
                          <w:color w:val="000000" w:themeColor="text1"/>
                          <w:kern w:val="24"/>
                          <w:sz w:val="20"/>
                          <w:szCs w:val="20"/>
                          <w:lang w:val="en-US"/>
                        </w:rPr>
                        <w:t>the course of</w:t>
                      </w:r>
                      <w:proofErr w:type="gramEnd"/>
                      <w:r w:rsidRPr="008212FA">
                        <w:rPr>
                          <w:rFonts w:hAnsi="Calibri"/>
                          <w:color w:val="000000" w:themeColor="text1"/>
                          <w:kern w:val="24"/>
                          <w:sz w:val="20"/>
                          <w:szCs w:val="20"/>
                          <w:lang w:val="en-US"/>
                        </w:rPr>
                        <w:t xml:space="preserve"> disease. C</w:t>
                      </w:r>
                      <w:r w:rsidR="00043F2D" w:rsidRPr="008212FA">
                        <w:rPr>
                          <w:rFonts w:hAnsi="Calibri"/>
                          <w:color w:val="000000" w:themeColor="text1"/>
                          <w:kern w:val="24"/>
                          <w:sz w:val="20"/>
                          <w:szCs w:val="20"/>
                          <w:lang w:val="en-US"/>
                        </w:rPr>
                        <w:t>RP</w:t>
                      </w:r>
                      <w:r w:rsidRPr="008212FA">
                        <w:rPr>
                          <w:rFonts w:hAnsi="Calibri"/>
                          <w:color w:val="000000" w:themeColor="text1"/>
                          <w:kern w:val="24"/>
                          <w:sz w:val="20"/>
                          <w:szCs w:val="20"/>
                          <w:lang w:val="en-US"/>
                        </w:rPr>
                        <w:t xml:space="preserve"> (C-reactive protein); AST (aspartate aminotransferase); ALT (alanine aminotransferase); LDH (lactate dehydrogenase).</w:t>
                      </w:r>
                      <w:r w:rsidR="008212FA" w:rsidRPr="008212FA">
                        <w:rPr>
                          <w:sz w:val="20"/>
                          <w:szCs w:val="20"/>
                          <w:lang w:val="en-US"/>
                        </w:rPr>
                        <w:t xml:space="preserve"> At admission, laboratory parameters showed persistent lymphopenia (200 </w:t>
                      </w:r>
                      <w:r w:rsidR="008212FA" w:rsidRPr="008212FA">
                        <w:rPr>
                          <w:color w:val="000000" w:themeColor="text1"/>
                          <w:sz w:val="20"/>
                          <w:szCs w:val="20"/>
                          <w:lang w:val="en-US"/>
                        </w:rPr>
                        <w:t>cell/mm</w:t>
                      </w:r>
                      <w:r w:rsidR="008212FA" w:rsidRPr="008212FA">
                        <w:rPr>
                          <w:color w:val="000000" w:themeColor="text1"/>
                          <w:sz w:val="20"/>
                          <w:szCs w:val="20"/>
                          <w:vertAlign w:val="superscript"/>
                          <w:lang w:val="en-US"/>
                        </w:rPr>
                        <w:t>3</w:t>
                      </w:r>
                      <w:r w:rsidR="008212FA" w:rsidRPr="008212FA">
                        <w:rPr>
                          <w:color w:val="000000" w:themeColor="text1"/>
                          <w:sz w:val="20"/>
                          <w:szCs w:val="20"/>
                          <w:lang w:val="en-US"/>
                        </w:rPr>
                        <w:t xml:space="preserve">), elevated ferritin (1,851 ng/ml), D-dimer (0.537 </w:t>
                      </w:r>
                      <w:r w:rsidR="008212FA" w:rsidRPr="008212FA">
                        <w:rPr>
                          <w:rFonts w:ascii="Symbol" w:hAnsi="Symbol"/>
                          <w:color w:val="000000" w:themeColor="text1"/>
                          <w:sz w:val="20"/>
                          <w:szCs w:val="20"/>
                        </w:rPr>
                        <w:t></w:t>
                      </w:r>
                      <w:r w:rsidR="008212FA" w:rsidRPr="008212FA">
                        <w:rPr>
                          <w:color w:val="000000" w:themeColor="text1"/>
                          <w:sz w:val="20"/>
                          <w:szCs w:val="20"/>
                          <w:lang w:val="en-US"/>
                        </w:rPr>
                        <w:t xml:space="preserve">/mL), and C-reactive protein (51.4 mg/L). </w:t>
                      </w:r>
                      <w:r w:rsidRPr="008212FA">
                        <w:rPr>
                          <w:rFonts w:hAnsi="Calibri"/>
                          <w:color w:val="000000" w:themeColor="text1"/>
                          <w:kern w:val="24"/>
                          <w:sz w:val="20"/>
                          <w:szCs w:val="20"/>
                          <w:lang w:val="en-US"/>
                        </w:rPr>
                        <w:t xml:space="preserve">  </w:t>
                      </w:r>
                    </w:p>
                  </w:txbxContent>
                </v:textbox>
              </v:shape>
            </w:pict>
          </mc:Fallback>
        </mc:AlternateContent>
      </w:r>
      <w:r w:rsidR="00BB5B09" w:rsidRPr="00F675F8">
        <w:rPr>
          <w:color w:val="000000" w:themeColor="text1"/>
          <w:lang w:val="en-US"/>
        </w:rPr>
        <w:br w:type="page"/>
      </w:r>
    </w:p>
    <w:p w14:paraId="4705BD2B" w14:textId="42AE7641" w:rsidR="00CC7853" w:rsidRPr="00F675F8" w:rsidRDefault="00B32287">
      <w:pPr>
        <w:rPr>
          <w:color w:val="000000" w:themeColor="text1"/>
          <w:sz w:val="22"/>
          <w:szCs w:val="22"/>
          <w:lang w:val="en-US"/>
        </w:rPr>
      </w:pPr>
      <w:r w:rsidRPr="00F675F8">
        <w:rPr>
          <w:noProof/>
          <w:color w:val="000000" w:themeColor="text1"/>
          <w:lang w:eastAsia="es-ES"/>
        </w:rPr>
        <w:lastRenderedPageBreak/>
        <w:drawing>
          <wp:inline distT="0" distB="0" distL="0" distR="0" wp14:anchorId="39FB8483" wp14:editId="1170CA75">
            <wp:extent cx="5550195" cy="29547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57059" cy="2958359"/>
                    </a:xfrm>
                    <a:prstGeom prst="rect">
                      <a:avLst/>
                    </a:prstGeom>
                  </pic:spPr>
                </pic:pic>
              </a:graphicData>
            </a:graphic>
          </wp:inline>
        </w:drawing>
      </w:r>
    </w:p>
    <w:p w14:paraId="508F52F9" w14:textId="2D482DB9" w:rsidR="00682AC4" w:rsidRPr="00F675F8" w:rsidRDefault="00FA1B58" w:rsidP="00144C13">
      <w:pPr>
        <w:jc w:val="both"/>
        <w:rPr>
          <w:color w:val="000000" w:themeColor="text1"/>
          <w:sz w:val="20"/>
          <w:szCs w:val="20"/>
          <w:lang w:val="en-US"/>
        </w:rPr>
      </w:pPr>
      <w:r w:rsidRPr="00F675F8">
        <w:rPr>
          <w:color w:val="000000" w:themeColor="text1"/>
          <w:sz w:val="20"/>
          <w:szCs w:val="20"/>
          <w:lang w:val="en-US"/>
        </w:rPr>
        <w:t xml:space="preserve">Table 4S. Mortality score of the patients at day 1 of plitidepsin. </w:t>
      </w:r>
      <w:r w:rsidR="00682AC4" w:rsidRPr="00F675F8">
        <w:rPr>
          <w:color w:val="000000" w:themeColor="text1"/>
          <w:sz w:val="20"/>
          <w:szCs w:val="20"/>
          <w:lang w:val="en-US"/>
        </w:rPr>
        <w:t>Using the International Severe Acute Respiratory Infection Consortium Clinical Characterization Protocol (ISARIC 4C mortality score), the patient was determined to have an in-hospital mortality risk of 27%, and an overall mortality risk of 31.4% (Table 4S), indicating that he was likely to require ventilatory support or intensive clinical care.</w:t>
      </w:r>
    </w:p>
    <w:p w14:paraId="2D81EF11" w14:textId="77777777" w:rsidR="00682AC4" w:rsidRPr="00F675F8" w:rsidRDefault="00682AC4" w:rsidP="00144C13">
      <w:pPr>
        <w:jc w:val="both"/>
        <w:rPr>
          <w:color w:val="000000" w:themeColor="text1"/>
          <w:sz w:val="20"/>
          <w:szCs w:val="20"/>
          <w:lang w:val="en-US"/>
        </w:rPr>
      </w:pPr>
    </w:p>
    <w:p w14:paraId="61E68CD1" w14:textId="04ECBF35" w:rsidR="00FA1B58" w:rsidRPr="00F675F8" w:rsidRDefault="00FA1B58" w:rsidP="00144C13">
      <w:pPr>
        <w:jc w:val="both"/>
        <w:rPr>
          <w:color w:val="000000" w:themeColor="text1"/>
          <w:sz w:val="20"/>
          <w:szCs w:val="20"/>
          <w:lang w:val="en-US"/>
        </w:rPr>
      </w:pPr>
      <w:r w:rsidRPr="00F675F8">
        <w:rPr>
          <w:color w:val="000000" w:themeColor="text1"/>
          <w:sz w:val="20"/>
          <w:szCs w:val="20"/>
          <w:lang w:val="en-US"/>
        </w:rPr>
        <w:t>According to:</w:t>
      </w:r>
    </w:p>
    <w:p w14:paraId="21E10166" w14:textId="21B41E5F" w:rsidR="00DE5940" w:rsidRPr="00F675F8" w:rsidRDefault="00FA1B58" w:rsidP="00144C13">
      <w:pPr>
        <w:jc w:val="both"/>
        <w:rPr>
          <w:color w:val="000000" w:themeColor="text1"/>
          <w:sz w:val="20"/>
          <w:szCs w:val="20"/>
          <w:lang w:val="en-US"/>
        </w:rPr>
      </w:pPr>
      <w:r w:rsidRPr="00F675F8">
        <w:rPr>
          <w:color w:val="000000" w:themeColor="text1"/>
          <w:sz w:val="20"/>
          <w:szCs w:val="20"/>
          <w:lang w:val="en-US"/>
        </w:rPr>
        <w:t xml:space="preserve">Website: isaric4c.net/risk/v2. 4C Mortality Score, produced by the ISARIC 4 C consortium. Access </w:t>
      </w:r>
      <w:r w:rsidR="00ED1938" w:rsidRPr="00F675F8">
        <w:rPr>
          <w:color w:val="000000" w:themeColor="text1"/>
          <w:sz w:val="20"/>
          <w:szCs w:val="20"/>
          <w:lang w:val="en-US"/>
        </w:rPr>
        <w:t xml:space="preserve">on </w:t>
      </w:r>
      <w:r w:rsidRPr="00F675F8">
        <w:rPr>
          <w:color w:val="000000" w:themeColor="text1"/>
          <w:sz w:val="20"/>
          <w:szCs w:val="20"/>
          <w:lang w:val="en-US"/>
        </w:rPr>
        <w:t>Feb 25</w:t>
      </w:r>
      <w:r w:rsidR="00ED1938" w:rsidRPr="00F675F8">
        <w:rPr>
          <w:color w:val="000000" w:themeColor="text1"/>
          <w:sz w:val="20"/>
          <w:szCs w:val="20"/>
          <w:lang w:val="en-US"/>
        </w:rPr>
        <w:t>th</w:t>
      </w:r>
      <w:r w:rsidRPr="00F675F8">
        <w:rPr>
          <w:color w:val="000000" w:themeColor="text1"/>
          <w:sz w:val="20"/>
          <w:szCs w:val="20"/>
          <w:lang w:val="en-US"/>
        </w:rPr>
        <w:t>, 2021.</w:t>
      </w:r>
    </w:p>
    <w:p w14:paraId="5259EBA7" w14:textId="0BCDEC85" w:rsidR="00FA1B58" w:rsidRPr="00F675F8" w:rsidRDefault="00D4137D" w:rsidP="00144C13">
      <w:pPr>
        <w:jc w:val="both"/>
        <w:rPr>
          <w:color w:val="000000" w:themeColor="text1"/>
          <w:sz w:val="20"/>
          <w:szCs w:val="20"/>
          <w:lang w:val="en-US"/>
        </w:rPr>
      </w:pPr>
      <w:r w:rsidRPr="00F675F8">
        <w:rPr>
          <w:color w:val="000000" w:themeColor="text1"/>
          <w:sz w:val="20"/>
          <w:szCs w:val="20"/>
          <w:lang w:val="en-US"/>
        </w:rPr>
        <w:t xml:space="preserve">Knight SR et al. Risk stratification of patients admitted to hospital with </w:t>
      </w:r>
      <w:r w:rsidR="003151DB" w:rsidRPr="00F675F8">
        <w:rPr>
          <w:color w:val="000000" w:themeColor="text1"/>
          <w:sz w:val="20"/>
          <w:szCs w:val="20"/>
          <w:lang w:val="en-US"/>
        </w:rPr>
        <w:t>COVID</w:t>
      </w:r>
      <w:r w:rsidRPr="00F675F8">
        <w:rPr>
          <w:color w:val="000000" w:themeColor="text1"/>
          <w:sz w:val="20"/>
          <w:szCs w:val="20"/>
          <w:lang w:val="en-US"/>
        </w:rPr>
        <w:t>-19 using the ISARIC WHO Clinical Characterization Protocol: development and validation of the 4C Mortality Score. BMJ 2020;370:m3339.</w:t>
      </w:r>
    </w:p>
    <w:p w14:paraId="151445CF" w14:textId="77777777" w:rsidR="00DE5940" w:rsidRPr="00F675F8" w:rsidRDefault="00DE5940">
      <w:pPr>
        <w:rPr>
          <w:color w:val="000000" w:themeColor="text1"/>
          <w:lang w:val="en-US"/>
        </w:rPr>
      </w:pPr>
    </w:p>
    <w:p w14:paraId="22503EC9" w14:textId="2A489A8C" w:rsidR="00DE5940" w:rsidRPr="00F675F8" w:rsidRDefault="00DE5940">
      <w:pPr>
        <w:rPr>
          <w:color w:val="000000" w:themeColor="text1"/>
          <w:lang w:val="en-US"/>
        </w:rPr>
      </w:pPr>
      <w:r w:rsidRPr="00F675F8">
        <w:rPr>
          <w:color w:val="000000" w:themeColor="text1"/>
          <w:lang w:val="en-US"/>
        </w:rPr>
        <w:br w:type="page"/>
      </w:r>
    </w:p>
    <w:p w14:paraId="0D92CE79" w14:textId="77777777" w:rsidR="003477D6" w:rsidRPr="00F675F8" w:rsidRDefault="003477D6" w:rsidP="003477D6">
      <w:pPr>
        <w:rPr>
          <w:color w:val="000000" w:themeColor="text1"/>
          <w:lang w:val="en-US"/>
        </w:rPr>
      </w:pPr>
    </w:p>
    <w:p w14:paraId="5407BEFD" w14:textId="7D4EC818" w:rsidR="003477D6" w:rsidRPr="00F675F8" w:rsidRDefault="003477D6" w:rsidP="003477D6">
      <w:pPr>
        <w:rPr>
          <w:color w:val="000000" w:themeColor="text1"/>
          <w:lang w:val="en-US"/>
        </w:rPr>
      </w:pPr>
      <w:r w:rsidRPr="00F675F8">
        <w:rPr>
          <w:noProof/>
          <w:color w:val="000000" w:themeColor="text1"/>
          <w:lang w:eastAsia="es-ES"/>
        </w:rPr>
        <mc:AlternateContent>
          <mc:Choice Requires="wps">
            <w:drawing>
              <wp:anchor distT="0" distB="0" distL="114300" distR="114300" simplePos="0" relativeHeight="251673600" behindDoc="0" locked="0" layoutInCell="1" allowOverlap="1" wp14:anchorId="4836D13E" wp14:editId="2B1C86E2">
                <wp:simplePos x="0" y="0"/>
                <wp:positionH relativeFrom="column">
                  <wp:posOffset>119078</wp:posOffset>
                </wp:positionH>
                <wp:positionV relativeFrom="paragraph">
                  <wp:posOffset>4916389</wp:posOffset>
                </wp:positionV>
                <wp:extent cx="5043836" cy="1289154"/>
                <wp:effectExtent l="0" t="0" r="0" b="0"/>
                <wp:wrapNone/>
                <wp:docPr id="12" name="CuadroTexto 2"/>
                <wp:cNvGraphicFramePr/>
                <a:graphic xmlns:a="http://schemas.openxmlformats.org/drawingml/2006/main">
                  <a:graphicData uri="http://schemas.microsoft.com/office/word/2010/wordprocessingShape">
                    <wps:wsp>
                      <wps:cNvSpPr txBox="1"/>
                      <wps:spPr>
                        <a:xfrm>
                          <a:off x="0" y="0"/>
                          <a:ext cx="5043836" cy="1289154"/>
                        </a:xfrm>
                        <a:prstGeom prst="rect">
                          <a:avLst/>
                        </a:prstGeom>
                        <a:noFill/>
                      </wps:spPr>
                      <wps:txbx>
                        <w:txbxContent>
                          <w:p w14:paraId="4581547B" w14:textId="77777777" w:rsidR="003477D6" w:rsidRPr="00BB5B09" w:rsidRDefault="003477D6" w:rsidP="003477D6">
                            <w:pPr>
                              <w:jc w:val="both"/>
                              <w:rPr>
                                <w:rFonts w:hAnsi="Calibri"/>
                                <w:color w:val="000000" w:themeColor="text1"/>
                                <w:kern w:val="24"/>
                                <w:sz w:val="22"/>
                                <w:szCs w:val="22"/>
                                <w:lang w:val="en-US"/>
                              </w:rPr>
                            </w:pPr>
                            <w:r w:rsidRPr="00BB5B09">
                              <w:rPr>
                                <w:rFonts w:hAnsi="Calibri"/>
                                <w:color w:val="000000" w:themeColor="text1"/>
                                <w:kern w:val="24"/>
                                <w:sz w:val="22"/>
                                <w:szCs w:val="22"/>
                                <w:lang w:val="en-US"/>
                              </w:rPr>
                              <w:t>Figure 1</w:t>
                            </w:r>
                            <w:r>
                              <w:rPr>
                                <w:rFonts w:hAnsi="Calibri"/>
                                <w:color w:val="000000" w:themeColor="text1"/>
                                <w:kern w:val="24"/>
                                <w:sz w:val="22"/>
                                <w:szCs w:val="22"/>
                                <w:lang w:val="en-US"/>
                              </w:rPr>
                              <w:t>S</w:t>
                            </w:r>
                            <w:r w:rsidRPr="00BB5B09">
                              <w:rPr>
                                <w:rFonts w:hAnsi="Calibri"/>
                                <w:color w:val="000000" w:themeColor="text1"/>
                                <w:kern w:val="24"/>
                                <w:sz w:val="22"/>
                                <w:szCs w:val="22"/>
                                <w:lang w:val="en-US"/>
                              </w:rPr>
                              <w:t>. Timeline of qPCR analysis represented by C</w:t>
                            </w:r>
                            <w:r w:rsidRPr="00144C13">
                              <w:rPr>
                                <w:color w:val="000000" w:themeColor="text1"/>
                                <w:kern w:val="24"/>
                                <w:sz w:val="22"/>
                                <w:szCs w:val="22"/>
                                <w:vertAlign w:val="subscript"/>
                                <w:lang w:val="en-US"/>
                              </w:rPr>
                              <w:t>t</w:t>
                            </w:r>
                            <w:r w:rsidRPr="00BB5B09">
                              <w:rPr>
                                <w:rFonts w:hAnsi="Calibri"/>
                                <w:color w:val="000000" w:themeColor="text1"/>
                                <w:kern w:val="24"/>
                                <w:sz w:val="22"/>
                                <w:szCs w:val="22"/>
                                <w:lang w:val="en-US"/>
                              </w:rPr>
                              <w:t xml:space="preserve"> (Cycle threshold, number of cycles required to cross the threshold). Positive reaction is detected by accumulation of a fluorescent signal. C</w:t>
                            </w:r>
                            <w:r w:rsidRPr="00144C13">
                              <w:rPr>
                                <w:color w:val="000000" w:themeColor="text1"/>
                                <w:kern w:val="24"/>
                                <w:sz w:val="22"/>
                                <w:szCs w:val="22"/>
                                <w:vertAlign w:val="subscript"/>
                                <w:lang w:val="en-US"/>
                              </w:rPr>
                              <w:t>t</w:t>
                            </w:r>
                            <w:r w:rsidRPr="00BB5B09">
                              <w:rPr>
                                <w:rFonts w:hAnsi="Calibri"/>
                                <w:color w:val="000000" w:themeColor="text1"/>
                                <w:kern w:val="24"/>
                                <w:sz w:val="22"/>
                                <w:szCs w:val="22"/>
                                <w:lang w:val="en-US"/>
                              </w:rPr>
                              <w:t xml:space="preserve"> levels are inversely proportional to the amount of </w:t>
                            </w:r>
                            <w:r>
                              <w:rPr>
                                <w:rFonts w:hAnsi="Calibri"/>
                                <w:color w:val="000000" w:themeColor="text1"/>
                                <w:kern w:val="24"/>
                                <w:sz w:val="22"/>
                                <w:szCs w:val="22"/>
                                <w:lang w:val="en-US"/>
                              </w:rPr>
                              <w:t>COVID</w:t>
                            </w:r>
                            <w:r w:rsidRPr="00BB5B09">
                              <w:rPr>
                                <w:rFonts w:hAnsi="Calibri"/>
                                <w:color w:val="000000" w:themeColor="text1"/>
                                <w:kern w:val="24"/>
                                <w:sz w:val="22"/>
                                <w:szCs w:val="22"/>
                                <w:lang w:val="en-US"/>
                              </w:rPr>
                              <w:t>-19 RNA in the sample. C</w:t>
                            </w:r>
                            <w:r w:rsidRPr="00144C13">
                              <w:rPr>
                                <w:color w:val="000000" w:themeColor="text1"/>
                                <w:kern w:val="24"/>
                                <w:sz w:val="22"/>
                                <w:szCs w:val="22"/>
                                <w:vertAlign w:val="subscript"/>
                                <w:lang w:val="en-US"/>
                              </w:rPr>
                              <w:t xml:space="preserve">t </w:t>
                            </w:r>
                            <w:r>
                              <w:rPr>
                                <w:rFonts w:hAnsi="Calibri"/>
                                <w:color w:val="000000" w:themeColor="text1"/>
                                <w:kern w:val="24"/>
                                <w:sz w:val="22"/>
                                <w:szCs w:val="22"/>
                                <w:lang w:val="en-US"/>
                              </w:rPr>
                              <w:t>values</w:t>
                            </w:r>
                            <w:r w:rsidRPr="00BB5B09">
                              <w:rPr>
                                <w:rFonts w:hAnsi="Calibri"/>
                                <w:color w:val="000000" w:themeColor="text1"/>
                                <w:kern w:val="24"/>
                                <w:sz w:val="22"/>
                                <w:szCs w:val="22"/>
                                <w:lang w:val="en-US"/>
                              </w:rPr>
                              <w:t xml:space="preserve"> &gt;40 are weak reactions indicative of minimal amounts of C</w:t>
                            </w:r>
                            <w:r>
                              <w:rPr>
                                <w:rFonts w:hAnsi="Calibri"/>
                                <w:color w:val="000000" w:themeColor="text1"/>
                                <w:kern w:val="24"/>
                                <w:sz w:val="22"/>
                                <w:szCs w:val="22"/>
                                <w:lang w:val="en-US"/>
                              </w:rPr>
                              <w:t>OVID</w:t>
                            </w:r>
                            <w:r w:rsidRPr="00BB5B09">
                              <w:rPr>
                                <w:rFonts w:hAnsi="Calibri"/>
                                <w:color w:val="000000" w:themeColor="text1"/>
                                <w:kern w:val="24"/>
                                <w:sz w:val="22"/>
                                <w:szCs w:val="22"/>
                                <w:lang w:val="en-US"/>
                              </w:rPr>
                              <w:t>-19 RNA (dotted red line). Plitidepsin was administered days 49-51 and 65-67 since symptom onset.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836D13E" id="CuadroTexto 2" o:spid="_x0000_s1029" type="#_x0000_t202" style="position:absolute;margin-left:9.4pt;margin-top:387.1pt;width:397.15pt;height:10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" filled="f" stroked="f">
                <v:textbox>
                  <w:txbxContent>
                    <w:p w14:paraId="4581547B" w14:textId="77777777" w:rsidR="003477D6" w:rsidRPr="00BB5B09" w:rsidRDefault="003477D6" w:rsidP="003477D6">
                      <w:pPr>
                        <w:jc w:val="both"/>
                        <w:rPr>
                          <w:rFonts w:hAnsi="Calibri"/>
                          <w:color w:val="000000" w:themeColor="text1"/>
                          <w:kern w:val="24"/>
                          <w:sz w:val="22"/>
                          <w:szCs w:val="22"/>
                          <w:lang w:val="en-US"/>
                        </w:rPr>
                      </w:pPr>
                      <w:r w:rsidRPr="00BB5B09">
                        <w:rPr>
                          <w:rFonts w:hAnsi="Calibri"/>
                          <w:color w:val="000000" w:themeColor="text1"/>
                          <w:kern w:val="24"/>
                          <w:sz w:val="22"/>
                          <w:szCs w:val="22"/>
                          <w:lang w:val="en-US"/>
                        </w:rPr>
                        <w:t>Figure 1</w:t>
                      </w:r>
                      <w:r>
                        <w:rPr>
                          <w:rFonts w:hAnsi="Calibri"/>
                          <w:color w:val="000000" w:themeColor="text1"/>
                          <w:kern w:val="24"/>
                          <w:sz w:val="22"/>
                          <w:szCs w:val="22"/>
                          <w:lang w:val="en-US"/>
                        </w:rPr>
                        <w:t>S</w:t>
                      </w:r>
                      <w:r w:rsidRPr="00BB5B09">
                        <w:rPr>
                          <w:rFonts w:hAnsi="Calibri"/>
                          <w:color w:val="000000" w:themeColor="text1"/>
                          <w:kern w:val="24"/>
                          <w:sz w:val="22"/>
                          <w:szCs w:val="22"/>
                          <w:lang w:val="en-US"/>
                        </w:rPr>
                        <w:t>. Timeline of qPCR analysis represented by C</w:t>
                      </w:r>
                      <w:r w:rsidRPr="00144C13">
                        <w:rPr>
                          <w:color w:val="000000" w:themeColor="text1"/>
                          <w:kern w:val="24"/>
                          <w:sz w:val="22"/>
                          <w:szCs w:val="22"/>
                          <w:vertAlign w:val="subscript"/>
                          <w:lang w:val="en-US"/>
                        </w:rPr>
                        <w:t>t</w:t>
                      </w:r>
                      <w:r w:rsidRPr="00BB5B09">
                        <w:rPr>
                          <w:rFonts w:hAnsi="Calibri"/>
                          <w:color w:val="000000" w:themeColor="text1"/>
                          <w:kern w:val="24"/>
                          <w:sz w:val="22"/>
                          <w:szCs w:val="22"/>
                          <w:lang w:val="en-US"/>
                        </w:rPr>
                        <w:t xml:space="preserve"> (Cycle threshold, number of cycles required to cross the threshold). Positive reaction is detected by accumulation of a fluorescent signal. C</w:t>
                      </w:r>
                      <w:r w:rsidRPr="00144C13">
                        <w:rPr>
                          <w:color w:val="000000" w:themeColor="text1"/>
                          <w:kern w:val="24"/>
                          <w:sz w:val="22"/>
                          <w:szCs w:val="22"/>
                          <w:vertAlign w:val="subscript"/>
                          <w:lang w:val="en-US"/>
                        </w:rPr>
                        <w:t>t</w:t>
                      </w:r>
                      <w:r w:rsidRPr="00BB5B09">
                        <w:rPr>
                          <w:rFonts w:hAnsi="Calibri"/>
                          <w:color w:val="000000" w:themeColor="text1"/>
                          <w:kern w:val="24"/>
                          <w:sz w:val="22"/>
                          <w:szCs w:val="22"/>
                          <w:lang w:val="en-US"/>
                        </w:rPr>
                        <w:t xml:space="preserve"> levels are inversely proportional to the amount of </w:t>
                      </w:r>
                      <w:r>
                        <w:rPr>
                          <w:rFonts w:hAnsi="Calibri"/>
                          <w:color w:val="000000" w:themeColor="text1"/>
                          <w:kern w:val="24"/>
                          <w:sz w:val="22"/>
                          <w:szCs w:val="22"/>
                          <w:lang w:val="en-US"/>
                        </w:rPr>
                        <w:t>COVID</w:t>
                      </w:r>
                      <w:r w:rsidRPr="00BB5B09">
                        <w:rPr>
                          <w:rFonts w:hAnsi="Calibri"/>
                          <w:color w:val="000000" w:themeColor="text1"/>
                          <w:kern w:val="24"/>
                          <w:sz w:val="22"/>
                          <w:szCs w:val="22"/>
                          <w:lang w:val="en-US"/>
                        </w:rPr>
                        <w:t>-19 RNA in the sample. C</w:t>
                      </w:r>
                      <w:r w:rsidRPr="00144C13">
                        <w:rPr>
                          <w:color w:val="000000" w:themeColor="text1"/>
                          <w:kern w:val="24"/>
                          <w:sz w:val="22"/>
                          <w:szCs w:val="22"/>
                          <w:vertAlign w:val="subscript"/>
                          <w:lang w:val="en-US"/>
                        </w:rPr>
                        <w:t xml:space="preserve">t </w:t>
                      </w:r>
                      <w:r>
                        <w:rPr>
                          <w:rFonts w:hAnsi="Calibri"/>
                          <w:color w:val="000000" w:themeColor="text1"/>
                          <w:kern w:val="24"/>
                          <w:sz w:val="22"/>
                          <w:szCs w:val="22"/>
                          <w:lang w:val="en-US"/>
                        </w:rPr>
                        <w:t>values</w:t>
                      </w:r>
                      <w:r w:rsidRPr="00BB5B09">
                        <w:rPr>
                          <w:rFonts w:hAnsi="Calibri"/>
                          <w:color w:val="000000" w:themeColor="text1"/>
                          <w:kern w:val="24"/>
                          <w:sz w:val="22"/>
                          <w:szCs w:val="22"/>
                          <w:lang w:val="en-US"/>
                        </w:rPr>
                        <w:t xml:space="preserve"> &gt;40 are weak reactions indicative of minimal amounts of C</w:t>
                      </w:r>
                      <w:r>
                        <w:rPr>
                          <w:rFonts w:hAnsi="Calibri"/>
                          <w:color w:val="000000" w:themeColor="text1"/>
                          <w:kern w:val="24"/>
                          <w:sz w:val="22"/>
                          <w:szCs w:val="22"/>
                          <w:lang w:val="en-US"/>
                        </w:rPr>
                        <w:t>OVID</w:t>
                      </w:r>
                      <w:r w:rsidRPr="00BB5B09">
                        <w:rPr>
                          <w:rFonts w:hAnsi="Calibri"/>
                          <w:color w:val="000000" w:themeColor="text1"/>
                          <w:kern w:val="24"/>
                          <w:sz w:val="22"/>
                          <w:szCs w:val="22"/>
                          <w:lang w:val="en-US"/>
                        </w:rPr>
                        <w:t>-19 RNA (dotted red line). Plitidepsin was administered days 49-51 and 65-67 since symptom onset.</w:t>
                      </w:r>
                    </w:p>
                  </w:txbxContent>
                </v:textbox>
              </v:shape>
            </w:pict>
          </mc:Fallback>
        </mc:AlternateContent>
      </w:r>
      <w:r w:rsidRPr="00F675F8">
        <w:rPr>
          <w:noProof/>
          <w:color w:val="000000" w:themeColor="text1"/>
          <w:lang w:eastAsia="es-ES"/>
        </w:rPr>
        <w:drawing>
          <wp:anchor distT="0" distB="0" distL="114300" distR="114300" simplePos="0" relativeHeight="251672576" behindDoc="0" locked="0" layoutInCell="1" allowOverlap="1" wp14:anchorId="558D11B0" wp14:editId="1FEC80B4">
            <wp:simplePos x="0" y="0"/>
            <wp:positionH relativeFrom="column">
              <wp:posOffset>119651</wp:posOffset>
            </wp:positionH>
            <wp:positionV relativeFrom="paragraph">
              <wp:posOffset>739921</wp:posOffset>
            </wp:positionV>
            <wp:extent cx="5096656" cy="4157121"/>
            <wp:effectExtent l="0" t="0" r="0" b="0"/>
            <wp:wrapNone/>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1"/>
                    <a:stretch>
                      <a:fillRect/>
                    </a:stretch>
                  </pic:blipFill>
                  <pic:spPr>
                    <a:xfrm>
                      <a:off x="0" y="0"/>
                      <a:ext cx="5096656" cy="4157121"/>
                    </a:xfrm>
                    <a:prstGeom prst="rect">
                      <a:avLst/>
                    </a:prstGeom>
                  </pic:spPr>
                </pic:pic>
              </a:graphicData>
            </a:graphic>
            <wp14:sizeRelH relativeFrom="margin">
              <wp14:pctWidth>0</wp14:pctWidth>
            </wp14:sizeRelH>
            <wp14:sizeRelV relativeFrom="margin">
              <wp14:pctHeight>0</wp14:pctHeight>
            </wp14:sizeRelV>
          </wp:anchor>
        </w:drawing>
      </w:r>
    </w:p>
    <w:p w14:paraId="264398CF" w14:textId="525F47F7" w:rsidR="00BB5B09" w:rsidRPr="00F675F8" w:rsidRDefault="003477D6" w:rsidP="003477D6">
      <w:pPr>
        <w:rPr>
          <w:color w:val="000000" w:themeColor="text1"/>
          <w:lang w:val="en-US"/>
        </w:rPr>
      </w:pPr>
      <w:r w:rsidRPr="00F675F8">
        <w:rPr>
          <w:color w:val="000000" w:themeColor="text1"/>
          <w:lang w:val="en-US"/>
        </w:rPr>
        <w:br w:type="page"/>
      </w:r>
      <w:r w:rsidRPr="00F675F8">
        <w:rPr>
          <w:noProof/>
          <w:color w:val="000000" w:themeColor="text1"/>
          <w:lang w:eastAsia="es-ES"/>
        </w:rPr>
        <w:lastRenderedPageBreak/>
        <mc:AlternateContent>
          <mc:Choice Requires="wps">
            <w:drawing>
              <wp:anchor distT="0" distB="0" distL="114300" distR="114300" simplePos="0" relativeHeight="251675648" behindDoc="0" locked="0" layoutInCell="1" allowOverlap="1" wp14:anchorId="7A5400C6" wp14:editId="45AA026D">
                <wp:simplePos x="0" y="0"/>
                <wp:positionH relativeFrom="margin">
                  <wp:align>left</wp:align>
                </wp:positionH>
                <wp:positionV relativeFrom="paragraph">
                  <wp:posOffset>4062729</wp:posOffset>
                </wp:positionV>
                <wp:extent cx="5043836" cy="1895475"/>
                <wp:effectExtent l="0" t="0" r="0" b="0"/>
                <wp:wrapNone/>
                <wp:docPr id="4" name="CuadroTexto 2"/>
                <wp:cNvGraphicFramePr/>
                <a:graphic xmlns:a="http://schemas.openxmlformats.org/drawingml/2006/main">
                  <a:graphicData uri="http://schemas.microsoft.com/office/word/2010/wordprocessingShape">
                    <wps:wsp>
                      <wps:cNvSpPr txBox="1"/>
                      <wps:spPr>
                        <a:xfrm>
                          <a:off x="0" y="0"/>
                          <a:ext cx="5043836" cy="1895475"/>
                        </a:xfrm>
                        <a:prstGeom prst="rect">
                          <a:avLst/>
                        </a:prstGeom>
                        <a:noFill/>
                      </wps:spPr>
                      <wps:txbx>
                        <w:txbxContent>
                          <w:p w14:paraId="7E295E22" w14:textId="71547546" w:rsidR="003477D6" w:rsidRPr="00373CD4" w:rsidRDefault="003477D6" w:rsidP="003477D6">
                            <w:pPr>
                              <w:jc w:val="both"/>
                              <w:rPr>
                                <w:rFonts w:hAnsi="Calibri"/>
                                <w:color w:val="FF0000"/>
                                <w:kern w:val="24"/>
                                <w:sz w:val="22"/>
                                <w:szCs w:val="22"/>
                                <w:lang w:val="en-US"/>
                              </w:rPr>
                            </w:pPr>
                            <w:r>
                              <w:rPr>
                                <w:rFonts w:hAnsi="Calibri"/>
                                <w:color w:val="000000" w:themeColor="text1"/>
                                <w:kern w:val="24"/>
                                <w:sz w:val="22"/>
                                <w:szCs w:val="22"/>
                                <w:lang w:val="en-US"/>
                              </w:rPr>
                              <w:t>Figure 2S</w:t>
                            </w:r>
                            <w:r w:rsidRPr="00BB5B09">
                              <w:rPr>
                                <w:rFonts w:hAnsi="Calibri"/>
                                <w:color w:val="000000" w:themeColor="text1"/>
                                <w:kern w:val="24"/>
                                <w:sz w:val="22"/>
                                <w:szCs w:val="22"/>
                                <w:lang w:val="en-US"/>
                              </w:rPr>
                              <w:t xml:space="preserve">. </w:t>
                            </w:r>
                            <w:r w:rsidR="00373CD4">
                              <w:rPr>
                                <w:rFonts w:hAnsi="Calibri"/>
                                <w:color w:val="000000" w:themeColor="text1"/>
                                <w:kern w:val="24"/>
                                <w:sz w:val="22"/>
                                <w:szCs w:val="22"/>
                                <w:lang w:val="en-US"/>
                              </w:rPr>
                              <w:t>Imaging follow-up, including thorax</w:t>
                            </w:r>
                            <w:r>
                              <w:rPr>
                                <w:rFonts w:hAnsi="Calibri"/>
                                <w:color w:val="000000" w:themeColor="text1"/>
                                <w:kern w:val="24"/>
                                <w:sz w:val="22"/>
                                <w:szCs w:val="22"/>
                                <w:lang w:val="en-US"/>
                              </w:rPr>
                              <w:t xml:space="preserve"> X-ray and computerized tomography (CT)</w:t>
                            </w:r>
                            <w:r w:rsidR="00373CD4">
                              <w:rPr>
                                <w:rFonts w:hAnsi="Calibri"/>
                                <w:color w:val="000000" w:themeColor="text1"/>
                                <w:kern w:val="24"/>
                                <w:sz w:val="22"/>
                                <w:szCs w:val="22"/>
                                <w:lang w:val="en-US"/>
                              </w:rPr>
                              <w:t xml:space="preserve">, </w:t>
                            </w:r>
                            <w:r w:rsidR="00D9166B">
                              <w:rPr>
                                <w:rFonts w:hAnsi="Calibri"/>
                                <w:color w:val="000000" w:themeColor="text1"/>
                                <w:kern w:val="24"/>
                                <w:sz w:val="22"/>
                                <w:szCs w:val="22"/>
                                <w:lang w:val="en-US"/>
                              </w:rPr>
                              <w:t>during</w:t>
                            </w:r>
                            <w:r>
                              <w:rPr>
                                <w:rFonts w:hAnsi="Calibri"/>
                                <w:color w:val="000000" w:themeColor="text1"/>
                                <w:kern w:val="24"/>
                                <w:sz w:val="22"/>
                                <w:szCs w:val="22"/>
                                <w:lang w:val="en-US"/>
                              </w:rPr>
                              <w:t xml:space="preserve"> plitidepsin </w:t>
                            </w:r>
                            <w:r w:rsidR="00373CD4">
                              <w:rPr>
                                <w:rFonts w:hAnsi="Calibri"/>
                                <w:color w:val="000000" w:themeColor="text1"/>
                                <w:kern w:val="24"/>
                                <w:sz w:val="22"/>
                                <w:szCs w:val="22"/>
                                <w:lang w:val="en-US"/>
                              </w:rPr>
                              <w:t>scheduling</w:t>
                            </w:r>
                            <w:r>
                              <w:rPr>
                                <w:rFonts w:hAnsi="Calibri"/>
                                <w:color w:val="000000" w:themeColor="text1"/>
                                <w:kern w:val="24"/>
                                <w:sz w:val="22"/>
                                <w:szCs w:val="22"/>
                                <w:lang w:val="en-US"/>
                              </w:rPr>
                              <w:t xml:space="preserve">. </w:t>
                            </w:r>
                            <w:r>
                              <w:rPr>
                                <w:rFonts w:hAnsi="Calibri"/>
                                <w:b/>
                                <w:color w:val="000000" w:themeColor="text1"/>
                                <w:kern w:val="24"/>
                                <w:sz w:val="22"/>
                                <w:szCs w:val="22"/>
                                <w:lang w:val="en-US"/>
                              </w:rPr>
                              <w:t xml:space="preserve">a) </w:t>
                            </w:r>
                            <w:r w:rsidR="00373CD4">
                              <w:rPr>
                                <w:rFonts w:hAnsi="Calibri"/>
                                <w:color w:val="000000" w:themeColor="text1"/>
                                <w:kern w:val="24"/>
                                <w:sz w:val="22"/>
                                <w:szCs w:val="22"/>
                                <w:lang w:val="en-US"/>
                              </w:rPr>
                              <w:t>Chest X-ray</w:t>
                            </w:r>
                            <w:r>
                              <w:rPr>
                                <w:rFonts w:hAnsi="Calibri"/>
                                <w:color w:val="000000" w:themeColor="text1"/>
                                <w:kern w:val="24"/>
                                <w:sz w:val="22"/>
                                <w:szCs w:val="22"/>
                                <w:lang w:val="en-US"/>
                              </w:rPr>
                              <w:t xml:space="preserve"> image three days prior to first injection of plitidepsin </w:t>
                            </w:r>
                            <w:r w:rsidR="00373CD4" w:rsidRPr="0045111F">
                              <w:rPr>
                                <w:rFonts w:hAnsi="Calibri"/>
                                <w:color w:val="000000" w:themeColor="text1"/>
                                <w:kern w:val="24"/>
                                <w:sz w:val="22"/>
                                <w:szCs w:val="22"/>
                                <w:lang w:val="en-US"/>
                              </w:rPr>
                              <w:t>showing bilateral infiltrates affecting all lung lobes</w:t>
                            </w:r>
                            <w:r w:rsidRPr="0045111F">
                              <w:rPr>
                                <w:rFonts w:hAnsi="Calibri"/>
                                <w:color w:val="000000" w:themeColor="text1"/>
                                <w:kern w:val="24"/>
                                <w:sz w:val="22"/>
                                <w:szCs w:val="22"/>
                                <w:lang w:val="en-US"/>
                              </w:rPr>
                              <w:t xml:space="preserve"> </w:t>
                            </w:r>
                            <w:r>
                              <w:rPr>
                                <w:rFonts w:hAnsi="Calibri"/>
                                <w:b/>
                                <w:color w:val="000000" w:themeColor="text1"/>
                                <w:kern w:val="24"/>
                                <w:sz w:val="22"/>
                                <w:szCs w:val="22"/>
                                <w:lang w:val="en-US"/>
                              </w:rPr>
                              <w:t xml:space="preserve">b) </w:t>
                            </w:r>
                            <w:r>
                              <w:rPr>
                                <w:rFonts w:hAnsi="Calibri"/>
                                <w:color w:val="000000" w:themeColor="text1"/>
                                <w:kern w:val="24"/>
                                <w:sz w:val="22"/>
                                <w:szCs w:val="22"/>
                                <w:lang w:val="en-US"/>
                              </w:rPr>
                              <w:t>Thora</w:t>
                            </w:r>
                            <w:r w:rsidR="00373CD4">
                              <w:rPr>
                                <w:rFonts w:hAnsi="Calibri"/>
                                <w:color w:val="000000" w:themeColor="text1"/>
                                <w:kern w:val="24"/>
                                <w:sz w:val="22"/>
                                <w:szCs w:val="22"/>
                                <w:lang w:val="en-US"/>
                              </w:rPr>
                              <w:t>x</w:t>
                            </w:r>
                            <w:r>
                              <w:rPr>
                                <w:rFonts w:hAnsi="Calibri"/>
                                <w:color w:val="000000" w:themeColor="text1"/>
                                <w:kern w:val="24"/>
                                <w:sz w:val="22"/>
                                <w:szCs w:val="22"/>
                                <w:lang w:val="en-US"/>
                              </w:rPr>
                              <w:t xml:space="preserve"> CT on the first day of plitidepsin injection</w:t>
                            </w:r>
                            <w:r w:rsidR="00373CD4">
                              <w:rPr>
                                <w:rFonts w:hAnsi="Calibri"/>
                                <w:color w:val="000000" w:themeColor="text1"/>
                                <w:kern w:val="24"/>
                                <w:sz w:val="22"/>
                                <w:szCs w:val="22"/>
                                <w:lang w:val="en-US"/>
                              </w:rPr>
                              <w:t xml:space="preserve">, at day 48 </w:t>
                            </w:r>
                            <w:r w:rsidR="00DC42FD">
                              <w:rPr>
                                <w:rFonts w:hAnsi="Calibri"/>
                                <w:color w:val="000000" w:themeColor="text1"/>
                                <w:kern w:val="24"/>
                                <w:sz w:val="22"/>
                                <w:szCs w:val="22"/>
                                <w:lang w:val="en-US"/>
                              </w:rPr>
                              <w:t>from</w:t>
                            </w:r>
                            <w:r w:rsidR="00373CD4">
                              <w:rPr>
                                <w:rFonts w:hAnsi="Calibri"/>
                                <w:color w:val="000000" w:themeColor="text1"/>
                                <w:kern w:val="24"/>
                                <w:sz w:val="22"/>
                                <w:szCs w:val="22"/>
                                <w:lang w:val="en-US"/>
                              </w:rPr>
                              <w:t xml:space="preserve"> symptom onset</w:t>
                            </w:r>
                            <w:r>
                              <w:rPr>
                                <w:rFonts w:hAnsi="Calibri"/>
                                <w:color w:val="000000" w:themeColor="text1"/>
                                <w:kern w:val="24"/>
                                <w:sz w:val="22"/>
                                <w:szCs w:val="22"/>
                                <w:lang w:val="en-US"/>
                              </w:rPr>
                              <w:t xml:space="preserve"> </w:t>
                            </w:r>
                            <w:r>
                              <w:rPr>
                                <w:rFonts w:hAnsi="Calibri"/>
                                <w:b/>
                                <w:color w:val="000000" w:themeColor="text1"/>
                                <w:kern w:val="24"/>
                                <w:sz w:val="22"/>
                                <w:szCs w:val="22"/>
                                <w:lang w:val="en-US"/>
                              </w:rPr>
                              <w:t xml:space="preserve">c) </w:t>
                            </w:r>
                            <w:r w:rsidR="00373CD4">
                              <w:rPr>
                                <w:rFonts w:hAnsi="Calibri"/>
                                <w:color w:val="000000" w:themeColor="text1"/>
                                <w:kern w:val="24"/>
                                <w:sz w:val="22"/>
                                <w:szCs w:val="22"/>
                                <w:lang w:val="en-US"/>
                              </w:rPr>
                              <w:t>Chest</w:t>
                            </w:r>
                            <w:r>
                              <w:rPr>
                                <w:rFonts w:hAnsi="Calibri"/>
                                <w:color w:val="000000" w:themeColor="text1"/>
                                <w:kern w:val="24"/>
                                <w:sz w:val="22"/>
                                <w:szCs w:val="22"/>
                                <w:lang w:val="en-US"/>
                              </w:rPr>
                              <w:t xml:space="preserve"> X-ray image one day after the last plitidepsin injection. </w:t>
                            </w:r>
                            <w:r>
                              <w:rPr>
                                <w:rFonts w:hAnsi="Calibri"/>
                                <w:b/>
                                <w:color w:val="000000" w:themeColor="text1"/>
                                <w:kern w:val="24"/>
                                <w:sz w:val="22"/>
                                <w:szCs w:val="22"/>
                                <w:lang w:val="en-US"/>
                              </w:rPr>
                              <w:t xml:space="preserve">d) </w:t>
                            </w:r>
                            <w:r w:rsidR="00373CD4">
                              <w:rPr>
                                <w:rFonts w:hAnsi="Calibri"/>
                                <w:color w:val="000000" w:themeColor="text1"/>
                                <w:kern w:val="24"/>
                                <w:sz w:val="22"/>
                                <w:szCs w:val="22"/>
                                <w:lang w:val="en-US"/>
                              </w:rPr>
                              <w:t>Chest</w:t>
                            </w:r>
                            <w:r>
                              <w:rPr>
                                <w:rFonts w:hAnsi="Calibri"/>
                                <w:color w:val="000000" w:themeColor="text1"/>
                                <w:kern w:val="24"/>
                                <w:sz w:val="22"/>
                                <w:szCs w:val="22"/>
                                <w:lang w:val="en-US"/>
                              </w:rPr>
                              <w:t xml:space="preserve"> X-ray </w:t>
                            </w:r>
                            <w:r w:rsidR="00587EA5">
                              <w:rPr>
                                <w:rFonts w:hAnsi="Calibri"/>
                                <w:color w:val="000000" w:themeColor="text1"/>
                                <w:kern w:val="24"/>
                                <w:sz w:val="22"/>
                                <w:szCs w:val="22"/>
                                <w:lang w:val="en-US"/>
                              </w:rPr>
                              <w:t xml:space="preserve">follow-up </w:t>
                            </w:r>
                            <w:r>
                              <w:rPr>
                                <w:rFonts w:hAnsi="Calibri"/>
                                <w:color w:val="000000" w:themeColor="text1"/>
                                <w:kern w:val="24"/>
                                <w:sz w:val="22"/>
                                <w:szCs w:val="22"/>
                                <w:lang w:val="en-US"/>
                              </w:rPr>
                              <w:t xml:space="preserve">image </w:t>
                            </w:r>
                            <w:r w:rsidR="00587EA5">
                              <w:rPr>
                                <w:rFonts w:hAnsi="Calibri"/>
                                <w:color w:val="000000" w:themeColor="text1"/>
                                <w:kern w:val="24"/>
                                <w:sz w:val="22"/>
                                <w:szCs w:val="22"/>
                                <w:lang w:val="en-US"/>
                              </w:rPr>
                              <w:t xml:space="preserve">taken three weeks after the last injection of plitidepsin.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A5400C6" id="_x0000_s1030" type="#_x0000_t202" style="position:absolute;margin-left:0;margin-top:319.9pt;width:397.15pt;height:149.2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" filled="f" stroked="f">
                <v:textbox>
                  <w:txbxContent>
                    <w:p w14:paraId="7E295E22" w14:textId="71547546" w:rsidR="003477D6" w:rsidRPr="00373CD4" w:rsidRDefault="003477D6" w:rsidP="003477D6">
                      <w:pPr>
                        <w:jc w:val="both"/>
                        <w:rPr>
                          <w:rFonts w:hAnsi="Calibri"/>
                          <w:color w:val="FF0000"/>
                          <w:kern w:val="24"/>
                          <w:sz w:val="22"/>
                          <w:szCs w:val="22"/>
                          <w:lang w:val="en-US"/>
                        </w:rPr>
                      </w:pPr>
                      <w:r>
                        <w:rPr>
                          <w:rFonts w:hAnsi="Calibri"/>
                          <w:color w:val="000000" w:themeColor="text1"/>
                          <w:kern w:val="24"/>
                          <w:sz w:val="22"/>
                          <w:szCs w:val="22"/>
                          <w:lang w:val="en-US"/>
                        </w:rPr>
                        <w:t>Figure 2S</w:t>
                      </w:r>
                      <w:r w:rsidRPr="00BB5B09">
                        <w:rPr>
                          <w:rFonts w:hAnsi="Calibri"/>
                          <w:color w:val="000000" w:themeColor="text1"/>
                          <w:kern w:val="24"/>
                          <w:sz w:val="22"/>
                          <w:szCs w:val="22"/>
                          <w:lang w:val="en-US"/>
                        </w:rPr>
                        <w:t xml:space="preserve">. </w:t>
                      </w:r>
                      <w:r w:rsidR="00373CD4">
                        <w:rPr>
                          <w:rFonts w:hAnsi="Calibri"/>
                          <w:color w:val="000000" w:themeColor="text1"/>
                          <w:kern w:val="24"/>
                          <w:sz w:val="22"/>
                          <w:szCs w:val="22"/>
                          <w:lang w:val="en-US"/>
                        </w:rPr>
                        <w:t>Imaging follow-up, including thorax</w:t>
                      </w:r>
                      <w:r>
                        <w:rPr>
                          <w:rFonts w:hAnsi="Calibri"/>
                          <w:color w:val="000000" w:themeColor="text1"/>
                          <w:kern w:val="24"/>
                          <w:sz w:val="22"/>
                          <w:szCs w:val="22"/>
                          <w:lang w:val="en-US"/>
                        </w:rPr>
                        <w:t xml:space="preserve"> X-ray and computerized tomography (CT)</w:t>
                      </w:r>
                      <w:r w:rsidR="00373CD4">
                        <w:rPr>
                          <w:rFonts w:hAnsi="Calibri"/>
                          <w:color w:val="000000" w:themeColor="text1"/>
                          <w:kern w:val="24"/>
                          <w:sz w:val="22"/>
                          <w:szCs w:val="22"/>
                          <w:lang w:val="en-US"/>
                        </w:rPr>
                        <w:t xml:space="preserve">, </w:t>
                      </w:r>
                      <w:r w:rsidR="00D9166B">
                        <w:rPr>
                          <w:rFonts w:hAnsi="Calibri"/>
                          <w:color w:val="000000" w:themeColor="text1"/>
                          <w:kern w:val="24"/>
                          <w:sz w:val="22"/>
                          <w:szCs w:val="22"/>
                          <w:lang w:val="en-US"/>
                        </w:rPr>
                        <w:t>during</w:t>
                      </w:r>
                      <w:r>
                        <w:rPr>
                          <w:rFonts w:hAnsi="Calibri"/>
                          <w:color w:val="000000" w:themeColor="text1"/>
                          <w:kern w:val="24"/>
                          <w:sz w:val="22"/>
                          <w:szCs w:val="22"/>
                          <w:lang w:val="en-US"/>
                        </w:rPr>
                        <w:t xml:space="preserve"> plitidepsin </w:t>
                      </w:r>
                      <w:r w:rsidR="00373CD4">
                        <w:rPr>
                          <w:rFonts w:hAnsi="Calibri"/>
                          <w:color w:val="000000" w:themeColor="text1"/>
                          <w:kern w:val="24"/>
                          <w:sz w:val="22"/>
                          <w:szCs w:val="22"/>
                          <w:lang w:val="en-US"/>
                        </w:rPr>
                        <w:t>scheduling</w:t>
                      </w:r>
                      <w:r>
                        <w:rPr>
                          <w:rFonts w:hAnsi="Calibri"/>
                          <w:color w:val="000000" w:themeColor="text1"/>
                          <w:kern w:val="24"/>
                          <w:sz w:val="22"/>
                          <w:szCs w:val="22"/>
                          <w:lang w:val="en-US"/>
                        </w:rPr>
                        <w:t xml:space="preserve">. </w:t>
                      </w:r>
                      <w:r>
                        <w:rPr>
                          <w:rFonts w:hAnsi="Calibri"/>
                          <w:b/>
                          <w:color w:val="000000" w:themeColor="text1"/>
                          <w:kern w:val="24"/>
                          <w:sz w:val="22"/>
                          <w:szCs w:val="22"/>
                          <w:lang w:val="en-US"/>
                        </w:rPr>
                        <w:t xml:space="preserve">a) </w:t>
                      </w:r>
                      <w:r w:rsidR="00373CD4">
                        <w:rPr>
                          <w:rFonts w:hAnsi="Calibri"/>
                          <w:color w:val="000000" w:themeColor="text1"/>
                          <w:kern w:val="24"/>
                          <w:sz w:val="22"/>
                          <w:szCs w:val="22"/>
                          <w:lang w:val="en-US"/>
                        </w:rPr>
                        <w:t>Chest X-ray</w:t>
                      </w:r>
                      <w:r>
                        <w:rPr>
                          <w:rFonts w:hAnsi="Calibri"/>
                          <w:color w:val="000000" w:themeColor="text1"/>
                          <w:kern w:val="24"/>
                          <w:sz w:val="22"/>
                          <w:szCs w:val="22"/>
                          <w:lang w:val="en-US"/>
                        </w:rPr>
                        <w:t xml:space="preserve"> image three days prior to first injection of plitidepsin </w:t>
                      </w:r>
                      <w:r w:rsidR="00373CD4" w:rsidRPr="0045111F">
                        <w:rPr>
                          <w:rFonts w:hAnsi="Calibri"/>
                          <w:color w:val="000000" w:themeColor="text1"/>
                          <w:kern w:val="24"/>
                          <w:sz w:val="22"/>
                          <w:szCs w:val="22"/>
                          <w:lang w:val="en-US"/>
                        </w:rPr>
                        <w:t>showing bilateral infiltrates affecting all lung lobes</w:t>
                      </w:r>
                      <w:r w:rsidRPr="0045111F">
                        <w:rPr>
                          <w:rFonts w:hAnsi="Calibri"/>
                          <w:color w:val="000000" w:themeColor="text1"/>
                          <w:kern w:val="24"/>
                          <w:sz w:val="22"/>
                          <w:szCs w:val="22"/>
                          <w:lang w:val="en-US"/>
                        </w:rPr>
                        <w:t xml:space="preserve"> </w:t>
                      </w:r>
                      <w:r>
                        <w:rPr>
                          <w:rFonts w:hAnsi="Calibri"/>
                          <w:b/>
                          <w:color w:val="000000" w:themeColor="text1"/>
                          <w:kern w:val="24"/>
                          <w:sz w:val="22"/>
                          <w:szCs w:val="22"/>
                          <w:lang w:val="en-US"/>
                        </w:rPr>
                        <w:t xml:space="preserve">b) </w:t>
                      </w:r>
                      <w:r>
                        <w:rPr>
                          <w:rFonts w:hAnsi="Calibri"/>
                          <w:color w:val="000000" w:themeColor="text1"/>
                          <w:kern w:val="24"/>
                          <w:sz w:val="22"/>
                          <w:szCs w:val="22"/>
                          <w:lang w:val="en-US"/>
                        </w:rPr>
                        <w:t>Thora</w:t>
                      </w:r>
                      <w:r w:rsidR="00373CD4">
                        <w:rPr>
                          <w:rFonts w:hAnsi="Calibri"/>
                          <w:color w:val="000000" w:themeColor="text1"/>
                          <w:kern w:val="24"/>
                          <w:sz w:val="22"/>
                          <w:szCs w:val="22"/>
                          <w:lang w:val="en-US"/>
                        </w:rPr>
                        <w:t>x</w:t>
                      </w:r>
                      <w:r>
                        <w:rPr>
                          <w:rFonts w:hAnsi="Calibri"/>
                          <w:color w:val="000000" w:themeColor="text1"/>
                          <w:kern w:val="24"/>
                          <w:sz w:val="22"/>
                          <w:szCs w:val="22"/>
                          <w:lang w:val="en-US"/>
                        </w:rPr>
                        <w:t xml:space="preserve"> CT on the first day of plitidepsin injection</w:t>
                      </w:r>
                      <w:r w:rsidR="00373CD4">
                        <w:rPr>
                          <w:rFonts w:hAnsi="Calibri"/>
                          <w:color w:val="000000" w:themeColor="text1"/>
                          <w:kern w:val="24"/>
                          <w:sz w:val="22"/>
                          <w:szCs w:val="22"/>
                          <w:lang w:val="en-US"/>
                        </w:rPr>
                        <w:t xml:space="preserve">, at day 48 </w:t>
                      </w:r>
                      <w:r w:rsidR="00DC42FD">
                        <w:rPr>
                          <w:rFonts w:hAnsi="Calibri"/>
                          <w:color w:val="000000" w:themeColor="text1"/>
                          <w:kern w:val="24"/>
                          <w:sz w:val="22"/>
                          <w:szCs w:val="22"/>
                          <w:lang w:val="en-US"/>
                        </w:rPr>
                        <w:t>from</w:t>
                      </w:r>
                      <w:r w:rsidR="00373CD4">
                        <w:rPr>
                          <w:rFonts w:hAnsi="Calibri"/>
                          <w:color w:val="000000" w:themeColor="text1"/>
                          <w:kern w:val="24"/>
                          <w:sz w:val="22"/>
                          <w:szCs w:val="22"/>
                          <w:lang w:val="en-US"/>
                        </w:rPr>
                        <w:t xml:space="preserve"> symptom onset</w:t>
                      </w:r>
                      <w:r>
                        <w:rPr>
                          <w:rFonts w:hAnsi="Calibri"/>
                          <w:color w:val="000000" w:themeColor="text1"/>
                          <w:kern w:val="24"/>
                          <w:sz w:val="22"/>
                          <w:szCs w:val="22"/>
                          <w:lang w:val="en-US"/>
                        </w:rPr>
                        <w:t xml:space="preserve"> </w:t>
                      </w:r>
                      <w:r>
                        <w:rPr>
                          <w:rFonts w:hAnsi="Calibri"/>
                          <w:b/>
                          <w:color w:val="000000" w:themeColor="text1"/>
                          <w:kern w:val="24"/>
                          <w:sz w:val="22"/>
                          <w:szCs w:val="22"/>
                          <w:lang w:val="en-US"/>
                        </w:rPr>
                        <w:t xml:space="preserve">c) </w:t>
                      </w:r>
                      <w:r w:rsidR="00373CD4">
                        <w:rPr>
                          <w:rFonts w:hAnsi="Calibri"/>
                          <w:color w:val="000000" w:themeColor="text1"/>
                          <w:kern w:val="24"/>
                          <w:sz w:val="22"/>
                          <w:szCs w:val="22"/>
                          <w:lang w:val="en-US"/>
                        </w:rPr>
                        <w:t>Chest</w:t>
                      </w:r>
                      <w:r>
                        <w:rPr>
                          <w:rFonts w:hAnsi="Calibri"/>
                          <w:color w:val="000000" w:themeColor="text1"/>
                          <w:kern w:val="24"/>
                          <w:sz w:val="22"/>
                          <w:szCs w:val="22"/>
                          <w:lang w:val="en-US"/>
                        </w:rPr>
                        <w:t xml:space="preserve"> X-ray image one day after the last plitidepsin injection. </w:t>
                      </w:r>
                      <w:r>
                        <w:rPr>
                          <w:rFonts w:hAnsi="Calibri"/>
                          <w:b/>
                          <w:color w:val="000000" w:themeColor="text1"/>
                          <w:kern w:val="24"/>
                          <w:sz w:val="22"/>
                          <w:szCs w:val="22"/>
                          <w:lang w:val="en-US"/>
                        </w:rPr>
                        <w:t xml:space="preserve">d) </w:t>
                      </w:r>
                      <w:r w:rsidR="00373CD4">
                        <w:rPr>
                          <w:rFonts w:hAnsi="Calibri"/>
                          <w:color w:val="000000" w:themeColor="text1"/>
                          <w:kern w:val="24"/>
                          <w:sz w:val="22"/>
                          <w:szCs w:val="22"/>
                          <w:lang w:val="en-US"/>
                        </w:rPr>
                        <w:t>Chest</w:t>
                      </w:r>
                      <w:r>
                        <w:rPr>
                          <w:rFonts w:hAnsi="Calibri"/>
                          <w:color w:val="000000" w:themeColor="text1"/>
                          <w:kern w:val="24"/>
                          <w:sz w:val="22"/>
                          <w:szCs w:val="22"/>
                          <w:lang w:val="en-US"/>
                        </w:rPr>
                        <w:t xml:space="preserve"> X-ray </w:t>
                      </w:r>
                      <w:r w:rsidR="00587EA5">
                        <w:rPr>
                          <w:rFonts w:hAnsi="Calibri"/>
                          <w:color w:val="000000" w:themeColor="text1"/>
                          <w:kern w:val="24"/>
                          <w:sz w:val="22"/>
                          <w:szCs w:val="22"/>
                          <w:lang w:val="en-US"/>
                        </w:rPr>
                        <w:t xml:space="preserve">follow-up </w:t>
                      </w:r>
                      <w:r>
                        <w:rPr>
                          <w:rFonts w:hAnsi="Calibri"/>
                          <w:color w:val="000000" w:themeColor="text1"/>
                          <w:kern w:val="24"/>
                          <w:sz w:val="22"/>
                          <w:szCs w:val="22"/>
                          <w:lang w:val="en-US"/>
                        </w:rPr>
                        <w:t xml:space="preserve">image </w:t>
                      </w:r>
                      <w:r w:rsidR="00587EA5">
                        <w:rPr>
                          <w:rFonts w:hAnsi="Calibri"/>
                          <w:color w:val="000000" w:themeColor="text1"/>
                          <w:kern w:val="24"/>
                          <w:sz w:val="22"/>
                          <w:szCs w:val="22"/>
                          <w:lang w:val="en-US"/>
                        </w:rPr>
                        <w:t xml:space="preserve">taken three weeks after the last injection of plitidepsin. </w:t>
                      </w:r>
                    </w:p>
                  </w:txbxContent>
                </v:textbox>
                <w10:wrap anchorx="margin"/>
              </v:shape>
            </w:pict>
          </mc:Fallback>
        </mc:AlternateContent>
      </w:r>
      <w:r w:rsidR="005C5D84" w:rsidRPr="005C5D84">
        <w:rPr>
          <w:noProof/>
          <w:color w:val="000000" w:themeColor="text1"/>
          <w:lang w:val="en-US"/>
        </w:rPr>
        <w:pict w14:anchorId="47106F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4.35pt;height:613.2pt;mso-width-percent:0;mso-height-percent:0;mso-width-percent:0;mso-height-percent:0">
            <v:imagedata r:id="rId12" o:title="Fig 2S"/>
          </v:shape>
        </w:pict>
      </w:r>
    </w:p>
    <w:sectPr w:rsidR="00BB5B09" w:rsidRPr="00F675F8" w:rsidSect="00632BBE">
      <w:footerReference w:type="even" r:id="rId13"/>
      <w:footerReference w:type="default" r:id="rId14"/>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FAF6F" w14:textId="77777777" w:rsidR="005C5D84" w:rsidRDefault="005C5D84" w:rsidP="0017775A">
      <w:r>
        <w:separator/>
      </w:r>
    </w:p>
  </w:endnote>
  <w:endnote w:type="continuationSeparator" w:id="0">
    <w:p w14:paraId="54A5A9CB" w14:textId="77777777" w:rsidR="005C5D84" w:rsidRDefault="005C5D84" w:rsidP="00177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721589563"/>
      <w:docPartObj>
        <w:docPartGallery w:val="Page Numbers (Bottom of Page)"/>
        <w:docPartUnique/>
      </w:docPartObj>
    </w:sdtPr>
    <w:sdtEndPr>
      <w:rPr>
        <w:rStyle w:val="Nmerodepgina"/>
      </w:rPr>
    </w:sdtEndPr>
    <w:sdtContent>
      <w:p w14:paraId="12658971" w14:textId="7CF073A1" w:rsidR="0017775A" w:rsidRDefault="0017775A" w:rsidP="00DC275B">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3814CA2" w14:textId="77777777" w:rsidR="0017775A" w:rsidRDefault="0017775A" w:rsidP="0017775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507984679"/>
      <w:docPartObj>
        <w:docPartGallery w:val="Page Numbers (Bottom of Page)"/>
        <w:docPartUnique/>
      </w:docPartObj>
    </w:sdtPr>
    <w:sdtEndPr>
      <w:rPr>
        <w:rStyle w:val="Nmerodepgina"/>
      </w:rPr>
    </w:sdtEndPr>
    <w:sdtContent>
      <w:p w14:paraId="7499E150" w14:textId="703563D3" w:rsidR="0017775A" w:rsidRDefault="0017775A" w:rsidP="00DC275B">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D9166B">
          <w:rPr>
            <w:rStyle w:val="Nmerodepgina"/>
            <w:noProof/>
          </w:rPr>
          <w:t>8</w:t>
        </w:r>
        <w:r>
          <w:rPr>
            <w:rStyle w:val="Nmerodepgina"/>
          </w:rPr>
          <w:fldChar w:fldCharType="end"/>
        </w:r>
      </w:p>
    </w:sdtContent>
  </w:sdt>
  <w:p w14:paraId="7A56F249" w14:textId="77777777" w:rsidR="0017775A" w:rsidRDefault="0017775A" w:rsidP="0017775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4E572" w14:textId="77777777" w:rsidR="005C5D84" w:rsidRDefault="005C5D84" w:rsidP="0017775A">
      <w:r>
        <w:separator/>
      </w:r>
    </w:p>
  </w:footnote>
  <w:footnote w:type="continuationSeparator" w:id="0">
    <w:p w14:paraId="4CA1BE58" w14:textId="77777777" w:rsidR="005C5D84" w:rsidRDefault="005C5D84" w:rsidP="001777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F7147"/>
    <w:multiLevelType w:val="hybridMultilevel"/>
    <w:tmpl w:val="F8187370"/>
    <w:lvl w:ilvl="0" w:tplc="040A0011">
      <w:start w:val="1"/>
      <w:numFmt w:val="decimal"/>
      <w:lvlText w:val="%1)"/>
      <w:lvlJc w:val="left"/>
      <w:pPr>
        <w:ind w:left="720" w:hanging="360"/>
      </w:pPr>
      <w:rPr>
        <w:rFonts w:hint="default"/>
        <w:color w:val="auto"/>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34B66D77"/>
    <w:multiLevelType w:val="hybridMultilevel"/>
    <w:tmpl w:val="3046621C"/>
    <w:lvl w:ilvl="0" w:tplc="D93C8D4C">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 w15:restartNumberingAfterBreak="0">
    <w:nsid w:val="4C081F14"/>
    <w:multiLevelType w:val="hybridMultilevel"/>
    <w:tmpl w:val="F28EB7D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65F53442"/>
    <w:multiLevelType w:val="hybridMultilevel"/>
    <w:tmpl w:val="F28EB7D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A8E"/>
    <w:rsid w:val="00043F2D"/>
    <w:rsid w:val="00053CEE"/>
    <w:rsid w:val="00063800"/>
    <w:rsid w:val="000B3FED"/>
    <w:rsid w:val="00107641"/>
    <w:rsid w:val="001359EB"/>
    <w:rsid w:val="00144C13"/>
    <w:rsid w:val="0017775A"/>
    <w:rsid w:val="001B1EAA"/>
    <w:rsid w:val="001E2471"/>
    <w:rsid w:val="001E52A1"/>
    <w:rsid w:val="00243A0F"/>
    <w:rsid w:val="0027530B"/>
    <w:rsid w:val="002A6B6B"/>
    <w:rsid w:val="002E5DE8"/>
    <w:rsid w:val="002F7D04"/>
    <w:rsid w:val="003151DB"/>
    <w:rsid w:val="003477D6"/>
    <w:rsid w:val="00373CD4"/>
    <w:rsid w:val="00394299"/>
    <w:rsid w:val="00422F62"/>
    <w:rsid w:val="00424C9C"/>
    <w:rsid w:val="0045111F"/>
    <w:rsid w:val="00460CAD"/>
    <w:rsid w:val="004639FC"/>
    <w:rsid w:val="00480046"/>
    <w:rsid w:val="00521578"/>
    <w:rsid w:val="00546954"/>
    <w:rsid w:val="00577430"/>
    <w:rsid w:val="00587EA5"/>
    <w:rsid w:val="005C5224"/>
    <w:rsid w:val="005C5D84"/>
    <w:rsid w:val="005F5D5A"/>
    <w:rsid w:val="006302E9"/>
    <w:rsid w:val="00632BBE"/>
    <w:rsid w:val="006516A1"/>
    <w:rsid w:val="00655A35"/>
    <w:rsid w:val="00682AC4"/>
    <w:rsid w:val="00716A8E"/>
    <w:rsid w:val="007A0C7F"/>
    <w:rsid w:val="007E2CEB"/>
    <w:rsid w:val="008212FA"/>
    <w:rsid w:val="008423D2"/>
    <w:rsid w:val="00973A8B"/>
    <w:rsid w:val="00A1634E"/>
    <w:rsid w:val="00A267E1"/>
    <w:rsid w:val="00A278C6"/>
    <w:rsid w:val="00AA7351"/>
    <w:rsid w:val="00AB0FD8"/>
    <w:rsid w:val="00AB533A"/>
    <w:rsid w:val="00B32287"/>
    <w:rsid w:val="00B52502"/>
    <w:rsid w:val="00B562FE"/>
    <w:rsid w:val="00B66562"/>
    <w:rsid w:val="00BB5B09"/>
    <w:rsid w:val="00C104E7"/>
    <w:rsid w:val="00C1573A"/>
    <w:rsid w:val="00C9586F"/>
    <w:rsid w:val="00CC7853"/>
    <w:rsid w:val="00CE4A75"/>
    <w:rsid w:val="00D00C5E"/>
    <w:rsid w:val="00D4137D"/>
    <w:rsid w:val="00D9166B"/>
    <w:rsid w:val="00DC42FD"/>
    <w:rsid w:val="00DE5940"/>
    <w:rsid w:val="00E23A05"/>
    <w:rsid w:val="00E53EFB"/>
    <w:rsid w:val="00ED1938"/>
    <w:rsid w:val="00F22197"/>
    <w:rsid w:val="00F414FC"/>
    <w:rsid w:val="00F675F8"/>
    <w:rsid w:val="00FA1B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F67AD"/>
  <w15:chartTrackingRefBased/>
  <w15:docId w15:val="{13E1C07B-D3DB-CE40-9E00-5BFD1C7E7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716A8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16A8E"/>
    <w:rPr>
      <w:rFonts w:asciiTheme="majorHAnsi" w:eastAsiaTheme="majorEastAsia" w:hAnsiTheme="majorHAnsi" w:cstheme="majorBidi"/>
      <w:spacing w:val="-10"/>
      <w:kern w:val="28"/>
      <w:sz w:val="56"/>
      <w:szCs w:val="56"/>
    </w:rPr>
  </w:style>
  <w:style w:type="paragraph" w:customStyle="1" w:styleId="Cuerpo">
    <w:name w:val="Cuerpo"/>
    <w:rsid w:val="00716A8E"/>
    <w:pPr>
      <w:pBdr>
        <w:top w:val="nil"/>
        <w:left w:val="nil"/>
        <w:bottom w:val="nil"/>
        <w:right w:val="nil"/>
        <w:between w:val="nil"/>
        <w:bar w:val="nil"/>
      </w:pBdr>
    </w:pPr>
    <w:rPr>
      <w:rFonts w:ascii="Times New Roman" w:eastAsia="Arial Unicode MS" w:hAnsi="Times New Roman" w:cs="Arial Unicode MS"/>
      <w:color w:val="000000"/>
      <w:u w:color="000000"/>
      <w:bdr w:val="nil"/>
      <w:lang w:val="en-US" w:eastAsia="es-ES_tradnl"/>
      <w14:textOutline w14:w="0" w14:cap="flat" w14:cmpd="sng" w14:algn="ctr">
        <w14:noFill/>
        <w14:prstDash w14:val="solid"/>
        <w14:bevel/>
      </w14:textOutline>
    </w:rPr>
  </w:style>
  <w:style w:type="character" w:customStyle="1" w:styleId="Ninguno">
    <w:name w:val="Ninguno"/>
    <w:rsid w:val="00716A8E"/>
    <w:rPr>
      <w:lang w:val="en-US"/>
    </w:rPr>
  </w:style>
  <w:style w:type="paragraph" w:styleId="Piedepgina">
    <w:name w:val="footer"/>
    <w:basedOn w:val="Normal"/>
    <w:link w:val="PiedepginaCar"/>
    <w:uiPriority w:val="99"/>
    <w:unhideWhenUsed/>
    <w:rsid w:val="0017775A"/>
    <w:pPr>
      <w:tabs>
        <w:tab w:val="center" w:pos="4419"/>
        <w:tab w:val="right" w:pos="8838"/>
      </w:tabs>
    </w:pPr>
  </w:style>
  <w:style w:type="character" w:customStyle="1" w:styleId="PiedepginaCar">
    <w:name w:val="Pie de página Car"/>
    <w:basedOn w:val="Fuentedeprrafopredeter"/>
    <w:link w:val="Piedepgina"/>
    <w:uiPriority w:val="99"/>
    <w:rsid w:val="0017775A"/>
  </w:style>
  <w:style w:type="character" w:styleId="Nmerodepgina">
    <w:name w:val="page number"/>
    <w:basedOn w:val="Fuentedeprrafopredeter"/>
    <w:uiPriority w:val="99"/>
    <w:semiHidden/>
    <w:unhideWhenUsed/>
    <w:rsid w:val="0017775A"/>
  </w:style>
  <w:style w:type="table" w:styleId="Tablaconcuadrcula">
    <w:name w:val="Table Grid"/>
    <w:basedOn w:val="Tablanormal"/>
    <w:uiPriority w:val="39"/>
    <w:rsid w:val="00DE59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55A3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55A35"/>
    <w:rPr>
      <w:rFonts w:ascii="Segoe UI" w:hAnsi="Segoe UI" w:cs="Segoe UI"/>
      <w:sz w:val="18"/>
      <w:szCs w:val="18"/>
    </w:rPr>
  </w:style>
  <w:style w:type="paragraph" w:styleId="Revisin">
    <w:name w:val="Revision"/>
    <w:hidden/>
    <w:uiPriority w:val="99"/>
    <w:semiHidden/>
    <w:rsid w:val="00144C13"/>
  </w:style>
  <w:style w:type="paragraph" w:styleId="Prrafodelista">
    <w:name w:val="List Paragraph"/>
    <w:basedOn w:val="Normal"/>
    <w:qFormat/>
    <w:rsid w:val="00F675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10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15</Pages>
  <Words>1623</Words>
  <Characters>8932</Characters>
  <Application>Microsoft Office Word</Application>
  <DocSecurity>0</DocSecurity>
  <Lines>74</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Guisado Vasco</dc:creator>
  <cp:keywords/>
  <dc:description/>
  <cp:lastModifiedBy>Pablo Guisado Vasco</cp:lastModifiedBy>
  <cp:revision>14</cp:revision>
  <dcterms:created xsi:type="dcterms:W3CDTF">2021-11-14T16:53:00Z</dcterms:created>
  <dcterms:modified xsi:type="dcterms:W3CDTF">2021-11-14T21:07:00Z</dcterms:modified>
</cp:coreProperties>
</file>