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B2E168" w14:textId="017DACDC" w:rsidR="003A60EA" w:rsidRDefault="00C071AE">
      <w:r>
        <w:rPr>
          <w:noProof/>
          <w:lang w:val="en-IN" w:eastAsia="en-IN"/>
        </w:rPr>
        <w:drawing>
          <wp:inline distT="0" distB="0" distL="0" distR="0" wp14:anchorId="3D7398B9" wp14:editId="04955277">
            <wp:extent cx="5760720" cy="64630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6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0700A" w14:textId="77777777" w:rsidR="00C071AE" w:rsidRPr="004F4BB4" w:rsidRDefault="00C071AE" w:rsidP="00C071A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F4BB4">
        <w:rPr>
          <w:rFonts w:ascii="Times New Roman" w:hAnsi="Times New Roman" w:cs="Times New Roman"/>
          <w:b/>
          <w:bCs/>
        </w:rPr>
        <w:t>Figure S1. Impact of continuous parameters on the presence of extramedullary manifestations in AML</w:t>
      </w:r>
    </w:p>
    <w:p w14:paraId="33E6DA45" w14:textId="151DDBB5" w:rsidR="00C071AE" w:rsidRDefault="00C071AE" w:rsidP="00C071AE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increase in white blood cell count (WBC, </w:t>
      </w:r>
      <w:r w:rsidRPr="004F4BB4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), bone marrow blast count (BMB, </w:t>
      </w:r>
      <w:r w:rsidRPr="004F4BB4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), peripheral blood blast count (PBB, </w:t>
      </w:r>
      <w:r w:rsidRPr="004F4BB4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) as well as LDH (</w:t>
      </w:r>
      <w:r w:rsidRPr="004F4BB4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) and </w:t>
      </w:r>
      <w:r w:rsidRPr="004F4BB4">
        <w:rPr>
          <w:rFonts w:ascii="Times New Roman" w:hAnsi="Times New Roman" w:cs="Times New Roman"/>
          <w:i/>
          <w:iCs/>
        </w:rPr>
        <w:t>FLT3</w:t>
      </w:r>
      <w:r>
        <w:rPr>
          <w:rFonts w:ascii="Times New Roman" w:hAnsi="Times New Roman" w:cs="Times New Roman"/>
        </w:rPr>
        <w:t>-ITD ratio (</w:t>
      </w:r>
      <w:r w:rsidRPr="004F4BB4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) corresponded to an increase in the odds of the presence of extramedullary manifestations in AML. </w:t>
      </w:r>
    </w:p>
    <w:p w14:paraId="35826EF8" w14:textId="67E7ED1E" w:rsidR="004A7AE1" w:rsidRDefault="004A7AE1" w:rsidP="00C071AE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255F815D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20E15A48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lastRenderedPageBreak/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0051455E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48DEC605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685C22CA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5BF2A2F4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extramedullary manifestations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06624023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 [1.21-1.70]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02433BDC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16B41BBC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31AF7E3F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348AFFB8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[1.03-1.04]</w:t>
            </w:r>
          </w:p>
        </w:tc>
        <w:tc>
          <w:tcPr>
            <w:tcW w:w="3196" w:type="dxa"/>
            <w:vAlign w:val="center"/>
          </w:tcPr>
          <w:p w14:paraId="5380FE99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103A676D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1698C135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7D38D3C9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[0.48-0.82]</w:t>
            </w:r>
          </w:p>
        </w:tc>
        <w:tc>
          <w:tcPr>
            <w:tcW w:w="3196" w:type="dxa"/>
            <w:vAlign w:val="center"/>
          </w:tcPr>
          <w:p w14:paraId="0821B571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3D5786" w14:paraId="1316A01A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2B9E7CFE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7A2DDF2E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[0.81-1.35]</w:t>
            </w:r>
          </w:p>
        </w:tc>
        <w:tc>
          <w:tcPr>
            <w:tcW w:w="3196" w:type="dxa"/>
            <w:vAlign w:val="center"/>
          </w:tcPr>
          <w:p w14:paraId="4CD7EFC8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0.743</w:t>
            </w:r>
          </w:p>
        </w:tc>
      </w:tr>
      <w:tr w:rsidR="003D5786" w14:paraId="4C8AF1D0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6608D41E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7BBE7875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 [1.10-1.83]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5520207B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</w:tbl>
    <w:p w14:paraId="096B9E52" w14:textId="77777777" w:rsidR="003D5786" w:rsidRPr="003C0DC7" w:rsidRDefault="003D5786" w:rsidP="003D5786">
      <w:r w:rsidRPr="00456C07">
        <w:rPr>
          <w:b/>
          <w:bCs/>
        </w:rPr>
        <w:t>Supplementary Table 1</w:t>
      </w:r>
      <w:r>
        <w:rPr>
          <w:b/>
          <w:bCs/>
        </w:rPr>
        <w:t>.</w:t>
      </w:r>
      <w:r w:rsidRPr="00456C07">
        <w:rPr>
          <w:b/>
          <w:bCs/>
        </w:rPr>
        <w:t xml:space="preserve"> </w:t>
      </w:r>
      <w:r w:rsidRPr="003C0DC7">
        <w:t>Multivariable analysis for overall survival for the entire cohort</w:t>
      </w:r>
    </w:p>
    <w:p w14:paraId="00A55688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37B37CB3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61F54F5C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1AF25FDB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5F5414EC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37E0F53F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7BC3A622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extramedullary manifestations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1BC94EA7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 [1.01-2.05]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14DB3084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0.042</w:t>
            </w:r>
          </w:p>
        </w:tc>
      </w:tr>
      <w:tr w:rsidR="003D5786" w14:paraId="16BBFAEB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C2D3BB1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7E57CBEA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[1.02-1.03]</w:t>
            </w:r>
          </w:p>
        </w:tc>
        <w:tc>
          <w:tcPr>
            <w:tcW w:w="3196" w:type="dxa"/>
            <w:vAlign w:val="center"/>
          </w:tcPr>
          <w:p w14:paraId="0936CF51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028C137E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4495CE74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421E241D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 [0.43-0.72]</w:t>
            </w:r>
          </w:p>
        </w:tc>
        <w:tc>
          <w:tcPr>
            <w:tcW w:w="3196" w:type="dxa"/>
            <w:vAlign w:val="center"/>
          </w:tcPr>
          <w:p w14:paraId="195C3C90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47D5D76F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52D47E92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3D0890EA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[0.79-1.29]</w:t>
            </w:r>
          </w:p>
        </w:tc>
        <w:tc>
          <w:tcPr>
            <w:tcW w:w="3196" w:type="dxa"/>
            <w:vAlign w:val="center"/>
          </w:tcPr>
          <w:p w14:paraId="0CAC44BE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0.959</w:t>
            </w:r>
          </w:p>
        </w:tc>
      </w:tr>
      <w:tr w:rsidR="003D5786" w14:paraId="013E4B8E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71B68FD1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03B8449C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 [1.13-1.83]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4F2CB591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</w:tbl>
    <w:p w14:paraId="4DE52BD3" w14:textId="77777777" w:rsidR="003D5786" w:rsidRPr="003C0DC7" w:rsidRDefault="003D5786" w:rsidP="003D5786">
      <w:r w:rsidRPr="00456C07">
        <w:rPr>
          <w:b/>
          <w:bCs/>
        </w:rPr>
        <w:t xml:space="preserve">Supplementary Table </w:t>
      </w:r>
      <w:r>
        <w:rPr>
          <w:b/>
          <w:bCs/>
        </w:rPr>
        <w:t>2.</w:t>
      </w:r>
      <w:r w:rsidRPr="00456C07">
        <w:rPr>
          <w:b/>
          <w:bCs/>
        </w:rPr>
        <w:t xml:space="preserve"> </w:t>
      </w:r>
      <w:r w:rsidRPr="003C0DC7">
        <w:t>Multivariable analysis for event-free survival for the comparison of patients with histologically confirmed extramedullary manifestations (EM) and patients without EM (excluding patients with only clinical diagnosis of EM)</w:t>
      </w:r>
    </w:p>
    <w:p w14:paraId="6BCF220E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14CCBC9F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045A67AE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1B48239A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98A96EC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2B71C566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0D6CCDEC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extramedullary manifestations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22248604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 [1.67-2.40]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6E361287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3D5786" w14:paraId="1E80AF13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6AE9360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3258A1FE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[1.03-1.04]</w:t>
            </w:r>
          </w:p>
        </w:tc>
        <w:tc>
          <w:tcPr>
            <w:tcW w:w="3196" w:type="dxa"/>
            <w:vAlign w:val="center"/>
          </w:tcPr>
          <w:p w14:paraId="0D4B5821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6EB57190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49C93183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467D3E9D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[0.46-0.82]</w:t>
            </w:r>
          </w:p>
        </w:tc>
        <w:tc>
          <w:tcPr>
            <w:tcW w:w="3196" w:type="dxa"/>
            <w:vAlign w:val="center"/>
          </w:tcPr>
          <w:p w14:paraId="4DD7E693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3D5786" w14:paraId="14B690A6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1D28B30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45327D3D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 [0.78-1.35]</w:t>
            </w:r>
          </w:p>
        </w:tc>
        <w:tc>
          <w:tcPr>
            <w:tcW w:w="3196" w:type="dxa"/>
            <w:vAlign w:val="center"/>
          </w:tcPr>
          <w:p w14:paraId="3CFB6DF8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0.865</w:t>
            </w:r>
          </w:p>
        </w:tc>
      </w:tr>
      <w:tr w:rsidR="003D5786" w14:paraId="40E49E4E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3AD7E3B5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07476176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 [1.06-1.81]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5872A303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0.019</w:t>
            </w:r>
          </w:p>
        </w:tc>
      </w:tr>
    </w:tbl>
    <w:p w14:paraId="1D99E59D" w14:textId="77777777" w:rsidR="003D5786" w:rsidRPr="003C0DC7" w:rsidRDefault="003D5786" w:rsidP="003D5786">
      <w:r w:rsidRPr="00456C07">
        <w:rPr>
          <w:b/>
          <w:bCs/>
        </w:rPr>
        <w:t xml:space="preserve">Supplementary Table </w:t>
      </w:r>
      <w:r>
        <w:rPr>
          <w:b/>
          <w:bCs/>
        </w:rPr>
        <w:t>3.</w:t>
      </w:r>
      <w:r w:rsidRPr="00456C07">
        <w:rPr>
          <w:b/>
          <w:bCs/>
        </w:rPr>
        <w:t xml:space="preserve"> </w:t>
      </w:r>
      <w:r w:rsidRPr="003C0DC7">
        <w:t xml:space="preserve">Multivariable analysis for </w:t>
      </w:r>
      <w:r>
        <w:t>overall</w:t>
      </w:r>
      <w:r w:rsidRPr="003C0DC7">
        <w:t xml:space="preserve"> survival for the comparison of patients with histologically confirmed extramedullary manifestations (EM) and patients without EM (excluding patients with only clinical diagnosis of EM)</w:t>
      </w:r>
    </w:p>
    <w:p w14:paraId="340A7241" w14:textId="77777777" w:rsidR="003D5786" w:rsidRDefault="003D5786" w:rsidP="003D5786">
      <w:pPr>
        <w:rPr>
          <w:b/>
          <w:bCs/>
        </w:rPr>
      </w:pPr>
    </w:p>
    <w:p w14:paraId="0FCE06A0" w14:textId="77777777" w:rsidR="003D5786" w:rsidRDefault="003D5786" w:rsidP="003D5786">
      <w:pPr>
        <w:rPr>
          <w:b/>
          <w:bCs/>
        </w:rPr>
      </w:pPr>
    </w:p>
    <w:p w14:paraId="6DE0E7E3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191959B9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682CDF68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lastRenderedPageBreak/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1C838102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7BF8F69A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5541D7A1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7C93D7B5" w14:textId="77777777" w:rsidR="003D5786" w:rsidRPr="003830B9" w:rsidRDefault="003D5786" w:rsidP="004A4964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FF6DB3">
              <w:rPr>
                <w:rFonts w:ascii="Times New Roman" w:hAnsi="Times New Roman" w:cs="Times New Roman"/>
              </w:rPr>
              <w:t xml:space="preserve">mutated </w:t>
            </w:r>
            <w:r w:rsidRPr="003830B9">
              <w:rPr>
                <w:rFonts w:ascii="Times New Roman" w:hAnsi="Times New Roman" w:cs="Times New Roman"/>
                <w:i/>
                <w:iCs/>
              </w:rPr>
              <w:t>TP53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4EC74239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4.45 [1.94-10.20]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4D446E21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3D54A93B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59FA2E0D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6DC59E82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[1.02-1.05]</w:t>
            </w:r>
          </w:p>
        </w:tc>
        <w:tc>
          <w:tcPr>
            <w:tcW w:w="3196" w:type="dxa"/>
            <w:vAlign w:val="center"/>
          </w:tcPr>
          <w:p w14:paraId="515ECFBF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4EE17929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73ED03EA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66BC0CC9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 [0.29-1.14]</w:t>
            </w:r>
          </w:p>
        </w:tc>
        <w:tc>
          <w:tcPr>
            <w:tcW w:w="3196" w:type="dxa"/>
            <w:vAlign w:val="center"/>
          </w:tcPr>
          <w:p w14:paraId="574360B2" w14:textId="77777777" w:rsidR="003D5786" w:rsidRPr="00EF3D10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F3D10">
              <w:rPr>
                <w:rFonts w:ascii="Times New Roman" w:hAnsi="Times New Roman" w:cs="Times New Roman"/>
              </w:rPr>
              <w:t>0.115</w:t>
            </w:r>
          </w:p>
        </w:tc>
      </w:tr>
      <w:tr w:rsidR="003D5786" w14:paraId="51A85FF8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3AF1F455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6F3743EE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 [0.55-2.15]</w:t>
            </w:r>
          </w:p>
        </w:tc>
        <w:tc>
          <w:tcPr>
            <w:tcW w:w="3196" w:type="dxa"/>
            <w:vAlign w:val="center"/>
          </w:tcPr>
          <w:p w14:paraId="3636069C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0.803</w:t>
            </w:r>
          </w:p>
        </w:tc>
      </w:tr>
      <w:tr w:rsidR="003D5786" w14:paraId="331E6E95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43768A01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35992B32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1.53 [0.76-3.11]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501AE70B" w14:textId="77777777" w:rsidR="003D5786" w:rsidRPr="00EC0C5D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C0C5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234</w:t>
            </w:r>
          </w:p>
        </w:tc>
      </w:tr>
    </w:tbl>
    <w:p w14:paraId="31851EF3" w14:textId="77777777" w:rsidR="003D5786" w:rsidRDefault="003D5786" w:rsidP="003D5786">
      <w:pPr>
        <w:rPr>
          <w:i/>
          <w:iCs/>
        </w:rPr>
      </w:pPr>
      <w:r w:rsidRPr="00456C07">
        <w:rPr>
          <w:b/>
          <w:bCs/>
        </w:rPr>
        <w:t xml:space="preserve">Supplementary Table </w:t>
      </w:r>
      <w:r>
        <w:rPr>
          <w:b/>
          <w:bCs/>
        </w:rPr>
        <w:t>4.</w:t>
      </w:r>
      <w:r w:rsidRPr="00456C07">
        <w:rPr>
          <w:b/>
          <w:bCs/>
        </w:rPr>
        <w:t xml:space="preserve"> </w:t>
      </w:r>
      <w:r w:rsidRPr="003C0DC7">
        <w:t xml:space="preserve">Multivariable analysis for </w:t>
      </w:r>
      <w:r>
        <w:t>event-free survival</w:t>
      </w:r>
      <w:r w:rsidRPr="003C0DC7">
        <w:t xml:space="preserve"> </w:t>
      </w:r>
      <w:r>
        <w:t xml:space="preserve">for patients with extramedullary manifestations with regard to the impact of mutated </w:t>
      </w:r>
      <w:r w:rsidRPr="00FF6DB3">
        <w:rPr>
          <w:i/>
          <w:iCs/>
        </w:rPr>
        <w:t>TP53</w:t>
      </w:r>
    </w:p>
    <w:p w14:paraId="5B011B6E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73D4DEDD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54862BEB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3A4FB1DC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1E671672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212A74B3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4876C11E" w14:textId="77777777" w:rsidR="003D5786" w:rsidRPr="003830B9" w:rsidRDefault="003D5786" w:rsidP="004A4964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FF6DB3">
              <w:rPr>
                <w:rFonts w:ascii="Times New Roman" w:hAnsi="Times New Roman" w:cs="Times New Roman"/>
              </w:rPr>
              <w:t xml:space="preserve">mutated </w:t>
            </w:r>
            <w:r w:rsidRPr="003830B9">
              <w:rPr>
                <w:rFonts w:ascii="Times New Roman" w:hAnsi="Times New Roman" w:cs="Times New Roman"/>
                <w:i/>
                <w:iCs/>
              </w:rPr>
              <w:t>TP53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0EDB670E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2.48 [1.11-5.52]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120D3EAF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3D5786" w14:paraId="7A3BD94C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74CBC88C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48D994AD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[1.01-1.04]</w:t>
            </w:r>
          </w:p>
        </w:tc>
        <w:tc>
          <w:tcPr>
            <w:tcW w:w="3196" w:type="dxa"/>
            <w:vAlign w:val="center"/>
          </w:tcPr>
          <w:p w14:paraId="5E298763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7BFD83F2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650C2DDF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1F48A831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 [0.30-1.21]</w:t>
            </w:r>
          </w:p>
        </w:tc>
        <w:tc>
          <w:tcPr>
            <w:tcW w:w="3196" w:type="dxa"/>
            <w:vAlign w:val="center"/>
          </w:tcPr>
          <w:p w14:paraId="41693405" w14:textId="77777777" w:rsidR="003D5786" w:rsidRPr="00EF3D10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F3D10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3D5786" w14:paraId="2A29FBA2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7BBDCD7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0D13FCC0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[0.52-2.07]</w:t>
            </w:r>
          </w:p>
        </w:tc>
        <w:tc>
          <w:tcPr>
            <w:tcW w:w="3196" w:type="dxa"/>
            <w:vAlign w:val="center"/>
          </w:tcPr>
          <w:p w14:paraId="52D400A7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</w:tr>
      <w:tr w:rsidR="003D5786" w14:paraId="46897268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27A73E16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5605895D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 [0.60-2.49]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2D73978B" w14:textId="77777777" w:rsidR="003D5786" w:rsidRPr="00EC0C5D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C0C5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575</w:t>
            </w:r>
          </w:p>
        </w:tc>
      </w:tr>
    </w:tbl>
    <w:p w14:paraId="21F6E17D" w14:textId="77777777" w:rsidR="003D5786" w:rsidRDefault="003D5786" w:rsidP="003D5786">
      <w:pPr>
        <w:rPr>
          <w:i/>
          <w:iCs/>
        </w:rPr>
      </w:pPr>
      <w:r w:rsidRPr="00456C07">
        <w:rPr>
          <w:b/>
          <w:bCs/>
        </w:rPr>
        <w:t xml:space="preserve">Supplementary Table </w:t>
      </w:r>
      <w:r>
        <w:rPr>
          <w:b/>
          <w:bCs/>
        </w:rPr>
        <w:t>5.</w:t>
      </w:r>
      <w:r w:rsidRPr="00456C07">
        <w:rPr>
          <w:b/>
          <w:bCs/>
        </w:rPr>
        <w:t xml:space="preserve"> </w:t>
      </w:r>
      <w:r w:rsidRPr="003C0DC7">
        <w:t xml:space="preserve">Multivariable analysis for </w:t>
      </w:r>
      <w:r>
        <w:t>overall survival</w:t>
      </w:r>
      <w:r w:rsidRPr="003C0DC7">
        <w:t xml:space="preserve"> </w:t>
      </w:r>
      <w:r>
        <w:t xml:space="preserve">for patients with extramedullary manifestations with regard to the impact of mutated </w:t>
      </w:r>
      <w:r w:rsidRPr="00FF6DB3">
        <w:rPr>
          <w:i/>
          <w:iCs/>
        </w:rPr>
        <w:t>TP53</w:t>
      </w:r>
    </w:p>
    <w:p w14:paraId="17354CDB" w14:textId="77777777" w:rsidR="003D5786" w:rsidRDefault="003D5786" w:rsidP="003D5786">
      <w:pPr>
        <w:rPr>
          <w:b/>
          <w:bCs/>
        </w:rPr>
      </w:pPr>
    </w:p>
    <w:p w14:paraId="72D23C3B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3B23B2E2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065D9900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4FC34853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11BA8241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0A00BBDB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63925593" w14:textId="77777777" w:rsidR="003D5786" w:rsidRPr="003830B9" w:rsidRDefault="003D5786" w:rsidP="004A4964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FF6DB3">
              <w:rPr>
                <w:rFonts w:ascii="Times New Roman" w:hAnsi="Times New Roman" w:cs="Times New Roman"/>
              </w:rPr>
              <w:t xml:space="preserve">mutated </w:t>
            </w:r>
            <w:r w:rsidRPr="00484387">
              <w:rPr>
                <w:rFonts w:ascii="Times New Roman" w:hAnsi="Times New Roman" w:cs="Times New Roman"/>
                <w:i/>
                <w:iCs/>
              </w:rPr>
              <w:t>IKFZ1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7FE9E18F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 [1.02-4.13]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4A7F2023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</w:tr>
      <w:tr w:rsidR="003D5786" w14:paraId="619120DD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59336B91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24B27D8F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[1.02-1.05]</w:t>
            </w:r>
          </w:p>
        </w:tc>
        <w:tc>
          <w:tcPr>
            <w:tcW w:w="3196" w:type="dxa"/>
            <w:vAlign w:val="center"/>
          </w:tcPr>
          <w:p w14:paraId="6E878F4B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62D8751C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17A6986D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6D3254C7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 [0.30-1.20]</w:t>
            </w:r>
          </w:p>
        </w:tc>
        <w:tc>
          <w:tcPr>
            <w:tcW w:w="3196" w:type="dxa"/>
            <w:vAlign w:val="center"/>
          </w:tcPr>
          <w:p w14:paraId="3EEB4590" w14:textId="77777777" w:rsidR="003D5786" w:rsidRPr="00EF3D10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F3D1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147</w:t>
            </w:r>
          </w:p>
        </w:tc>
      </w:tr>
      <w:tr w:rsidR="003D5786" w14:paraId="166C1318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25119E2C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2FEDC026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 [0.62-2.44]</w:t>
            </w:r>
          </w:p>
        </w:tc>
        <w:tc>
          <w:tcPr>
            <w:tcW w:w="3196" w:type="dxa"/>
            <w:vAlign w:val="center"/>
          </w:tcPr>
          <w:p w14:paraId="4EF13431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0.560</w:t>
            </w:r>
          </w:p>
        </w:tc>
      </w:tr>
      <w:tr w:rsidR="003D5786" w14:paraId="706A5B31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4B254AA6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70AD8E5B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1.62 [0.80-3.29]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4D3B20E9" w14:textId="77777777" w:rsidR="003D5786" w:rsidRPr="00EC0C5D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C0C5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179</w:t>
            </w:r>
          </w:p>
        </w:tc>
      </w:tr>
    </w:tbl>
    <w:p w14:paraId="3B394AC1" w14:textId="77777777" w:rsidR="003D5786" w:rsidRDefault="003D5786" w:rsidP="003D5786">
      <w:r w:rsidRPr="00456C07">
        <w:rPr>
          <w:b/>
          <w:bCs/>
        </w:rPr>
        <w:t xml:space="preserve">Supplementary Table </w:t>
      </w:r>
      <w:r>
        <w:rPr>
          <w:b/>
          <w:bCs/>
        </w:rPr>
        <w:t>6.</w:t>
      </w:r>
      <w:r w:rsidRPr="00456C07">
        <w:rPr>
          <w:b/>
          <w:bCs/>
        </w:rPr>
        <w:t xml:space="preserve"> </w:t>
      </w:r>
      <w:r w:rsidRPr="003C0DC7">
        <w:t xml:space="preserve">Multivariable analysis for </w:t>
      </w:r>
      <w:r>
        <w:t>event-free survival</w:t>
      </w:r>
      <w:r w:rsidRPr="003C0DC7">
        <w:t xml:space="preserve"> </w:t>
      </w:r>
      <w:r>
        <w:t xml:space="preserve">for patients with extramedullary manifestations with regard to the impact of mutated </w:t>
      </w:r>
      <w:r>
        <w:rPr>
          <w:i/>
          <w:iCs/>
        </w:rPr>
        <w:t>IKZF1</w:t>
      </w:r>
    </w:p>
    <w:p w14:paraId="1FF5B3F1" w14:textId="77777777" w:rsidR="003D5786" w:rsidRDefault="003D5786" w:rsidP="003D5786">
      <w:pPr>
        <w:rPr>
          <w:b/>
          <w:bCs/>
        </w:rPr>
      </w:pPr>
    </w:p>
    <w:p w14:paraId="3004F89F" w14:textId="77777777" w:rsidR="003D5786" w:rsidRDefault="003D5786" w:rsidP="003D5786">
      <w:pPr>
        <w:rPr>
          <w:b/>
          <w:bCs/>
        </w:rPr>
      </w:pPr>
    </w:p>
    <w:p w14:paraId="49C2BDF5" w14:textId="77777777" w:rsidR="003D5786" w:rsidRDefault="003D5786" w:rsidP="003D5786">
      <w:pPr>
        <w:rPr>
          <w:b/>
          <w:bCs/>
        </w:rPr>
      </w:pPr>
    </w:p>
    <w:tbl>
      <w:tblPr>
        <w:tblStyle w:val="TableGrid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3194"/>
        <w:gridCol w:w="3196"/>
      </w:tblGrid>
      <w:tr w:rsidR="003D5786" w14:paraId="0202C7CA" w14:textId="77777777" w:rsidTr="004A4964">
        <w:trPr>
          <w:trHeight w:val="490"/>
        </w:trPr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4EFE43CF" w14:textId="77777777" w:rsidR="003D5786" w:rsidRPr="00B5200F" w:rsidRDefault="003D5786" w:rsidP="004A496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3194" w:type="dxa"/>
            <w:tcBorders>
              <w:top w:val="single" w:sz="4" w:space="0" w:color="auto"/>
              <w:bottom w:val="single" w:sz="4" w:space="0" w:color="auto"/>
            </w:tcBorders>
          </w:tcPr>
          <w:p w14:paraId="0B7C33F2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</w:rPr>
              <w:t>Hazard ratio [95%-CI]</w:t>
            </w:r>
          </w:p>
        </w:tc>
        <w:tc>
          <w:tcPr>
            <w:tcW w:w="3196" w:type="dxa"/>
            <w:tcBorders>
              <w:top w:val="single" w:sz="4" w:space="0" w:color="auto"/>
              <w:bottom w:val="single" w:sz="4" w:space="0" w:color="auto"/>
            </w:tcBorders>
          </w:tcPr>
          <w:p w14:paraId="36E172ED" w14:textId="77777777" w:rsidR="003D5786" w:rsidRPr="00B5200F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00F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B5200F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3D5786" w14:paraId="4F3BE345" w14:textId="77777777" w:rsidTr="004A4964">
        <w:trPr>
          <w:trHeight w:val="504"/>
        </w:trPr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3FB7541E" w14:textId="77777777" w:rsidR="003D5786" w:rsidRPr="003830B9" w:rsidRDefault="003D5786" w:rsidP="004A4964">
            <w:pPr>
              <w:spacing w:line="480" w:lineRule="auto"/>
              <w:rPr>
                <w:rFonts w:ascii="Times New Roman" w:hAnsi="Times New Roman" w:cs="Times New Roman"/>
                <w:i/>
                <w:iCs/>
              </w:rPr>
            </w:pPr>
            <w:r w:rsidRPr="00FF6DB3">
              <w:rPr>
                <w:rFonts w:ascii="Times New Roman" w:hAnsi="Times New Roman" w:cs="Times New Roman"/>
              </w:rPr>
              <w:t xml:space="preserve">mutated </w:t>
            </w:r>
            <w:r w:rsidRPr="00484387">
              <w:rPr>
                <w:rFonts w:ascii="Times New Roman" w:hAnsi="Times New Roman" w:cs="Times New Roman"/>
                <w:i/>
                <w:iCs/>
              </w:rPr>
              <w:t>IKFZ1</w:t>
            </w:r>
          </w:p>
        </w:tc>
        <w:tc>
          <w:tcPr>
            <w:tcW w:w="3194" w:type="dxa"/>
            <w:tcBorders>
              <w:top w:val="single" w:sz="4" w:space="0" w:color="auto"/>
            </w:tcBorders>
            <w:vAlign w:val="center"/>
          </w:tcPr>
          <w:p w14:paraId="7722E488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 [1.29-5.39]</w:t>
            </w:r>
          </w:p>
        </w:tc>
        <w:tc>
          <w:tcPr>
            <w:tcW w:w="3196" w:type="dxa"/>
            <w:tcBorders>
              <w:top w:val="single" w:sz="4" w:space="0" w:color="auto"/>
            </w:tcBorders>
            <w:vAlign w:val="center"/>
          </w:tcPr>
          <w:p w14:paraId="10A619E3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0.0</w:t>
            </w:r>
            <w:r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</w:tr>
      <w:tr w:rsidR="003D5786" w14:paraId="45764A6A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78AA4AF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194" w:type="dxa"/>
            <w:vAlign w:val="center"/>
          </w:tcPr>
          <w:p w14:paraId="2CDCA684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 [1.01-1.04]</w:t>
            </w:r>
          </w:p>
        </w:tc>
        <w:tc>
          <w:tcPr>
            <w:tcW w:w="3196" w:type="dxa"/>
            <w:vAlign w:val="center"/>
          </w:tcPr>
          <w:p w14:paraId="27ECE0BC" w14:textId="77777777" w:rsidR="003D5786" w:rsidRPr="00C77BF4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7BF4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3D5786" w14:paraId="027E7FBF" w14:textId="77777777" w:rsidTr="004A4964">
        <w:trPr>
          <w:trHeight w:val="504"/>
        </w:trPr>
        <w:tc>
          <w:tcPr>
            <w:tcW w:w="3194" w:type="dxa"/>
            <w:vAlign w:val="center"/>
          </w:tcPr>
          <w:p w14:paraId="66118E3C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favorable risk</w:t>
            </w:r>
          </w:p>
        </w:tc>
        <w:tc>
          <w:tcPr>
            <w:tcW w:w="3194" w:type="dxa"/>
            <w:vAlign w:val="center"/>
          </w:tcPr>
          <w:p w14:paraId="4A8A89CF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[0.30-1.24]</w:t>
            </w:r>
          </w:p>
        </w:tc>
        <w:tc>
          <w:tcPr>
            <w:tcW w:w="3196" w:type="dxa"/>
            <w:vAlign w:val="center"/>
          </w:tcPr>
          <w:p w14:paraId="3FD5A743" w14:textId="77777777" w:rsidR="003D5786" w:rsidRPr="00EF3D10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F3D1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176</w:t>
            </w:r>
          </w:p>
        </w:tc>
      </w:tr>
      <w:tr w:rsidR="003D5786" w14:paraId="1007DF8A" w14:textId="77777777" w:rsidTr="004A4964">
        <w:trPr>
          <w:trHeight w:val="490"/>
        </w:trPr>
        <w:tc>
          <w:tcPr>
            <w:tcW w:w="3194" w:type="dxa"/>
            <w:vAlign w:val="center"/>
          </w:tcPr>
          <w:p w14:paraId="49F78406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intermediate risk</w:t>
            </w:r>
          </w:p>
        </w:tc>
        <w:tc>
          <w:tcPr>
            <w:tcW w:w="3194" w:type="dxa"/>
            <w:vAlign w:val="center"/>
          </w:tcPr>
          <w:p w14:paraId="3790B885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 [0.58-2.35]</w:t>
            </w:r>
          </w:p>
        </w:tc>
        <w:tc>
          <w:tcPr>
            <w:tcW w:w="3196" w:type="dxa"/>
            <w:vAlign w:val="center"/>
          </w:tcPr>
          <w:p w14:paraId="460384BB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0.660</w:t>
            </w:r>
          </w:p>
        </w:tc>
      </w:tr>
      <w:tr w:rsidR="003D5786" w14:paraId="5950F247" w14:textId="77777777" w:rsidTr="004A4964">
        <w:trPr>
          <w:trHeight w:val="490"/>
        </w:trPr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1917704D" w14:textId="77777777" w:rsidR="003D5786" w:rsidRDefault="003D5786" w:rsidP="004A4964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ELN2017 adverse risk</w:t>
            </w:r>
          </w:p>
        </w:tc>
        <w:tc>
          <w:tcPr>
            <w:tcW w:w="3194" w:type="dxa"/>
            <w:tcBorders>
              <w:bottom w:val="single" w:sz="4" w:space="0" w:color="auto"/>
            </w:tcBorders>
            <w:vAlign w:val="center"/>
          </w:tcPr>
          <w:p w14:paraId="333BF22C" w14:textId="77777777" w:rsidR="003D5786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 [0.59-2.44]</w:t>
            </w:r>
          </w:p>
        </w:tc>
        <w:tc>
          <w:tcPr>
            <w:tcW w:w="3196" w:type="dxa"/>
            <w:tcBorders>
              <w:bottom w:val="single" w:sz="4" w:space="0" w:color="auto"/>
            </w:tcBorders>
            <w:vAlign w:val="center"/>
          </w:tcPr>
          <w:p w14:paraId="1DC63E4E" w14:textId="77777777" w:rsidR="003D5786" w:rsidRPr="00EC0C5D" w:rsidRDefault="003D5786" w:rsidP="004A4964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EC0C5D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625</w:t>
            </w:r>
          </w:p>
        </w:tc>
      </w:tr>
    </w:tbl>
    <w:p w14:paraId="116B73A0" w14:textId="77777777" w:rsidR="003D5786" w:rsidRDefault="003D5786" w:rsidP="003D5786">
      <w:r w:rsidRPr="00456C07">
        <w:rPr>
          <w:b/>
          <w:bCs/>
        </w:rPr>
        <w:t xml:space="preserve">Supplementary Table </w:t>
      </w:r>
      <w:r>
        <w:rPr>
          <w:b/>
          <w:bCs/>
        </w:rPr>
        <w:t>7.</w:t>
      </w:r>
      <w:r w:rsidRPr="00456C07">
        <w:rPr>
          <w:b/>
          <w:bCs/>
        </w:rPr>
        <w:t xml:space="preserve"> </w:t>
      </w:r>
      <w:r w:rsidRPr="003C0DC7">
        <w:t xml:space="preserve">Multivariable analysis for </w:t>
      </w:r>
      <w:r>
        <w:t>overall survival</w:t>
      </w:r>
      <w:r w:rsidRPr="003C0DC7">
        <w:t xml:space="preserve"> </w:t>
      </w:r>
      <w:r>
        <w:t>for patients with extramedullary manifestations with rega</w:t>
      </w:r>
      <w:bookmarkStart w:id="0" w:name="_GoBack"/>
      <w:bookmarkEnd w:id="0"/>
      <w:r>
        <w:t xml:space="preserve">rd to the impact of mutated </w:t>
      </w:r>
      <w:r>
        <w:rPr>
          <w:i/>
          <w:iCs/>
        </w:rPr>
        <w:t>IKZF1</w:t>
      </w:r>
    </w:p>
    <w:p w14:paraId="38A7E9A4" w14:textId="77777777" w:rsidR="00484387" w:rsidRPr="00484387" w:rsidRDefault="00484387"/>
    <w:sectPr w:rsidR="00484387" w:rsidRPr="004843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wMjM1MjQ2MLUwMjFV0lEKTi0uzszPAykwqgUAK7NwISwAAAA="/>
  </w:docVars>
  <w:rsids>
    <w:rsidRoot w:val="007D477F"/>
    <w:rsid w:val="00067B78"/>
    <w:rsid w:val="000E73D9"/>
    <w:rsid w:val="001629AE"/>
    <w:rsid w:val="00243662"/>
    <w:rsid w:val="00256710"/>
    <w:rsid w:val="00307E8B"/>
    <w:rsid w:val="00352B39"/>
    <w:rsid w:val="003830B9"/>
    <w:rsid w:val="003A60EA"/>
    <w:rsid w:val="003C0DC7"/>
    <w:rsid w:val="003D5786"/>
    <w:rsid w:val="00407AF9"/>
    <w:rsid w:val="00456C07"/>
    <w:rsid w:val="00484387"/>
    <w:rsid w:val="004A7AE1"/>
    <w:rsid w:val="00605007"/>
    <w:rsid w:val="006E746F"/>
    <w:rsid w:val="007B39A7"/>
    <w:rsid w:val="007D477F"/>
    <w:rsid w:val="008D21FE"/>
    <w:rsid w:val="008D25AE"/>
    <w:rsid w:val="008E00EF"/>
    <w:rsid w:val="00A40685"/>
    <w:rsid w:val="00B42535"/>
    <w:rsid w:val="00B5200F"/>
    <w:rsid w:val="00C071AE"/>
    <w:rsid w:val="00C77BF4"/>
    <w:rsid w:val="00EC0C5D"/>
    <w:rsid w:val="00EF3D10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0B2F2"/>
  <w15:chartTrackingRefBased/>
  <w15:docId w15:val="{CFF434FF-B0B1-4302-A0C1-05751A2B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Eckardt</dc:creator>
  <cp:keywords/>
  <dc:description/>
  <cp:lastModifiedBy>Prabhu S.M.</cp:lastModifiedBy>
  <cp:revision>30</cp:revision>
  <dcterms:created xsi:type="dcterms:W3CDTF">2022-01-30T14:28:00Z</dcterms:created>
  <dcterms:modified xsi:type="dcterms:W3CDTF">2022-04-21T08:49:00Z</dcterms:modified>
</cp:coreProperties>
</file>