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CF48A" w14:textId="4F4400F0" w:rsidR="0087208B" w:rsidRPr="002D2523" w:rsidRDefault="00931CC5" w:rsidP="002D2523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2D2523">
        <w:rPr>
          <w:rFonts w:ascii="Times New Roman" w:hAnsi="Times New Roman" w:cs="Times New Roman" w:hint="cs"/>
          <w:b/>
          <w:bCs/>
          <w:sz w:val="24"/>
        </w:rPr>
        <w:t>S</w:t>
      </w:r>
      <w:r w:rsidRPr="002D2523">
        <w:rPr>
          <w:rFonts w:ascii="Times New Roman" w:hAnsi="Times New Roman" w:cs="Times New Roman"/>
          <w:b/>
          <w:bCs/>
          <w:sz w:val="24"/>
        </w:rPr>
        <w:t>upplementary Methods</w:t>
      </w:r>
    </w:p>
    <w:p w14:paraId="7EE4DBAA" w14:textId="77777777" w:rsidR="002D2523" w:rsidRPr="002D2523" w:rsidRDefault="002D2523" w:rsidP="002D2523">
      <w:pPr>
        <w:spacing w:line="480" w:lineRule="auto"/>
        <w:rPr>
          <w:rFonts w:ascii="Times New Roman" w:hAnsi="Times New Roman" w:cs="Times New Roman"/>
          <w:sz w:val="24"/>
        </w:rPr>
      </w:pPr>
    </w:p>
    <w:p w14:paraId="54469944" w14:textId="3F2FEC42" w:rsidR="002D2523" w:rsidRPr="002D2523" w:rsidRDefault="002D2523" w:rsidP="002D2523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2D2523">
        <w:rPr>
          <w:rFonts w:ascii="Times New Roman" w:hAnsi="Times New Roman" w:cs="Times New Roman"/>
          <w:b/>
          <w:bCs/>
          <w:sz w:val="24"/>
        </w:rPr>
        <w:t>RNA pulldown assay</w:t>
      </w:r>
    </w:p>
    <w:p w14:paraId="281692D9" w14:textId="58AEFADB" w:rsidR="002D2523" w:rsidRDefault="002D2523" w:rsidP="002D2523">
      <w:pPr>
        <w:spacing w:line="480" w:lineRule="auto"/>
        <w:rPr>
          <w:rFonts w:ascii="Times New Roman" w:hAnsi="Times New Roman" w:cs="Times New Roman"/>
          <w:sz w:val="24"/>
        </w:rPr>
      </w:pPr>
      <w:r w:rsidRPr="002D2523">
        <w:rPr>
          <w:rFonts w:ascii="Times New Roman" w:hAnsi="Times New Roman" w:cs="Times New Roman"/>
          <w:sz w:val="24"/>
        </w:rPr>
        <w:t>Biotin-labeled LncRNA-PACERR and its antisense RNA were transcribed with Biotin RNA Labeling Mix (Roche Diagnostics, Indianapolis, IN, USA) and SP6/T7 RNA polymerase (Roche Diagnostics, USA). After purification, biotinylated RNAs were incubated with Panc1 cell lysates for 1 hour at 4 °C. Streptavidin–agarose beads (Invitrogen, USA) were added to each tube for 1 h at room temperature. Finally, the enriched proteins were subjected to SDS-PAGE separation for mass spectrometry or western blot analysis.</w:t>
      </w:r>
    </w:p>
    <w:p w14:paraId="4BDA7AED" w14:textId="77777777" w:rsidR="002D2523" w:rsidRPr="002D2523" w:rsidRDefault="002D2523" w:rsidP="002D2523">
      <w:pPr>
        <w:spacing w:line="480" w:lineRule="auto"/>
        <w:rPr>
          <w:rFonts w:ascii="Times New Roman" w:hAnsi="Times New Roman" w:cs="Times New Roman"/>
          <w:sz w:val="24"/>
        </w:rPr>
      </w:pPr>
    </w:p>
    <w:p w14:paraId="31E176E3" w14:textId="77777777" w:rsidR="002D2523" w:rsidRPr="002D2523" w:rsidRDefault="00931CC5" w:rsidP="002D2523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lang w:val="en-GB"/>
        </w:rPr>
      </w:pPr>
      <w:r w:rsidRPr="002D2523">
        <w:rPr>
          <w:rFonts w:ascii="Times New Roman" w:hAnsi="Times New Roman" w:cs="Times New Roman"/>
          <w:b/>
          <w:bCs/>
          <w:color w:val="000000" w:themeColor="text1"/>
          <w:sz w:val="24"/>
          <w:lang w:val="en-GB"/>
        </w:rPr>
        <w:t>Flow cytometry</w:t>
      </w:r>
    </w:p>
    <w:p w14:paraId="0F82BF7D" w14:textId="17AAA7FF" w:rsidR="00931CC5" w:rsidRDefault="00931CC5" w:rsidP="002D2523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lang w:val="en-GB"/>
        </w:rPr>
      </w:pP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Cells were resuspended in 50 </w:t>
      </w:r>
      <w:proofErr w:type="spellStart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μL</w:t>
      </w:r>
      <w:proofErr w:type="spellEnd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of staining buffer (PBS: FBS=1000:1). Then, 1.5 </w:t>
      </w:r>
      <w:proofErr w:type="spellStart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μL</w:t>
      </w:r>
      <w:proofErr w:type="spellEnd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of anti-CD163-PE or 1.5 </w:t>
      </w:r>
      <w:proofErr w:type="spellStart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μL</w:t>
      </w:r>
      <w:proofErr w:type="spellEnd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of anti-CD206-PE were added to the reaction for 30 minutes at 4 °C. After thirty minutes, THP-1 were washed twice with staining buffer, and 1% formaldehyde was used for fixation at 4 °C. The data were detected by an FCM (Beckman Coulter)</w:t>
      </w:r>
    </w:p>
    <w:p w14:paraId="08FBA992" w14:textId="77777777" w:rsidR="002D2523" w:rsidRPr="002D2523" w:rsidRDefault="002D2523" w:rsidP="002D2523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lang w:val="en-GB"/>
        </w:rPr>
      </w:pPr>
    </w:p>
    <w:p w14:paraId="0B93A76D" w14:textId="77777777" w:rsidR="00931CC5" w:rsidRPr="002D2523" w:rsidRDefault="00931CC5" w:rsidP="002D2523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lang w:val="en-GB"/>
        </w:rPr>
      </w:pPr>
      <w:r w:rsidRPr="002D2523">
        <w:rPr>
          <w:rFonts w:ascii="Times New Roman" w:hAnsi="Times New Roman" w:cs="Times New Roman"/>
          <w:b/>
          <w:bCs/>
          <w:color w:val="000000" w:themeColor="text1"/>
          <w:sz w:val="24"/>
          <w:lang w:val="en-GB"/>
        </w:rPr>
        <w:t>Co-IP</w:t>
      </w:r>
    </w:p>
    <w:p w14:paraId="3A8AB905" w14:textId="39A507E7" w:rsidR="00931CC5" w:rsidRDefault="00931CC5" w:rsidP="002D2523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lang w:val="en-GB"/>
        </w:rPr>
      </w:pP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500 </w:t>
      </w:r>
      <w:proofErr w:type="spellStart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μL</w:t>
      </w:r>
      <w:proofErr w:type="spellEnd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of IP lysis buffer (</w:t>
      </w:r>
      <w:proofErr w:type="spellStart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Beyotime</w:t>
      </w:r>
      <w:proofErr w:type="spellEnd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) with Proteinase Inhibitor (NCM Biotech) was used to lyse 1× 10</w:t>
      </w:r>
      <w:r w:rsidRPr="002D2523">
        <w:rPr>
          <w:rFonts w:ascii="Times New Roman" w:hAnsi="Times New Roman" w:cs="Times New Roman"/>
          <w:color w:val="000000" w:themeColor="text1"/>
          <w:sz w:val="24"/>
          <w:vertAlign w:val="superscript"/>
          <w:lang w:val="en-GB"/>
        </w:rPr>
        <w:t xml:space="preserve">7 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cells for 10 minutes on ice. Nuclear extracts were centrifuged at 14000 rpm for 20 minutes at 4 °C. After 15 min, 1 </w:t>
      </w:r>
      <w:proofErr w:type="spellStart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μg</w:t>
      </w:r>
      <w:proofErr w:type="spellEnd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of anti-KLF12/anti-EP300 suspended in 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lastRenderedPageBreak/>
        <w:t xml:space="preserve">lysis buffer was added to the supernatant, which was collected in an EP tube. Then, this EP tube was incubated on a sky wheel for 1 hour. After 1 hour, the reaction mixtures were incubated with 25 </w:t>
      </w:r>
      <w:proofErr w:type="spellStart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μL</w:t>
      </w:r>
      <w:proofErr w:type="spellEnd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of protein A </w:t>
      </w:r>
      <w:proofErr w:type="spellStart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Dynabeads</w:t>
      </w:r>
      <w:proofErr w:type="spellEnd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(Invitrogen) at 4 °C overnight. The products of immunoprecipitation were washed six times with IP lysis buffer. The product</w:t>
      </w:r>
      <w:r w:rsidRPr="002D2523">
        <w:rPr>
          <w:rFonts w:ascii="Times New Roman" w:hAnsi="Times New Roman" w:cs="Times New Roman" w:hint="eastAsia"/>
          <w:color w:val="000000" w:themeColor="text1"/>
          <w:sz w:val="24"/>
          <w:lang w:val="en-GB"/>
        </w:rPr>
        <w:t>s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</w:t>
      </w:r>
      <w:r w:rsidRPr="002D2523">
        <w:rPr>
          <w:rFonts w:ascii="Times New Roman" w:hAnsi="Times New Roman" w:cs="Times New Roman"/>
          <w:color w:val="000000" w:themeColor="text1"/>
          <w:sz w:val="24"/>
        </w:rPr>
        <w:t>were</w:t>
      </w:r>
      <w:r w:rsidRPr="002D2523">
        <w:rPr>
          <w:rFonts w:ascii="Times New Roman" w:hAnsi="Times New Roman" w:cs="Times New Roman" w:hint="eastAsia"/>
          <w:color w:val="000000" w:themeColor="text1"/>
          <w:sz w:val="24"/>
          <w:lang w:val="en-GB"/>
        </w:rPr>
        <w:t xml:space="preserve"> 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added in loading buffer and put in </w:t>
      </w:r>
      <w:r w:rsidRPr="002D2523">
        <w:rPr>
          <w:rFonts w:ascii="Times New Roman" w:hAnsi="Times New Roman" w:cs="Times New Roman" w:hint="eastAsia"/>
          <w:color w:val="000000" w:themeColor="text1"/>
          <w:sz w:val="24"/>
          <w:lang w:val="en-GB"/>
        </w:rPr>
        <w:t>metal</w:t>
      </w:r>
      <w:r w:rsidRPr="002D2523">
        <w:rPr>
          <w:rFonts w:ascii="Times New Roman" w:hAnsi="Times New Roman" w:cs="Times New Roman"/>
          <w:color w:val="000000" w:themeColor="text1"/>
          <w:sz w:val="24"/>
        </w:rPr>
        <w:t xml:space="preserve"> bath 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at 100 °C for 15 minutes. Then, the beads were washed and recovered using magnets. </w:t>
      </w:r>
    </w:p>
    <w:p w14:paraId="0B2CF5CC" w14:textId="77777777" w:rsidR="002D2523" w:rsidRPr="002D2523" w:rsidRDefault="002D2523" w:rsidP="002D2523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lang w:val="en-GB"/>
        </w:rPr>
      </w:pPr>
    </w:p>
    <w:p w14:paraId="07B5DA63" w14:textId="61E3699F" w:rsidR="00931CC5" w:rsidRPr="002D2523" w:rsidRDefault="00931CC5" w:rsidP="002D2523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lang w:val="en-GB"/>
        </w:rPr>
      </w:pPr>
      <w:r w:rsidRPr="002D2523">
        <w:rPr>
          <w:rFonts w:ascii="Times New Roman" w:hAnsi="Times New Roman" w:cs="Times New Roman"/>
          <w:b/>
          <w:bCs/>
          <w:color w:val="000000" w:themeColor="text1"/>
          <w:sz w:val="24"/>
          <w:lang w:val="en-GB"/>
        </w:rPr>
        <w:t>RNA-FISH for LncRNA-PACERR</w:t>
      </w:r>
    </w:p>
    <w:p w14:paraId="6687C674" w14:textId="77777777" w:rsidR="00931CC5" w:rsidRPr="002D2523" w:rsidRDefault="00931CC5" w:rsidP="002D2523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</w:rPr>
      </w:pP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It was as previously described </w:t>
      </w:r>
      <w:r w:rsidRPr="002D2523">
        <w:rPr>
          <w:rFonts w:ascii="Times New Roman" w:hAnsi="Times New Roman" w:cs="Times New Roman" w:hint="eastAsia"/>
          <w:color w:val="000000" w:themeColor="text1"/>
          <w:sz w:val="24"/>
          <w:lang w:val="en-GB"/>
        </w:rPr>
        <w:t>for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</w:t>
      </w:r>
      <w:r w:rsidRPr="002D2523">
        <w:rPr>
          <w:rFonts w:ascii="Times New Roman" w:hAnsi="Times New Roman" w:cs="Times New Roman" w:hint="eastAsia"/>
          <w:color w:val="000000" w:themeColor="text1"/>
          <w:sz w:val="24"/>
          <w:lang w:val="en-GB"/>
        </w:rPr>
        <w:t>RNA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-</w:t>
      </w:r>
      <w:r w:rsidRPr="002D2523">
        <w:rPr>
          <w:rFonts w:ascii="Times New Roman" w:hAnsi="Times New Roman" w:cs="Times New Roman" w:hint="eastAsia"/>
          <w:color w:val="000000" w:themeColor="text1"/>
          <w:sz w:val="24"/>
          <w:lang w:val="en-GB"/>
        </w:rPr>
        <w:t>FISH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(23)</w:t>
      </w:r>
      <w:r w:rsidRPr="002D2523">
        <w:rPr>
          <w:rFonts w:ascii="Times New Roman" w:hAnsi="Times New Roman" w:cs="Times New Roman"/>
          <w:color w:val="000000" w:themeColor="text1"/>
          <w:sz w:val="24"/>
        </w:rPr>
        <w:t xml:space="preserve">. Diethyl </w:t>
      </w:r>
      <w:proofErr w:type="spellStart"/>
      <w:r w:rsidRPr="002D2523">
        <w:rPr>
          <w:rFonts w:ascii="Times New Roman" w:hAnsi="Times New Roman" w:cs="Times New Roman"/>
          <w:color w:val="000000" w:themeColor="text1"/>
          <w:sz w:val="24"/>
        </w:rPr>
        <w:t>pyrocarbonate</w:t>
      </w:r>
      <w:proofErr w:type="spellEnd"/>
      <w:r w:rsidRPr="002D2523">
        <w:rPr>
          <w:rFonts w:ascii="Times New Roman" w:hAnsi="Times New Roman" w:cs="Times New Roman"/>
          <w:color w:val="000000" w:themeColor="text1"/>
          <w:sz w:val="24"/>
        </w:rPr>
        <w:t xml:space="preserve"> (DEPC) was used to fix THP-1 for more than 12 hours. Next, THP-1 were dehydrated by an alcohol gradient and embedded in paraffin. Fluorescence-labelled single-strand probes were hybridized. PACERR oligos were gotten from </w:t>
      </w:r>
      <w:proofErr w:type="spellStart"/>
      <w:r w:rsidRPr="002D2523">
        <w:rPr>
          <w:rFonts w:ascii="Times New Roman" w:hAnsi="Times New Roman" w:cs="Times New Roman"/>
          <w:color w:val="000000" w:themeColor="text1"/>
          <w:sz w:val="24"/>
        </w:rPr>
        <w:t>Servicebio</w:t>
      </w:r>
      <w:proofErr w:type="spellEnd"/>
      <w:r w:rsidRPr="002D2523">
        <w:rPr>
          <w:rFonts w:ascii="Times New Roman" w:hAnsi="Times New Roman" w:cs="Times New Roman"/>
          <w:color w:val="000000" w:themeColor="text1"/>
          <w:sz w:val="24"/>
        </w:rPr>
        <w:t xml:space="preserve"> Technology. After labelling, images were taken with a fluorescence microscope (Zeiss). </w:t>
      </w:r>
    </w:p>
    <w:p w14:paraId="41A9B34B" w14:textId="46EBEC93" w:rsidR="00931CC5" w:rsidRDefault="00931CC5" w:rsidP="002D2523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</w:rPr>
      </w:pPr>
      <w:r w:rsidRPr="002D2523">
        <w:rPr>
          <w:rFonts w:ascii="Times New Roman" w:hAnsi="Times New Roman" w:cs="Times New Roman"/>
          <w:color w:val="000000" w:themeColor="text1"/>
          <w:sz w:val="24"/>
        </w:rPr>
        <w:t>The probe sequence of</w:t>
      </w:r>
      <w:r w:rsidR="00CD2F39">
        <w:rPr>
          <w:rFonts w:ascii="Times New Roman" w:hAnsi="Times New Roman" w:cs="Times New Roman"/>
          <w:color w:val="000000" w:themeColor="text1"/>
          <w:sz w:val="24"/>
        </w:rPr>
        <w:t xml:space="preserve"> LncRNA-</w:t>
      </w:r>
      <w:r w:rsidRPr="002D2523">
        <w:rPr>
          <w:rFonts w:ascii="Times New Roman" w:hAnsi="Times New Roman" w:cs="Times New Roman"/>
          <w:color w:val="000000" w:themeColor="text1"/>
          <w:sz w:val="24"/>
        </w:rPr>
        <w:t>PACERR is TCTTCTGTCCCGACGTGACTTCCTCGACCCTCTA.</w:t>
      </w:r>
    </w:p>
    <w:p w14:paraId="63DF9346" w14:textId="2AA25BBC" w:rsidR="00DA6F72" w:rsidRDefault="00DA6F72" w:rsidP="002D2523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</w:rPr>
      </w:pPr>
      <w:r w:rsidRPr="002D2523">
        <w:rPr>
          <w:rFonts w:ascii="Times New Roman" w:hAnsi="Times New Roman" w:cs="Times New Roman"/>
          <w:color w:val="000000" w:themeColor="text1"/>
          <w:sz w:val="24"/>
        </w:rPr>
        <w:t>The probe sequence of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18</w:t>
      </w:r>
      <w:r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RNA</w:t>
      </w:r>
      <w:r w:rsidRPr="002D2523">
        <w:rPr>
          <w:rFonts w:ascii="Times New Roman" w:hAnsi="Times New Roman" w:cs="Times New Roman"/>
          <w:color w:val="000000" w:themeColor="text1"/>
          <w:sz w:val="24"/>
        </w:rPr>
        <w:t xml:space="preserve"> is</w:t>
      </w:r>
      <w:r w:rsidR="0021058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1058E" w:rsidRPr="0021058E">
        <w:rPr>
          <w:rFonts w:ascii="Times New Roman" w:hAnsi="Times New Roman" w:cs="Times New Roman"/>
          <w:color w:val="000000" w:themeColor="text1"/>
          <w:sz w:val="24"/>
        </w:rPr>
        <w:t>ATGCTTTCGCTCTGGTCCGTCTTGC</w:t>
      </w:r>
      <w:r w:rsidR="0021058E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2A8CF2D5" w14:textId="1FB2D501" w:rsidR="00DA6F72" w:rsidRPr="00DA6F72" w:rsidRDefault="00DA6F72" w:rsidP="002D2523">
      <w:pPr>
        <w:spacing w:line="480" w:lineRule="auto"/>
        <w:contextualSpacing/>
        <w:rPr>
          <w:rFonts w:ascii="Times New Roman" w:hAnsi="Times New Roman" w:cs="Times New Roman" w:hint="eastAsia"/>
          <w:color w:val="000000" w:themeColor="text1"/>
          <w:sz w:val="24"/>
        </w:rPr>
      </w:pPr>
      <w:r w:rsidRPr="002D2523">
        <w:rPr>
          <w:rFonts w:ascii="Times New Roman" w:hAnsi="Times New Roman" w:cs="Times New Roman"/>
          <w:color w:val="000000" w:themeColor="text1"/>
          <w:sz w:val="24"/>
        </w:rPr>
        <w:t>The probe sequence of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U</w:t>
      </w:r>
      <w:r>
        <w:rPr>
          <w:rFonts w:ascii="Times New Roman" w:hAnsi="Times New Roman" w:cs="Times New Roman"/>
          <w:color w:val="000000" w:themeColor="text1"/>
          <w:sz w:val="24"/>
        </w:rPr>
        <w:t>6</w:t>
      </w:r>
      <w:r w:rsidRPr="002D2523">
        <w:rPr>
          <w:rFonts w:ascii="Times New Roman" w:hAnsi="Times New Roman" w:cs="Times New Roman"/>
          <w:color w:val="000000" w:themeColor="text1"/>
          <w:sz w:val="24"/>
        </w:rPr>
        <w:t xml:space="preserve"> is</w:t>
      </w:r>
      <w:r w:rsidR="0021058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1058E" w:rsidRPr="0021058E">
        <w:rPr>
          <w:rFonts w:ascii="Times New Roman" w:hAnsi="Times New Roman" w:cs="Times New Roman"/>
          <w:color w:val="000000" w:themeColor="text1"/>
          <w:sz w:val="24"/>
        </w:rPr>
        <w:t>CACGAATTTGCGTGTCATCCTT</w:t>
      </w:r>
      <w:r w:rsidR="0021058E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2A5D621C" w14:textId="77777777" w:rsidR="002D2523" w:rsidRPr="002D2523" w:rsidRDefault="002D2523" w:rsidP="002D2523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</w:rPr>
      </w:pPr>
    </w:p>
    <w:p w14:paraId="338857EB" w14:textId="77777777" w:rsidR="00931CC5" w:rsidRPr="002D2523" w:rsidRDefault="00931CC5" w:rsidP="002D2523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lang w:val="en-GB"/>
        </w:rPr>
      </w:pPr>
      <w:r w:rsidRPr="002D2523">
        <w:rPr>
          <w:rFonts w:ascii="Times New Roman" w:hAnsi="Times New Roman" w:cs="Times New Roman"/>
          <w:b/>
          <w:bCs/>
          <w:color w:val="000000" w:themeColor="text1"/>
          <w:sz w:val="24"/>
          <w:lang w:val="en-GB"/>
        </w:rPr>
        <w:t>Immunofluorescence (IF)</w:t>
      </w:r>
    </w:p>
    <w:p w14:paraId="10A19729" w14:textId="77777777" w:rsidR="00931CC5" w:rsidRPr="002D2523" w:rsidRDefault="00931CC5" w:rsidP="002D2523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lang w:val="en-GB"/>
        </w:rPr>
      </w:pP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PDAC tissues were fixed with 4% </w:t>
      </w:r>
      <w:r w:rsidRPr="002D2523">
        <w:rPr>
          <w:rFonts w:ascii="Times New Roman" w:hAnsi="Times New Roman" w:cs="Times New Roman" w:hint="eastAsia"/>
          <w:color w:val="000000" w:themeColor="text1"/>
          <w:sz w:val="24"/>
          <w:lang w:val="en-GB"/>
        </w:rPr>
        <w:t>p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araformaldehyde </w:t>
      </w:r>
      <w:r w:rsidRPr="002D2523">
        <w:rPr>
          <w:rFonts w:ascii="Times New Roman" w:hAnsi="Times New Roman" w:cs="Times New Roman"/>
          <w:color w:val="000000" w:themeColor="text1"/>
          <w:sz w:val="24"/>
        </w:rPr>
        <w:t>(PFA)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for 30 minutes and embedded in OCT. The appropriate primary and secondary antibodies were used to perform immunostaining. Nuclei was counterstained with DAPI respectively. Images 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lastRenderedPageBreak/>
        <w:t>were taken with a SP-8 con-focal Microscope.</w:t>
      </w:r>
    </w:p>
    <w:p w14:paraId="2230A9A2" w14:textId="77777777" w:rsidR="00931CC5" w:rsidRPr="002D2523" w:rsidRDefault="00931CC5" w:rsidP="002D2523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lang w:val="en-GB"/>
        </w:rPr>
      </w:pPr>
    </w:p>
    <w:p w14:paraId="3FE865FF" w14:textId="77777777" w:rsidR="00931CC5" w:rsidRPr="002D2523" w:rsidRDefault="00931CC5" w:rsidP="002D2523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lang w:val="en-GB"/>
        </w:rPr>
      </w:pPr>
      <w:r w:rsidRPr="002D2523">
        <w:rPr>
          <w:rFonts w:ascii="Times New Roman" w:hAnsi="Times New Roman" w:cs="Times New Roman"/>
          <w:b/>
          <w:bCs/>
          <w:color w:val="000000" w:themeColor="text1"/>
          <w:sz w:val="24"/>
          <w:lang w:val="en-GB"/>
        </w:rPr>
        <w:t>Immunohistochemistry staining on PDAC tissue microarrays</w:t>
      </w:r>
    </w:p>
    <w:p w14:paraId="519DBFAD" w14:textId="3A9D4B5C" w:rsidR="00931CC5" w:rsidRPr="002D2523" w:rsidRDefault="00931CC5" w:rsidP="002D2523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lang w:val="en-GB"/>
        </w:rPr>
      </w:pP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Tissue microarrays (TMAs) containing paraffin sections from 110 PDAC patients (2016 year to 2017 year) from </w:t>
      </w:r>
      <w:proofErr w:type="spellStart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Ruijin</w:t>
      </w:r>
      <w:proofErr w:type="spellEnd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Hospital were </w:t>
      </w:r>
      <w:proofErr w:type="spellStart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immunostained</w:t>
      </w:r>
      <w:proofErr w:type="spellEnd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for CD163, CD206, CD80</w:t>
      </w:r>
      <w:r w:rsidR="00DA6F72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KLF12</w:t>
      </w:r>
      <w:r w:rsidR="00DA6F72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and Ki-67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proteins. TMAs were fixed in 40% paraformaldehyde overnight at 4°C and dehydrated by an alcohol gradient. Anti-CD163, anti-CD206, anti-80 and anti-KLF12 were </w:t>
      </w:r>
      <w:r w:rsidRPr="002D2523">
        <w:rPr>
          <w:rFonts w:ascii="Times New Roman" w:hAnsi="Times New Roman" w:cs="Times New Roman" w:hint="eastAsia"/>
          <w:color w:val="000000" w:themeColor="text1"/>
          <w:sz w:val="24"/>
          <w:lang w:val="en-GB"/>
        </w:rPr>
        <w:t>used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as primary antibodies.</w:t>
      </w:r>
    </w:p>
    <w:p w14:paraId="7C558C8B" w14:textId="6D8EBD15" w:rsidR="002D2523" w:rsidRPr="002D2523" w:rsidRDefault="002D2523" w:rsidP="002D2523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lang w:val="en-GB"/>
        </w:rPr>
      </w:pPr>
    </w:p>
    <w:p w14:paraId="173542AE" w14:textId="319AA4A1" w:rsidR="002D2523" w:rsidRPr="002D2523" w:rsidRDefault="002D2523" w:rsidP="002D2523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lang w:val="en-GB"/>
        </w:rPr>
      </w:pPr>
      <w:r w:rsidRPr="002D2523">
        <w:rPr>
          <w:rFonts w:ascii="Times New Roman" w:hAnsi="Times New Roman" w:cs="Times New Roman"/>
          <w:b/>
          <w:bCs/>
          <w:color w:val="000000" w:themeColor="text1"/>
          <w:sz w:val="24"/>
          <w:lang w:val="en-GB"/>
        </w:rPr>
        <w:t>Cell proliferation assay</w:t>
      </w:r>
    </w:p>
    <w:p w14:paraId="17F8C05F" w14:textId="7DDC1B56" w:rsidR="002D2523" w:rsidRPr="002D2523" w:rsidRDefault="002D2523" w:rsidP="002D2523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lang w:val="en-GB"/>
        </w:rPr>
      </w:pP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The CCK-8 (Cell count kit-8) assay (</w:t>
      </w:r>
      <w:proofErr w:type="spellStart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Meilunbio</w:t>
      </w:r>
      <w:proofErr w:type="spellEnd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, Dalian, China) was used to determine cell proliferation. Transfected </w:t>
      </w:r>
      <w:proofErr w:type="spellStart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P</w:t>
      </w:r>
      <w:r w:rsidRPr="002D2523">
        <w:rPr>
          <w:rFonts w:ascii="Times New Roman" w:hAnsi="Times New Roman" w:cs="Times New Roman" w:hint="eastAsia"/>
          <w:color w:val="000000" w:themeColor="text1"/>
          <w:sz w:val="24"/>
          <w:lang w:val="en-GB"/>
        </w:rPr>
        <w:t>anc</w:t>
      </w:r>
      <w:r w:rsidRPr="002D2523">
        <w:rPr>
          <w:rFonts w:ascii="Times New Roman" w:hAnsi="Times New Roman" w:cs="Times New Roman"/>
          <w:color w:val="000000" w:themeColor="text1"/>
          <w:sz w:val="24"/>
        </w:rPr>
        <w:t>reatic</w:t>
      </w:r>
      <w:proofErr w:type="spellEnd"/>
      <w:r w:rsidRPr="002D2523">
        <w:rPr>
          <w:rFonts w:ascii="Times New Roman" w:hAnsi="Times New Roman" w:cs="Times New Roman"/>
          <w:color w:val="000000" w:themeColor="text1"/>
          <w:sz w:val="24"/>
        </w:rPr>
        <w:t xml:space="preserve"> cancer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cells (2 × 10</w:t>
      </w:r>
      <w:r w:rsidRPr="00DA6F72">
        <w:rPr>
          <w:rFonts w:ascii="Times New Roman" w:hAnsi="Times New Roman" w:cs="Times New Roman"/>
          <w:color w:val="000000" w:themeColor="text1"/>
          <w:sz w:val="24"/>
          <w:vertAlign w:val="superscript"/>
          <w:lang w:val="en-GB"/>
        </w:rPr>
        <w:t>3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) were collected at 48 h post-transfection and plated in a 96-well plate and </w:t>
      </w:r>
      <w:proofErr w:type="spellStart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sup</w:t>
      </w:r>
      <w:r w:rsidRPr="002D2523">
        <w:rPr>
          <w:rFonts w:ascii="Times New Roman" w:hAnsi="Times New Roman" w:cs="Times New Roman" w:hint="eastAsia"/>
          <w:color w:val="000000" w:themeColor="text1"/>
          <w:sz w:val="24"/>
          <w:lang w:val="en-GB"/>
        </w:rPr>
        <w:t>erna</w:t>
      </w:r>
      <w:proofErr w:type="spellEnd"/>
      <w:r w:rsidRPr="002D2523">
        <w:rPr>
          <w:rFonts w:ascii="Times New Roman" w:hAnsi="Times New Roman" w:cs="Times New Roman"/>
          <w:color w:val="000000" w:themeColor="text1"/>
          <w:sz w:val="24"/>
        </w:rPr>
        <w:t>tant from THP-1 was used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to incubate for another 5 days. Then, 10 µL of CCK-8 assay reagent was added at specific times and incubated for another 2 h, followed by measuring the absorbance at 450 nm. For the colony formation assay, 2 × 10</w:t>
      </w:r>
      <w:r w:rsidRPr="00DA6F72">
        <w:rPr>
          <w:rFonts w:ascii="Times New Roman" w:hAnsi="Times New Roman" w:cs="Times New Roman"/>
          <w:color w:val="000000" w:themeColor="text1"/>
          <w:sz w:val="24"/>
          <w:vertAlign w:val="superscript"/>
          <w:lang w:val="en-GB"/>
        </w:rPr>
        <w:t>3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cells/well were plated in 6-well plates and co-cultured with THP-1 cells and used to assess the proliferative ability of </w:t>
      </w:r>
      <w:r w:rsidR="00DA6F72">
        <w:rPr>
          <w:rFonts w:ascii="Times New Roman" w:hAnsi="Times New Roman" w:cs="Times New Roman"/>
          <w:color w:val="000000" w:themeColor="text1"/>
          <w:sz w:val="24"/>
          <w:lang w:val="en-GB"/>
        </w:rPr>
        <w:t>p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ancreatic cancer cells. After 2 weeks, the cells were fixed using 1 % crystal violet stain solution for 20 min at room temperature, and the number of colonies was counted manually. </w:t>
      </w:r>
    </w:p>
    <w:p w14:paraId="430263B3" w14:textId="4DB794E1" w:rsidR="002D2523" w:rsidRPr="002D2523" w:rsidRDefault="002D2523" w:rsidP="002D2523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lang w:val="en-GB"/>
        </w:rPr>
      </w:pPr>
    </w:p>
    <w:p w14:paraId="17B77BD8" w14:textId="77777777" w:rsidR="002D2523" w:rsidRPr="002D2523" w:rsidRDefault="002D2523" w:rsidP="002D2523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2D2523">
        <w:rPr>
          <w:rFonts w:ascii="Times New Roman" w:hAnsi="Times New Roman" w:cs="Times New Roman"/>
          <w:b/>
          <w:bCs/>
          <w:color w:val="000000" w:themeColor="text1"/>
          <w:sz w:val="24"/>
        </w:rPr>
        <w:t>Transwell</w:t>
      </w:r>
      <w:proofErr w:type="spellEnd"/>
      <w:r w:rsidRPr="002D2523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invasion and migration assay</w:t>
      </w:r>
    </w:p>
    <w:p w14:paraId="7516DEB1" w14:textId="0C044F94" w:rsidR="002D2523" w:rsidRPr="002D2523" w:rsidRDefault="002D2523" w:rsidP="002D2523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lang w:val="en-GB"/>
        </w:rPr>
      </w:pP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5 × 10</w:t>
      </w:r>
      <w:r w:rsidR="00DA6F72">
        <w:rPr>
          <w:rFonts w:ascii="Times New Roman" w:hAnsi="Times New Roman" w:cs="Times New Roman"/>
          <w:color w:val="000000" w:themeColor="text1"/>
          <w:sz w:val="24"/>
          <w:vertAlign w:val="superscript"/>
          <w:lang w:val="en-GB"/>
        </w:rPr>
        <w:t>4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 PANC-1/PATU-8988 WT cells were seeded to the upper chamber in 200 </w:t>
      </w:r>
      <w:proofErr w:type="spellStart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μL</w:t>
      </w:r>
      <w:proofErr w:type="spellEnd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lastRenderedPageBreak/>
        <w:t>DMEM without serum, 3× 10</w:t>
      </w:r>
      <w:r w:rsidR="00DA6F72">
        <w:rPr>
          <w:rFonts w:ascii="Times New Roman" w:hAnsi="Times New Roman" w:cs="Times New Roman"/>
          <w:color w:val="000000" w:themeColor="text1"/>
          <w:sz w:val="24"/>
          <w:vertAlign w:val="superscript"/>
          <w:lang w:val="en-GB"/>
        </w:rPr>
        <w:t>4</w:t>
      </w:r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THP-1 cells were seeded to the lower chamber (Corning Life Sciences, Corning, NY, USA) in 400 </w:t>
      </w:r>
      <w:proofErr w:type="spellStart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μL</w:t>
      </w:r>
      <w:proofErr w:type="spellEnd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RPMI-1640 with 20% FBS, and the chambers were put into 37 °C constant temperature incubators for one day for migration assay. For the </w:t>
      </w:r>
      <w:proofErr w:type="spellStart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>transwell</w:t>
      </w:r>
      <w:proofErr w:type="spellEnd"/>
      <w:r w:rsidRPr="002D2523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invasion assay, the upper chamber was coated with 1.25 mg/ml of Matrigel (50μL/well) (BD, USA) and cultured for 2 days. Afterwards, the migrated or invaded cells were stained with crystal violet and counted in 3 random fields.</w:t>
      </w:r>
    </w:p>
    <w:p w14:paraId="16D76730" w14:textId="77777777" w:rsidR="002D2523" w:rsidRPr="002D2523" w:rsidRDefault="002D2523" w:rsidP="002D2523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lang w:val="en-GB"/>
        </w:rPr>
      </w:pPr>
    </w:p>
    <w:p w14:paraId="356D0C94" w14:textId="77777777" w:rsidR="00931CC5" w:rsidRPr="002D2523" w:rsidRDefault="00931CC5" w:rsidP="002D2523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  <w:lang w:val="en-GB"/>
        </w:rPr>
      </w:pPr>
    </w:p>
    <w:p w14:paraId="19B9D66A" w14:textId="77777777" w:rsidR="00931CC5" w:rsidRPr="002D2523" w:rsidRDefault="00931CC5" w:rsidP="002D2523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4"/>
        </w:rPr>
      </w:pPr>
    </w:p>
    <w:p w14:paraId="000A4BE5" w14:textId="238E8C48" w:rsidR="00931CC5" w:rsidRPr="002D2523" w:rsidRDefault="00931CC5" w:rsidP="002D252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</w:p>
    <w:p w14:paraId="7196ADDF" w14:textId="77777777" w:rsidR="00931CC5" w:rsidRPr="002D2523" w:rsidRDefault="00931CC5" w:rsidP="002D2523">
      <w:pPr>
        <w:spacing w:line="480" w:lineRule="auto"/>
        <w:rPr>
          <w:rFonts w:ascii="Times New Roman" w:hAnsi="Times New Roman" w:cs="Times New Roman"/>
          <w:sz w:val="24"/>
        </w:rPr>
      </w:pPr>
    </w:p>
    <w:sectPr w:rsidR="00931CC5" w:rsidRPr="002D2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CC5"/>
    <w:rsid w:val="0021058E"/>
    <w:rsid w:val="002D2523"/>
    <w:rsid w:val="00463409"/>
    <w:rsid w:val="0087208B"/>
    <w:rsid w:val="00931CC5"/>
    <w:rsid w:val="00CD2F39"/>
    <w:rsid w:val="00DA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FC0DEB"/>
  <w15:chartTrackingRefBased/>
  <w15:docId w15:val="{3F27618C-822F-E142-BB99-5503F035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5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658</Words>
  <Characters>3755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Liwen Wang</dc:creator>
  <cp:keywords/>
  <dc:description/>
  <cp:lastModifiedBy>Liwen Wang</cp:lastModifiedBy>
  <cp:revision>3</cp:revision>
  <dcterms:created xsi:type="dcterms:W3CDTF">2022-03-20T08:08:00Z</dcterms:created>
  <dcterms:modified xsi:type="dcterms:W3CDTF">2022-03-23T10:27:00Z</dcterms:modified>
</cp:coreProperties>
</file>