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784E" w14:textId="77777777" w:rsidR="00B84AAD" w:rsidRPr="00CA524F" w:rsidRDefault="00B84AAD" w:rsidP="00B84AAD">
      <w:pPr>
        <w:spacing w:line="480" w:lineRule="auto"/>
        <w:rPr>
          <w:rFonts w:ascii="Times New Roman" w:eastAsia="宋体" w:hAnsi="Times New Roman" w:cs="Times New Roman"/>
          <w:b/>
          <w:szCs w:val="24"/>
        </w:rPr>
      </w:pPr>
      <w:r w:rsidRPr="00CA524F">
        <w:rPr>
          <w:rFonts w:ascii="Times New Roman" w:eastAsia="宋体" w:hAnsi="Times New Roman" w:cs="Times New Roman"/>
          <w:b/>
          <w:szCs w:val="24"/>
        </w:rPr>
        <w:t>Supplementary Results</w:t>
      </w:r>
    </w:p>
    <w:p w14:paraId="3704FB70" w14:textId="77777777" w:rsidR="00B84AAD" w:rsidRPr="00CA524F" w:rsidRDefault="00B84AAD" w:rsidP="00B84AAD">
      <w:pPr>
        <w:spacing w:line="480" w:lineRule="auto"/>
        <w:rPr>
          <w:rFonts w:ascii="Times New Roman" w:hAnsi="Times New Roman" w:cs="Times New Roman"/>
          <w:b/>
          <w:szCs w:val="21"/>
        </w:rPr>
      </w:pPr>
      <w:r w:rsidRPr="00CA524F">
        <w:rPr>
          <w:rFonts w:ascii="Times New Roman" w:eastAsia="宋体" w:hAnsi="Times New Roman" w:cs="Times New Roman"/>
          <w:b/>
          <w:szCs w:val="24"/>
        </w:rPr>
        <w:t xml:space="preserve">Result S1: </w:t>
      </w:r>
      <w:r w:rsidRPr="00CA524F">
        <w:rPr>
          <w:rFonts w:ascii="Times New Roman" w:hAnsi="Times New Roman" w:cs="Times New Roman"/>
          <w:b/>
          <w:szCs w:val="21"/>
        </w:rPr>
        <w:t>Minor difference was observed in clinicopathological characteristics between patients with distinct response to therapy</w:t>
      </w:r>
    </w:p>
    <w:p w14:paraId="552ECCE1" w14:textId="08358740" w:rsidR="00DF0CB6" w:rsidRPr="00CA524F" w:rsidRDefault="00B84AAD" w:rsidP="00DF0CB6">
      <w:pPr>
        <w:spacing w:line="480" w:lineRule="auto"/>
        <w:ind w:firstLine="420"/>
        <w:rPr>
          <w:rFonts w:ascii="Times New Roman" w:hAnsi="Times New Roman" w:cs="Times New Roman"/>
          <w:szCs w:val="21"/>
        </w:rPr>
      </w:pPr>
      <w:r w:rsidRPr="009F38FB">
        <w:rPr>
          <w:rFonts w:ascii="Times New Roman" w:hAnsi="Times New Roman" w:cs="Times New Roman"/>
          <w:szCs w:val="21"/>
        </w:rPr>
        <w:t>Patients enrolled were categorized as MPR</w:t>
      </w:r>
      <w:r w:rsidR="00DF0CB6" w:rsidRPr="009F38FB">
        <w:rPr>
          <w:rFonts w:ascii="Times New Roman" w:hAnsi="Times New Roman" w:cs="Times New Roman"/>
          <w:szCs w:val="21"/>
        </w:rPr>
        <w:t xml:space="preserve"> </w:t>
      </w:r>
      <w:r w:rsidR="00AE27D7" w:rsidRPr="009F38FB">
        <w:rPr>
          <w:rFonts w:ascii="Times New Roman" w:hAnsi="Times New Roman" w:cs="Times New Roman"/>
          <w:szCs w:val="21"/>
        </w:rPr>
        <w:t>using definition described in Supplementary Materials and methods</w:t>
      </w:r>
      <w:r w:rsidRPr="009F38FB">
        <w:rPr>
          <w:rFonts w:ascii="Times New Roman" w:hAnsi="Times New Roman" w:cs="Times New Roman"/>
          <w:szCs w:val="21"/>
        </w:rPr>
        <w:t>.</w:t>
      </w:r>
      <w:r w:rsidR="00DF0CB6" w:rsidRPr="009F38FB">
        <w:rPr>
          <w:rFonts w:ascii="Times New Roman" w:hAnsi="Times New Roman" w:cs="Times New Roman"/>
          <w:szCs w:val="21"/>
        </w:rPr>
        <w:t xml:space="preserve"> Th</w:t>
      </w:r>
      <w:r w:rsidR="00DF0CB6" w:rsidRPr="00CA524F">
        <w:rPr>
          <w:rFonts w:ascii="Times New Roman" w:hAnsi="Times New Roman" w:cs="Times New Roman"/>
          <w:szCs w:val="21"/>
        </w:rPr>
        <w:t>e median age of MPR/</w:t>
      </w:r>
      <w:r w:rsidRPr="00CA524F">
        <w:rPr>
          <w:rFonts w:ascii="Times New Roman" w:hAnsi="Times New Roman" w:cs="Times New Roman"/>
          <w:szCs w:val="21"/>
        </w:rPr>
        <w:t>Non-MPR group was 62 (range, 55-68) and 60 (range, 44-68) accordingly with no sex differences. Most of the MPR patients were diagnosed with stage IIIA NSCLC while stage IIIA/IIIB patients were even</w:t>
      </w:r>
      <w:r w:rsidR="00DF0CB6" w:rsidRPr="00CA524F">
        <w:rPr>
          <w:rFonts w:ascii="Times New Roman" w:hAnsi="Times New Roman" w:cs="Times New Roman"/>
          <w:szCs w:val="21"/>
        </w:rPr>
        <w:t xml:space="preserve">ly distributed in Non-MPR group. The median </w:t>
      </w:r>
      <w:r w:rsidR="00BA6EC9" w:rsidRPr="00CA524F">
        <w:rPr>
          <w:rFonts w:ascii="Times New Roman" w:hAnsi="Times New Roman" w:cs="Times New Roman"/>
          <w:szCs w:val="21"/>
        </w:rPr>
        <w:t xml:space="preserve">treatment </w:t>
      </w:r>
      <w:r w:rsidR="00DF0CB6" w:rsidRPr="00CA524F">
        <w:rPr>
          <w:rFonts w:ascii="Times New Roman" w:hAnsi="Times New Roman" w:cs="Times New Roman"/>
          <w:szCs w:val="21"/>
        </w:rPr>
        <w:t>duration time was 83 (69-97) and 71 (50-92) days respectively. No correlation was observed between PD-L1 expression and percent of viable tumor cells (Suppl. Fig. 1D).</w:t>
      </w:r>
    </w:p>
    <w:p w14:paraId="7F76C1BB" w14:textId="77777777" w:rsidR="00E101AC" w:rsidRPr="00CA524F" w:rsidRDefault="00E101AC" w:rsidP="00E101AC">
      <w:pPr>
        <w:spacing w:line="480" w:lineRule="auto"/>
        <w:rPr>
          <w:rFonts w:ascii="Times New Roman" w:hAnsi="Times New Roman" w:cs="Times New Roman"/>
          <w:szCs w:val="21"/>
        </w:rPr>
      </w:pPr>
    </w:p>
    <w:p w14:paraId="09F315A7" w14:textId="59FD9F1A" w:rsidR="00E101AC" w:rsidRPr="00CA524F" w:rsidRDefault="00E101AC" w:rsidP="00E101AC">
      <w:pPr>
        <w:spacing w:line="480" w:lineRule="auto"/>
        <w:rPr>
          <w:rFonts w:ascii="Times New Roman" w:hAnsi="Times New Roman" w:cs="Times New Roman"/>
          <w:b/>
          <w:szCs w:val="21"/>
        </w:rPr>
      </w:pPr>
      <w:r w:rsidRPr="00CA524F">
        <w:rPr>
          <w:rFonts w:ascii="Times New Roman" w:hAnsi="Times New Roman" w:cs="Times New Roman"/>
          <w:b/>
          <w:szCs w:val="21"/>
        </w:rPr>
        <w:t>Result S2: Muta</w:t>
      </w:r>
      <w:r w:rsidR="00BA6EC9" w:rsidRPr="00CA524F">
        <w:rPr>
          <w:rFonts w:ascii="Times New Roman" w:hAnsi="Times New Roman" w:cs="Times New Roman"/>
          <w:b/>
          <w:szCs w:val="21"/>
        </w:rPr>
        <w:t xml:space="preserve">tional analysis </w:t>
      </w:r>
      <w:r w:rsidR="0050532B" w:rsidRPr="00CA524F">
        <w:rPr>
          <w:rFonts w:ascii="Times New Roman" w:hAnsi="Times New Roman" w:cs="Times New Roman"/>
          <w:b/>
          <w:szCs w:val="21"/>
        </w:rPr>
        <w:t>identified</w:t>
      </w:r>
      <w:r w:rsidR="00BA6EC9" w:rsidRPr="00CA524F">
        <w:rPr>
          <w:rFonts w:ascii="Times New Roman" w:hAnsi="Times New Roman" w:cs="Times New Roman"/>
          <w:b/>
          <w:szCs w:val="21"/>
        </w:rPr>
        <w:t xml:space="preserve"> the preponderance of</w:t>
      </w:r>
      <w:r w:rsidRPr="00CA524F">
        <w:rPr>
          <w:rFonts w:ascii="Times New Roman" w:hAnsi="Times New Roman" w:cs="Times New Roman"/>
          <w:b/>
          <w:szCs w:val="21"/>
        </w:rPr>
        <w:t xml:space="preserve"> homologous recombination-related genes in MPR group</w:t>
      </w:r>
    </w:p>
    <w:p w14:paraId="4D925EBD" w14:textId="77777777" w:rsidR="00E101AC" w:rsidRPr="00CA524F" w:rsidRDefault="00BA6EC9" w:rsidP="00F811D0">
      <w:pPr>
        <w:spacing w:line="480" w:lineRule="auto"/>
        <w:ind w:firstLine="420"/>
        <w:rPr>
          <w:rFonts w:ascii="Times New Roman" w:hAnsi="Times New Roman" w:cs="Times New Roman"/>
          <w:szCs w:val="21"/>
        </w:rPr>
      </w:pPr>
      <w:r w:rsidRPr="00CA524F">
        <w:rPr>
          <w:rFonts w:ascii="Times New Roman" w:hAnsi="Times New Roman" w:cs="Times New Roman"/>
          <w:szCs w:val="21"/>
        </w:rPr>
        <w:t>A total of 11598 SNVs and InDels were identified by WES, while 4243 and 1290 mutations retained through filtrations (Suppl. Fig. 1E)</w:t>
      </w:r>
      <w:r w:rsidRPr="00CA524F">
        <w:rPr>
          <w:rFonts w:ascii="Times New Roman" w:hAnsi="Times New Roman" w:cs="Times New Roman" w:hint="eastAsia"/>
          <w:szCs w:val="21"/>
        </w:rPr>
        <w:t>.</w:t>
      </w:r>
      <w:r w:rsidRPr="00CA524F">
        <w:rPr>
          <w:rFonts w:ascii="Times New Roman" w:hAnsi="Times New Roman" w:cs="Times New Roman"/>
          <w:szCs w:val="21"/>
        </w:rPr>
        <w:t xml:space="preserve"> No obvious number difference was observed between MPR/Non-MPR and FFPE/Frozen tissues (Suppl. Fig. 1F). Mutation signature analysis was also conducted on unfiltered mutations to decipher the possible etiological reasons behind distinct therapeutic response. As shown in </w:t>
      </w:r>
      <w:r w:rsidR="00BA0A26" w:rsidRPr="00CA524F">
        <w:rPr>
          <w:rFonts w:ascii="Times New Roman" w:hAnsi="Times New Roman" w:cs="Times New Roman"/>
          <w:szCs w:val="21"/>
        </w:rPr>
        <w:t xml:space="preserve">Suppl. </w:t>
      </w:r>
      <w:r w:rsidRPr="00CA524F">
        <w:rPr>
          <w:rFonts w:ascii="Times New Roman" w:hAnsi="Times New Roman" w:cs="Times New Roman"/>
          <w:szCs w:val="21"/>
        </w:rPr>
        <w:t>Fig. 1</w:t>
      </w:r>
      <w:r w:rsidR="00BA0A26" w:rsidRPr="00CA524F">
        <w:rPr>
          <w:rFonts w:ascii="Times New Roman" w:hAnsi="Times New Roman" w:cs="Times New Roman"/>
          <w:szCs w:val="21"/>
        </w:rPr>
        <w:t>G</w:t>
      </w:r>
      <w:r w:rsidRPr="00CA524F">
        <w:rPr>
          <w:rFonts w:ascii="Times New Roman" w:hAnsi="Times New Roman" w:cs="Times New Roman"/>
          <w:szCs w:val="21"/>
        </w:rPr>
        <w:t>, the substitution spectrum plot displayed insignificant statistically difference between groups.</w:t>
      </w:r>
      <w:r w:rsidR="00F811D0" w:rsidRPr="00CA524F">
        <w:rPr>
          <w:rFonts w:ascii="Times New Roman" w:hAnsi="Times New Roman" w:cs="Times New Roman"/>
          <w:szCs w:val="21"/>
        </w:rPr>
        <w:t xml:space="preserve"> By further mapping mutations to known mutational signatures in COSMIC database (accessed in March 2021), SBS 4 associated with tobacco-smoking-induced cancer contributed to high proportions of mutations in MPR/non-MPR groups (Suppl. Fig. 1H), consistent with their smoking history. Sorted by log2 contribution fold change between MPR/Non-MPR groups, InDel signatures ID6 and ID8 preponderated in MPR </w:t>
      </w:r>
      <w:r w:rsidR="00F811D0" w:rsidRPr="00CA524F">
        <w:rPr>
          <w:rFonts w:ascii="Times New Roman" w:hAnsi="Times New Roman" w:cs="Times New Roman"/>
          <w:szCs w:val="21"/>
        </w:rPr>
        <w:lastRenderedPageBreak/>
        <w:t>patients, both were attributed to DNA damage repair (DDR) mechanisms (Suppl. Fig. 1H). Regarding the relatively low absolute exposure value to known features, no obvious enrichment was observed on DBS signatures.</w:t>
      </w:r>
      <w:r w:rsidR="00F5414F" w:rsidRPr="00CA524F">
        <w:rPr>
          <w:rFonts w:ascii="Times New Roman" w:hAnsi="Times New Roman" w:cs="Times New Roman"/>
          <w:szCs w:val="21"/>
        </w:rPr>
        <w:t xml:space="preserve"> As for </w:t>
      </w:r>
      <w:r w:rsidR="00E23871" w:rsidRPr="00CA524F">
        <w:rPr>
          <w:rFonts w:ascii="Times New Roman" w:hAnsi="Times New Roman" w:cs="Times New Roman"/>
          <w:szCs w:val="21"/>
        </w:rPr>
        <w:t xml:space="preserve">the pathway enrichment </w:t>
      </w:r>
      <w:r w:rsidR="003D7C8F" w:rsidRPr="00CA524F">
        <w:rPr>
          <w:rFonts w:ascii="Times New Roman" w:hAnsi="Times New Roman" w:cs="Times New Roman"/>
          <w:szCs w:val="21"/>
        </w:rPr>
        <w:t xml:space="preserve">of mutated tumor suppressor genes, Reactome pathways including R-HSA-5693567 and R-HSA-6796648 </w:t>
      </w:r>
      <w:r w:rsidR="00E23871" w:rsidRPr="00CA524F">
        <w:rPr>
          <w:rFonts w:ascii="Times New Roman" w:hAnsi="Times New Roman" w:cs="Times New Roman"/>
          <w:szCs w:val="21"/>
        </w:rPr>
        <w:t xml:space="preserve">demonstrated significant difference between MPR and Non-MPR groups </w:t>
      </w:r>
      <w:r w:rsidR="003D7C8F" w:rsidRPr="00CA524F">
        <w:rPr>
          <w:rFonts w:ascii="Times New Roman" w:hAnsi="Times New Roman" w:cs="Times New Roman"/>
          <w:szCs w:val="21"/>
        </w:rPr>
        <w:t>(Suppl. Fig. 1</w:t>
      </w:r>
      <w:r w:rsidR="004872C3" w:rsidRPr="00CA524F">
        <w:rPr>
          <w:rFonts w:ascii="Times New Roman" w:hAnsi="Times New Roman" w:cs="Times New Roman"/>
          <w:szCs w:val="21"/>
        </w:rPr>
        <w:t>I)</w:t>
      </w:r>
      <w:r w:rsidR="003D7C8F" w:rsidRPr="00CA524F">
        <w:rPr>
          <w:rFonts w:ascii="Times New Roman" w:hAnsi="Times New Roman" w:cs="Times New Roman"/>
          <w:szCs w:val="21"/>
        </w:rPr>
        <w:t>.</w:t>
      </w:r>
    </w:p>
    <w:p w14:paraId="034965E9" w14:textId="77777777" w:rsidR="00A05000" w:rsidRPr="00CA524F" w:rsidRDefault="00A05000" w:rsidP="00B84AAD">
      <w:pPr>
        <w:spacing w:line="480" w:lineRule="auto"/>
        <w:rPr>
          <w:rFonts w:ascii="Times New Roman" w:hAnsi="Times New Roman" w:cs="Times New Roman"/>
          <w:szCs w:val="21"/>
        </w:rPr>
      </w:pPr>
    </w:p>
    <w:p w14:paraId="31D748AD" w14:textId="77777777" w:rsidR="00E23871" w:rsidRPr="00CA524F" w:rsidRDefault="00A05000" w:rsidP="00E23871">
      <w:pPr>
        <w:spacing w:line="480" w:lineRule="auto"/>
        <w:rPr>
          <w:rFonts w:ascii="Times New Roman" w:hAnsi="Times New Roman" w:cs="Times New Roman"/>
          <w:b/>
          <w:szCs w:val="21"/>
        </w:rPr>
      </w:pPr>
      <w:r w:rsidRPr="00CA524F">
        <w:rPr>
          <w:rFonts w:ascii="Times New Roman" w:hAnsi="Times New Roman" w:cs="Times New Roman"/>
          <w:b/>
          <w:szCs w:val="21"/>
        </w:rPr>
        <w:t>Result S3: MPR group exhibited exacerbated somatic</w:t>
      </w:r>
      <w:r w:rsidR="002707F2" w:rsidRPr="00CA524F">
        <w:rPr>
          <w:rFonts w:ascii="Times New Roman" w:hAnsi="Times New Roman" w:cs="Times New Roman"/>
          <w:b/>
          <w:szCs w:val="21"/>
        </w:rPr>
        <w:t xml:space="preserve"> copy number alternations</w:t>
      </w:r>
      <w:r w:rsidR="005325EC" w:rsidRPr="00CA524F">
        <w:rPr>
          <w:rFonts w:ascii="Times New Roman" w:hAnsi="Times New Roman" w:cs="Times New Roman"/>
          <w:b/>
          <w:szCs w:val="21"/>
        </w:rPr>
        <w:t xml:space="preserve"> </w:t>
      </w:r>
      <w:r w:rsidR="005325EC" w:rsidRPr="00CA524F">
        <w:rPr>
          <w:rFonts w:ascii="Times New Roman" w:hAnsi="Times New Roman" w:cs="Times New Roman" w:hint="eastAsia"/>
          <w:b/>
          <w:szCs w:val="21"/>
        </w:rPr>
        <w:t>a</w:t>
      </w:r>
      <w:r w:rsidR="005325EC" w:rsidRPr="00CA524F">
        <w:rPr>
          <w:rFonts w:ascii="Times New Roman" w:hAnsi="Times New Roman" w:cs="Times New Roman"/>
          <w:b/>
          <w:szCs w:val="21"/>
        </w:rPr>
        <w:t>nd occurrence of HRD events</w:t>
      </w:r>
    </w:p>
    <w:p w14:paraId="2B0BF50F" w14:textId="77777777" w:rsidR="00E23871" w:rsidRPr="00CA524F" w:rsidRDefault="009B6FE1" w:rsidP="00A90701">
      <w:pPr>
        <w:spacing w:line="480" w:lineRule="auto"/>
        <w:ind w:firstLine="420"/>
        <w:rPr>
          <w:rFonts w:ascii="Times New Roman" w:hAnsi="Times New Roman" w:cs="Times New Roman"/>
          <w:szCs w:val="21"/>
        </w:rPr>
      </w:pPr>
      <w:r w:rsidRPr="00CA524F">
        <w:rPr>
          <w:rFonts w:ascii="Times New Roman" w:hAnsi="Times New Roman" w:cs="Times New Roman"/>
          <w:szCs w:val="21"/>
        </w:rPr>
        <w:t>E</w:t>
      </w:r>
      <w:r w:rsidRPr="00CA524F">
        <w:rPr>
          <w:rFonts w:ascii="Times New Roman" w:hAnsi="Times New Roman" w:cs="Times New Roman" w:hint="eastAsia"/>
          <w:szCs w:val="21"/>
        </w:rPr>
        <w:t>s</w:t>
      </w:r>
      <w:r w:rsidRPr="00CA524F">
        <w:rPr>
          <w:rFonts w:ascii="Times New Roman" w:hAnsi="Times New Roman" w:cs="Times New Roman"/>
          <w:szCs w:val="21"/>
        </w:rPr>
        <w:t>calation of t</w:t>
      </w:r>
      <w:r w:rsidR="00E23871" w:rsidRPr="00CA524F">
        <w:rPr>
          <w:rFonts w:ascii="Times New Roman" w:hAnsi="Times New Roman" w:cs="Times New Roman"/>
          <w:szCs w:val="21"/>
        </w:rPr>
        <w:t>he chromosome and arm level CNV burden</w:t>
      </w:r>
      <w:r w:rsidR="005B4E6D" w:rsidRPr="00CA524F">
        <w:rPr>
          <w:rFonts w:ascii="Times New Roman" w:hAnsi="Times New Roman" w:cs="Times New Roman"/>
          <w:szCs w:val="21"/>
        </w:rPr>
        <w:t xml:space="preserve"> </w:t>
      </w:r>
      <w:r w:rsidR="005B4E6D" w:rsidRPr="00CA524F">
        <w:rPr>
          <w:rFonts w:ascii="Times New Roman" w:hAnsi="Times New Roman" w:cs="Times New Roman" w:hint="eastAsia"/>
          <w:szCs w:val="21"/>
        </w:rPr>
        <w:t>w</w:t>
      </w:r>
      <w:r w:rsidR="005B4E6D" w:rsidRPr="00CA524F">
        <w:rPr>
          <w:rFonts w:ascii="Times New Roman" w:hAnsi="Times New Roman" w:cs="Times New Roman"/>
          <w:szCs w:val="21"/>
        </w:rPr>
        <w:t>as observed for</w:t>
      </w:r>
      <w:r w:rsidR="00E23871" w:rsidRPr="00CA524F">
        <w:rPr>
          <w:rFonts w:ascii="Times New Roman" w:hAnsi="Times New Roman" w:cs="Times New Roman"/>
          <w:szCs w:val="21"/>
        </w:rPr>
        <w:t xml:space="preserve"> all </w:t>
      </w:r>
      <w:r w:rsidR="005B4E6D" w:rsidRPr="00CA524F">
        <w:rPr>
          <w:rFonts w:ascii="Times New Roman" w:hAnsi="Times New Roman" w:cs="Times New Roman"/>
          <w:szCs w:val="21"/>
        </w:rPr>
        <w:t xml:space="preserve">MPR </w:t>
      </w:r>
      <w:r w:rsidR="00E23871" w:rsidRPr="00CA524F">
        <w:rPr>
          <w:rFonts w:ascii="Times New Roman" w:hAnsi="Times New Roman" w:cs="Times New Roman"/>
          <w:szCs w:val="21"/>
        </w:rPr>
        <w:t>(</w:t>
      </w:r>
      <w:r w:rsidR="004A1B00" w:rsidRPr="00CA524F">
        <w:rPr>
          <w:rFonts w:ascii="Times New Roman" w:hAnsi="Times New Roman" w:cs="Times New Roman"/>
          <w:szCs w:val="21"/>
        </w:rPr>
        <w:t xml:space="preserve">Suppl. </w:t>
      </w:r>
      <w:r w:rsidR="00E23871" w:rsidRPr="00CA524F">
        <w:rPr>
          <w:rFonts w:ascii="Times New Roman" w:hAnsi="Times New Roman" w:cs="Times New Roman"/>
          <w:szCs w:val="21"/>
        </w:rPr>
        <w:t xml:space="preserve">Fig. 2A-B) and squamous cell carcinoma (SCC) </w:t>
      </w:r>
      <w:r w:rsidR="005B4E6D" w:rsidRPr="00CA524F">
        <w:rPr>
          <w:rFonts w:ascii="Times New Roman" w:hAnsi="Times New Roman" w:cs="Times New Roman"/>
          <w:szCs w:val="21"/>
        </w:rPr>
        <w:t>MPR patients</w:t>
      </w:r>
      <w:r w:rsidR="00E23871" w:rsidRPr="00CA524F">
        <w:rPr>
          <w:rFonts w:ascii="Times New Roman" w:hAnsi="Times New Roman" w:cs="Times New Roman"/>
          <w:szCs w:val="21"/>
        </w:rPr>
        <w:t xml:space="preserve"> (Suppl. Fig. 2</w:t>
      </w:r>
      <w:r w:rsidR="004E5A60" w:rsidRPr="00CA524F">
        <w:rPr>
          <w:rFonts w:ascii="Times New Roman" w:hAnsi="Times New Roman" w:cs="Times New Roman"/>
          <w:szCs w:val="21"/>
        </w:rPr>
        <w:t>C-D</w:t>
      </w:r>
      <w:r w:rsidR="00E23871" w:rsidRPr="00CA524F">
        <w:rPr>
          <w:rFonts w:ascii="Times New Roman" w:hAnsi="Times New Roman" w:cs="Times New Roman"/>
          <w:szCs w:val="21"/>
        </w:rPr>
        <w:t xml:space="preserve">). The two CNV burdens </w:t>
      </w:r>
      <w:r w:rsidR="00767E83" w:rsidRPr="00CA524F">
        <w:rPr>
          <w:rFonts w:ascii="Times New Roman" w:hAnsi="Times New Roman" w:cs="Times New Roman"/>
          <w:szCs w:val="21"/>
        </w:rPr>
        <w:t xml:space="preserve">also </w:t>
      </w:r>
      <w:r w:rsidR="00E23871" w:rsidRPr="00CA524F">
        <w:rPr>
          <w:rFonts w:ascii="Times New Roman" w:hAnsi="Times New Roman" w:cs="Times New Roman"/>
          <w:szCs w:val="21"/>
        </w:rPr>
        <w:t>showed negative correlation with percent of viable tumor cells (</w:t>
      </w:r>
      <w:r w:rsidR="008E6B35" w:rsidRPr="00CA524F">
        <w:rPr>
          <w:rFonts w:ascii="Times New Roman" w:hAnsi="Times New Roman" w:cs="Times New Roman"/>
          <w:szCs w:val="21"/>
        </w:rPr>
        <w:t xml:space="preserve">Suppl. </w:t>
      </w:r>
      <w:r w:rsidR="00E23871" w:rsidRPr="00CA524F">
        <w:rPr>
          <w:rFonts w:ascii="Times New Roman" w:hAnsi="Times New Roman" w:cs="Times New Roman"/>
          <w:szCs w:val="21"/>
        </w:rPr>
        <w:t>Fig. 2</w:t>
      </w:r>
      <w:r w:rsidR="008E6B35" w:rsidRPr="00CA524F">
        <w:rPr>
          <w:rFonts w:ascii="Times New Roman" w:hAnsi="Times New Roman" w:cs="Times New Roman"/>
          <w:szCs w:val="21"/>
        </w:rPr>
        <w:t>E-F</w:t>
      </w:r>
      <w:r w:rsidR="00E23871" w:rsidRPr="00CA524F">
        <w:rPr>
          <w:rFonts w:ascii="Times New Roman" w:hAnsi="Times New Roman" w:cs="Times New Roman"/>
          <w:szCs w:val="21"/>
        </w:rPr>
        <w:t xml:space="preserve">). Percent of amplified or deleted genome also manifested an increased trend </w:t>
      </w:r>
      <w:r w:rsidR="00767E83" w:rsidRPr="00CA524F">
        <w:rPr>
          <w:rFonts w:ascii="Times New Roman" w:hAnsi="Times New Roman" w:cs="Times New Roman"/>
          <w:szCs w:val="21"/>
        </w:rPr>
        <w:t xml:space="preserve">in MPR subpopulation </w:t>
      </w:r>
      <w:r w:rsidR="00E23871" w:rsidRPr="00CA524F">
        <w:rPr>
          <w:rFonts w:ascii="Times New Roman" w:hAnsi="Times New Roman" w:cs="Times New Roman"/>
          <w:szCs w:val="21"/>
        </w:rPr>
        <w:t>for all 14 patients (Suppl. Fig. 2</w:t>
      </w:r>
      <w:r w:rsidR="008E6B35" w:rsidRPr="00CA524F">
        <w:rPr>
          <w:rFonts w:ascii="Times New Roman" w:hAnsi="Times New Roman" w:cs="Times New Roman"/>
          <w:szCs w:val="21"/>
        </w:rPr>
        <w:t>G-H</w:t>
      </w:r>
      <w:r w:rsidR="00E23871" w:rsidRPr="00CA524F">
        <w:rPr>
          <w:rFonts w:ascii="Times New Roman" w:hAnsi="Times New Roman" w:cs="Times New Roman"/>
          <w:szCs w:val="21"/>
        </w:rPr>
        <w:t>) and SCC</w:t>
      </w:r>
      <w:r w:rsidR="008E6B35" w:rsidRPr="00CA524F">
        <w:rPr>
          <w:rFonts w:ascii="Times New Roman" w:hAnsi="Times New Roman" w:cs="Times New Roman"/>
          <w:szCs w:val="21"/>
        </w:rPr>
        <w:t xml:space="preserve"> </w:t>
      </w:r>
      <w:r w:rsidR="00767E83" w:rsidRPr="00CA524F">
        <w:rPr>
          <w:rFonts w:ascii="Times New Roman" w:hAnsi="Times New Roman" w:cs="Times New Roman"/>
          <w:szCs w:val="21"/>
        </w:rPr>
        <w:t>subtype</w:t>
      </w:r>
      <w:r w:rsidR="008E6B35" w:rsidRPr="00CA524F">
        <w:rPr>
          <w:rFonts w:ascii="Times New Roman" w:hAnsi="Times New Roman" w:cs="Times New Roman"/>
          <w:szCs w:val="21"/>
        </w:rPr>
        <w:t xml:space="preserve"> (Suppl. Fig. 2</w:t>
      </w:r>
      <w:r w:rsidR="00BB7C9A" w:rsidRPr="00CA524F">
        <w:rPr>
          <w:rFonts w:ascii="Times New Roman" w:hAnsi="Times New Roman" w:cs="Times New Roman"/>
          <w:szCs w:val="21"/>
        </w:rPr>
        <w:t>I</w:t>
      </w:r>
      <w:r w:rsidR="008E6B35" w:rsidRPr="00CA524F">
        <w:rPr>
          <w:rFonts w:ascii="Times New Roman" w:hAnsi="Times New Roman" w:cs="Times New Roman"/>
          <w:szCs w:val="21"/>
        </w:rPr>
        <w:t>-J</w:t>
      </w:r>
      <w:r w:rsidR="00E23871" w:rsidRPr="00CA524F">
        <w:rPr>
          <w:rFonts w:ascii="Times New Roman" w:hAnsi="Times New Roman" w:cs="Times New Roman"/>
          <w:szCs w:val="21"/>
        </w:rPr>
        <w:t xml:space="preserve">). </w:t>
      </w:r>
    </w:p>
    <w:p w14:paraId="04C513A0" w14:textId="1A0F83F1" w:rsidR="005C5922" w:rsidRPr="00CA524F" w:rsidRDefault="002834CC" w:rsidP="00B84AAD">
      <w:pPr>
        <w:spacing w:line="480" w:lineRule="auto"/>
        <w:rPr>
          <w:rFonts w:ascii="Times New Roman" w:hAnsi="Times New Roman" w:cs="Times New Roman"/>
          <w:szCs w:val="21"/>
        </w:rPr>
      </w:pPr>
      <w:r w:rsidRPr="00CA524F">
        <w:rPr>
          <w:rFonts w:ascii="Times New Roman" w:hAnsi="Times New Roman" w:cs="Times New Roman"/>
          <w:szCs w:val="21"/>
        </w:rPr>
        <w:tab/>
        <w:t xml:space="preserve">As for the SCNA signature analysis, </w:t>
      </w:r>
      <w:r w:rsidR="00BB7C9A" w:rsidRPr="00CA524F">
        <w:rPr>
          <w:rFonts w:ascii="Times New Roman" w:hAnsi="Times New Roman" w:cs="Times New Roman"/>
          <w:szCs w:val="21"/>
        </w:rPr>
        <w:t xml:space="preserve">the </w:t>
      </w:r>
      <w:r w:rsidRPr="00CA524F">
        <w:rPr>
          <w:rFonts w:ascii="Times New Roman" w:hAnsi="Times New Roman" w:cs="Times New Roman"/>
          <w:szCs w:val="21"/>
        </w:rPr>
        <w:t>signature en</w:t>
      </w:r>
      <w:r w:rsidR="00BB7C9A" w:rsidRPr="00CA524F">
        <w:rPr>
          <w:rFonts w:ascii="Times New Roman" w:hAnsi="Times New Roman" w:cs="Times New Roman"/>
          <w:szCs w:val="21"/>
        </w:rPr>
        <w:t xml:space="preserve">richments were </w:t>
      </w:r>
      <w:r w:rsidRPr="00CA524F">
        <w:rPr>
          <w:rFonts w:ascii="Times New Roman" w:hAnsi="Times New Roman" w:cs="Times New Roman"/>
          <w:szCs w:val="21"/>
        </w:rPr>
        <w:t xml:space="preserve">computed by </w:t>
      </w:r>
      <w:r w:rsidR="00BB7C9A" w:rsidRPr="00CA524F">
        <w:rPr>
          <w:rFonts w:ascii="Times New Roman" w:hAnsi="Times New Roman" w:cs="Times New Roman"/>
          <w:szCs w:val="21"/>
        </w:rPr>
        <w:t>CNsignatures tool and compared between MPR and Non-MPR patients. Three signatures exhibited different enrichment in the two groups (Suppl. Fig. 2L)</w:t>
      </w:r>
      <w:r w:rsidR="002707F2" w:rsidRPr="00CA524F">
        <w:rPr>
          <w:rFonts w:ascii="Times New Roman" w:hAnsi="Times New Roman" w:cs="Times New Roman"/>
          <w:szCs w:val="21"/>
        </w:rPr>
        <w:t xml:space="preserve">. </w:t>
      </w:r>
      <w:r w:rsidR="001C393D" w:rsidRPr="00CA524F">
        <w:rPr>
          <w:rFonts w:ascii="Times New Roman" w:hAnsi="Times New Roman" w:cs="Times New Roman"/>
          <w:szCs w:val="21"/>
        </w:rPr>
        <w:t>According to previous results from ovarian carcinoma</w:t>
      </w:r>
      <w:r w:rsidR="001C393D" w:rsidRPr="00CA524F">
        <w:rPr>
          <w:rFonts w:ascii="Times New Roman" w:hAnsi="Times New Roman" w:cs="Times New Roman"/>
          <w:szCs w:val="21"/>
        </w:rPr>
        <w:fldChar w:fldCharType="begin"/>
      </w:r>
      <w:r w:rsidR="00D77239">
        <w:rPr>
          <w:rFonts w:ascii="Times New Roman" w:hAnsi="Times New Roman" w:cs="Times New Roman"/>
          <w:szCs w:val="21"/>
        </w:rPr>
        <w:instrText xml:space="preserve"> ADDIN ZOTERO_ITEM CSL_CITATION {"citationID":"eeCKD2wN","properties":{"formattedCitation":"\\super 1\\nosupersub{}","plainCitation":"1","noteIndex":0},"citationItems":[{"id":1139,"uris":["http://zotero.org/users/6617482/items/TKR65EVR"],"itemData":{"id":1139,"type":"article-journal","abstract":"The genomic complexity of profound copy-number aberration has prevented\neffective molecular stratification of ovarian cancers. To decode this\ncomplexity, we derived copy-number signatures from shallow whole genome\nsequencing of 117 high-grade serous ovarian cancer (HGSOC) cases, which were\nvalidated on 527 independent cases. We show that HGSOC comprises a continuum of\ngenomes shaped by multiple mutational processes that result in known patterns of\ngenomic aberration. Copy-number signature exposures at diagnosis predict both\noverall survival and the probability of platinum-resistant relapse. Measuring\nsignature exposures provides a rational framework to choose combination\ntreatments that target multiple mutational processes.","container-title":"Nature genetics","DOI":"10.1038/s41588-018-0179-8","ISSN":"1061-4036","issue":"9","journalAbbreviation":"Nat Genet","note":"PMID: 30104763\nPMCID: PMC6130818","page":"1262-1270","source":"PubMed Central","title":"Copy-number signatures and mutational processes in ovarian carcinoma","volume":"50","author":[{"family":"Macintyre","given":"Geoff"},{"family":"Goranova","given":"Teodora E."},{"family":"De Silva","given":"Dilrini"},{"family":"Ennis","given":"Darren"},{"family":"Piskorz","given":"Anna M."},{"family":"Eldridge","given":"Matthew"},{"family":"Sie","given":"Daoud"},{"family":"Lewsley","given":"Liz-Anne"},{"family":"Hanif","given":"Aishah"},{"family":"Wilson","given":"Cheryl"},{"family":"Dowson","given":"Suzanne"},{"family":"Glasspool","given":"Rosalind M."},{"family":"Lockley","given":"Michelle"},{"family":"Brockbank","given":"Elly"},{"family":"Montes","given":"Ana"},{"family":"Walther","given":"Axel"},{"family":"Sundar","given":"Sudha"},{"family":"Edmondson","given":"Richard"},{"family":"Hall","given":"Geoff D."},{"family":"Clamp","given":"Andrew"},{"family":"Gourley","given":"Charlie"},{"family":"Hall","given":"Marcia"},{"family":"Fotopoulou","given":"Christina"},{"family":"Gabra","given":"Hani"},{"family":"Paul","given":"James"},{"family":"Supernat","given":"Anna"},{"family":"Millan","given":"David"},{"family":"Hoyle","given":"Aoisha"},{"family":"Bryson","given":"Gareth"},{"family":"Nourse","given":"Craig"},{"family":"Mincarelli","given":"Laura"},{"family":"Navarro Sanchez","given":"Luis"},{"family":"Ylstra","given":"Bauke"},{"family":"Jimenez-Linan","given":"Mercedes"},{"family":"Moore","given":"Luiza"},{"family":"Hofmann","given":"Oliver"},{"family":"Markowetz","given":"Florian"},{"family":"McNeish","given":"Iain A."},{"family":"Brenton","given":"James D."}],"issued":{"date-parts":[["2018",9]]}}}],"schema":"https://github.com/citation-style-language/schema/raw/master/csl-citation.json"} </w:instrText>
      </w:r>
      <w:r w:rsidR="001C393D" w:rsidRPr="00CA524F">
        <w:rPr>
          <w:rFonts w:ascii="Times New Roman" w:hAnsi="Times New Roman" w:cs="Times New Roman"/>
          <w:szCs w:val="21"/>
        </w:rPr>
        <w:fldChar w:fldCharType="separate"/>
      </w:r>
      <w:r w:rsidR="00D77239" w:rsidRPr="00D77239">
        <w:rPr>
          <w:rFonts w:ascii="Times New Roman" w:hAnsi="Times New Roman" w:cs="Times New Roman"/>
          <w:kern w:val="0"/>
          <w:szCs w:val="24"/>
          <w:vertAlign w:val="superscript"/>
        </w:rPr>
        <w:t>1</w:t>
      </w:r>
      <w:r w:rsidR="001C393D" w:rsidRPr="00CA524F">
        <w:rPr>
          <w:rFonts w:ascii="Times New Roman" w:hAnsi="Times New Roman" w:cs="Times New Roman"/>
          <w:szCs w:val="21"/>
        </w:rPr>
        <w:fldChar w:fldCharType="end"/>
      </w:r>
      <w:r w:rsidR="001C393D" w:rsidRPr="00CA524F">
        <w:rPr>
          <w:rFonts w:ascii="Times New Roman" w:hAnsi="Times New Roman" w:cs="Times New Roman"/>
          <w:szCs w:val="21"/>
        </w:rPr>
        <w:t>, the SCNA Signature 1 was anti-correlated with HRD SNV signature while SCNA Signature 7 showed positive association with HRD SNV signature 3. Unsurprisingly, the group-wise SCNA signature distributions showed high consistency with the mutation status of HR-related genes in MPR/</w:t>
      </w:r>
      <w:r w:rsidR="00B5124C" w:rsidRPr="00CA524F">
        <w:rPr>
          <w:rFonts w:ascii="Times New Roman" w:hAnsi="Times New Roman" w:cs="Times New Roman"/>
          <w:szCs w:val="21"/>
        </w:rPr>
        <w:t>Non-MPR patients (Suppl. Fig. 2M-N</w:t>
      </w:r>
      <w:r w:rsidR="001C393D" w:rsidRPr="00CA524F">
        <w:rPr>
          <w:rFonts w:ascii="Times New Roman" w:hAnsi="Times New Roman" w:cs="Times New Roman"/>
          <w:szCs w:val="21"/>
        </w:rPr>
        <w:t xml:space="preserve">), i.e. lower Signature 1 and higher Signature 7 proportion in MPR group. Additionally, SCNA Signature 5, which was associated with subclonal copy number changes, got significantly elevated proportion in MPR group, raising the presumption </w:t>
      </w:r>
      <w:r w:rsidR="001C393D" w:rsidRPr="00CA524F">
        <w:rPr>
          <w:rFonts w:ascii="Times New Roman" w:hAnsi="Times New Roman" w:cs="Times New Roman"/>
          <w:szCs w:val="21"/>
        </w:rPr>
        <w:lastRenderedPageBreak/>
        <w:t>that HR gene deactivation escalated SCNA level intratumor heterogeneity (ITH) in MPR group. When narrowing to SCC patients, the SCNA signature disparities reduced (Suppl. Fig. 2</w:t>
      </w:r>
      <w:r w:rsidR="00B5124C" w:rsidRPr="00CA524F">
        <w:rPr>
          <w:rFonts w:ascii="Times New Roman" w:hAnsi="Times New Roman" w:cs="Times New Roman"/>
          <w:szCs w:val="21"/>
        </w:rPr>
        <w:t>P</w:t>
      </w:r>
      <w:r w:rsidR="001C393D" w:rsidRPr="00CA524F">
        <w:rPr>
          <w:rFonts w:ascii="Times New Roman" w:hAnsi="Times New Roman" w:cs="Times New Roman"/>
          <w:szCs w:val="21"/>
        </w:rPr>
        <w:t>-</w:t>
      </w:r>
      <w:r w:rsidR="00B5124C" w:rsidRPr="00CA524F">
        <w:rPr>
          <w:rFonts w:ascii="Times New Roman" w:hAnsi="Times New Roman" w:cs="Times New Roman"/>
          <w:szCs w:val="21"/>
        </w:rPr>
        <w:t>R</w:t>
      </w:r>
      <w:r w:rsidR="001C393D" w:rsidRPr="00CA524F">
        <w:rPr>
          <w:rFonts w:ascii="Times New Roman" w:hAnsi="Times New Roman" w:cs="Times New Roman"/>
          <w:szCs w:val="21"/>
        </w:rPr>
        <w:t xml:space="preserve">). </w:t>
      </w:r>
      <w:bookmarkStart w:id="0" w:name="OLE_LINK3"/>
      <w:r w:rsidR="001C393D" w:rsidRPr="00CA524F">
        <w:rPr>
          <w:rFonts w:ascii="Times New Roman" w:hAnsi="Times New Roman" w:cs="Times New Roman"/>
          <w:szCs w:val="21"/>
        </w:rPr>
        <w:t>Considering copy number variation could be originated from multiple mechanisms including non-allelic homologous recombination (NAHR), non-homologous end joining (NHEJ), DNA replication error and meiotic processes</w:t>
      </w:r>
      <w:r w:rsidR="001C393D" w:rsidRPr="00CA524F">
        <w:rPr>
          <w:rFonts w:ascii="Times New Roman" w:hAnsi="Times New Roman" w:cs="Times New Roman"/>
          <w:szCs w:val="21"/>
        </w:rPr>
        <w:fldChar w:fldCharType="begin"/>
      </w:r>
      <w:r w:rsidR="00D77239">
        <w:rPr>
          <w:rFonts w:ascii="Times New Roman" w:hAnsi="Times New Roman" w:cs="Times New Roman"/>
          <w:szCs w:val="21"/>
        </w:rPr>
        <w:instrText xml:space="preserve"> ADDIN ZOTERO_ITEM CSL_CITATION {"citationID":"SmWlZw33","properties":{"formattedCitation":"\\super 2\\nosupersub{}","plainCitation":"2","noteIndex":0},"citationItems":[{"id":2990,"uris":["http://zotero.org/users/6617482/items/58SYHQ4A"],"itemData":{"id":2990,"type":"article-journal","abstract":"Copy number variants (CNVs) overlap over 7000 genes, many of which are pivotal in biological pathways. The implications of this are profound, with consequences for evolutionary studies, population genetics, gene function and human phenotype, including elucidation of genetic susceptibility to major common diseases, the heritability of which has thus far defied full explanation. Even though this research is still in its infancy, CNVs have already been associated with a number of monogenic, syndromic and complex diseases: the development of high throughput and high resolution techniques for CNV screening is likely to bring further new insights into the contribution of copy number variation to common diseases. Amongst genes overlapped by CNVs, significant enrichments for certain gene ontology categories have been identified, including those related to immune responses and interactions with the environment. Genes in both of these categories are thought to be important in evolutionary adaptation and to be particular targets of natural selection. Thus, a full appreciation of copy number variation may be important for our understanding of human evolution.","container-title":"Cytogenetic and Genome Research","DOI":"10.1159/000184688","ISSN":"1424-8581","issue":"1-4","journalAbbreviation":"Cytogenet Genome Res","note":"PMID: 19287135\nPMCID: PMC2920180","page":"17-26","source":"PubMed Central","title":"Human genes involved in copy number variation: mechanisms of origin, functional effects and implications for disease","title-short":"Human genes involved in copy number variation","volume":"123","author":[{"family":"Smith","given":"A.J.","non-dropping-particle":"de"},{"family":"Walters","given":"R.G."},{"family":"Froguel","given":"P."},{"family":"Blakemore","given":"A.I."}],"issued":{"date-parts":[["2009",3]]}}}],"schema":"https://github.com/citation-style-language/schema/raw/master/csl-citation.json"} </w:instrText>
      </w:r>
      <w:r w:rsidR="001C393D" w:rsidRPr="00CA524F">
        <w:rPr>
          <w:rFonts w:ascii="Times New Roman" w:hAnsi="Times New Roman" w:cs="Times New Roman"/>
          <w:szCs w:val="21"/>
        </w:rPr>
        <w:fldChar w:fldCharType="separate"/>
      </w:r>
      <w:r w:rsidR="00D77239" w:rsidRPr="00D77239">
        <w:rPr>
          <w:rFonts w:ascii="Times New Roman" w:hAnsi="Times New Roman" w:cs="Times New Roman"/>
          <w:kern w:val="0"/>
          <w:szCs w:val="24"/>
          <w:vertAlign w:val="superscript"/>
        </w:rPr>
        <w:t>2</w:t>
      </w:r>
      <w:r w:rsidR="001C393D" w:rsidRPr="00CA524F">
        <w:rPr>
          <w:rFonts w:ascii="Times New Roman" w:hAnsi="Times New Roman" w:cs="Times New Roman"/>
          <w:szCs w:val="21"/>
        </w:rPr>
        <w:fldChar w:fldCharType="end"/>
      </w:r>
      <w:r w:rsidR="001C393D" w:rsidRPr="00CA524F">
        <w:rPr>
          <w:rFonts w:ascii="Times New Roman" w:hAnsi="Times New Roman" w:cs="Times New Roman"/>
          <w:szCs w:val="21"/>
        </w:rPr>
        <w:t>,</w:t>
      </w:r>
      <w:bookmarkEnd w:id="0"/>
      <w:r w:rsidR="001C393D" w:rsidRPr="00CA524F">
        <w:rPr>
          <w:rFonts w:ascii="Times New Roman" w:hAnsi="Times New Roman" w:cs="Times New Roman"/>
          <w:szCs w:val="21"/>
        </w:rPr>
        <w:t xml:space="preserve"> </w:t>
      </w:r>
      <w:r w:rsidR="00EC2599" w:rsidRPr="00CA524F">
        <w:rPr>
          <w:rFonts w:ascii="Times New Roman" w:hAnsi="Times New Roman" w:cs="Times New Roman"/>
          <w:szCs w:val="21"/>
        </w:rPr>
        <w:t xml:space="preserve">these analyses on SCNA signatures </w:t>
      </w:r>
      <w:r w:rsidR="005C5922" w:rsidRPr="00CA524F">
        <w:rPr>
          <w:rFonts w:ascii="Times New Roman" w:hAnsi="Times New Roman" w:cs="Times New Roman"/>
          <w:szCs w:val="21"/>
        </w:rPr>
        <w:t>accentuated the association between HR pathway gene alternations and exacerbated SCNA in the patients achieved MPR.</w:t>
      </w:r>
    </w:p>
    <w:p w14:paraId="178E8611" w14:textId="77777777" w:rsidR="005C5922" w:rsidRPr="00CA524F" w:rsidRDefault="00D310AC" w:rsidP="00793359">
      <w:pPr>
        <w:spacing w:line="480" w:lineRule="auto"/>
        <w:ind w:firstLine="420"/>
        <w:rPr>
          <w:rFonts w:ascii="Times New Roman" w:hAnsi="Times New Roman" w:cs="Times New Roman"/>
          <w:szCs w:val="21"/>
        </w:rPr>
      </w:pPr>
      <w:r w:rsidRPr="00CA524F">
        <w:rPr>
          <w:rFonts w:ascii="Times New Roman" w:hAnsi="Times New Roman" w:cs="Times New Roman"/>
          <w:szCs w:val="21"/>
        </w:rPr>
        <w:t>As for the HRD event quantification, three HRD-related events including telomeric allelic imbalance (TAI), large-scale state transitions (LST) and loss of heterozygosity (LOH) in non-aneuploid samples were compared between MPR/Non-MPR groups. Additionally, the summed HRDscore in MPR group was significantly higher and negatively correlated with percent of viable tumor cells after treatment, both on all non-aneuploid samples (Fig. 1D-E) and SCC samples (Suppl. Fig. 3A-B).</w:t>
      </w:r>
    </w:p>
    <w:p w14:paraId="51BA02B5" w14:textId="77777777" w:rsidR="00793359" w:rsidRPr="00CA524F" w:rsidRDefault="00793359" w:rsidP="00793359">
      <w:pPr>
        <w:spacing w:line="480" w:lineRule="auto"/>
        <w:rPr>
          <w:rFonts w:ascii="Times New Roman" w:hAnsi="Times New Roman" w:cs="Times New Roman"/>
          <w:szCs w:val="21"/>
        </w:rPr>
      </w:pPr>
    </w:p>
    <w:p w14:paraId="6806ACFF" w14:textId="77777777" w:rsidR="005C5922" w:rsidRPr="00CA524F" w:rsidRDefault="005C5922" w:rsidP="005C5922">
      <w:pPr>
        <w:spacing w:line="480" w:lineRule="auto"/>
        <w:rPr>
          <w:rFonts w:ascii="Times New Roman" w:hAnsi="Times New Roman" w:cs="Times New Roman"/>
          <w:b/>
          <w:szCs w:val="21"/>
        </w:rPr>
      </w:pPr>
      <w:r w:rsidRPr="00CA524F">
        <w:rPr>
          <w:rFonts w:ascii="Times New Roman" w:hAnsi="Times New Roman" w:cs="Times New Roman" w:hint="eastAsia"/>
          <w:b/>
          <w:szCs w:val="21"/>
        </w:rPr>
        <w:t>R</w:t>
      </w:r>
      <w:r w:rsidRPr="00CA524F">
        <w:rPr>
          <w:rFonts w:ascii="Times New Roman" w:hAnsi="Times New Roman" w:cs="Times New Roman"/>
          <w:b/>
          <w:szCs w:val="21"/>
        </w:rPr>
        <w:t xml:space="preserve">esult S4: </w:t>
      </w:r>
      <w:bookmarkStart w:id="1" w:name="OLE_LINK13"/>
      <w:bookmarkStart w:id="2" w:name="OLE_LINK14"/>
      <w:r w:rsidRPr="00CA524F">
        <w:rPr>
          <w:rFonts w:ascii="Times New Roman" w:hAnsi="Times New Roman" w:cs="Times New Roman"/>
          <w:b/>
          <w:szCs w:val="21"/>
        </w:rPr>
        <w:t>Intratumor heterogeneity divergence caused by HRD potentially engendered the therapeutic response difference between two groups</w:t>
      </w:r>
    </w:p>
    <w:bookmarkEnd w:id="1"/>
    <w:bookmarkEnd w:id="2"/>
    <w:p w14:paraId="6327AB45" w14:textId="07197A60" w:rsidR="00DD3438" w:rsidRPr="00CA524F" w:rsidRDefault="003C4135" w:rsidP="00C62D6F">
      <w:pPr>
        <w:spacing w:line="480" w:lineRule="auto"/>
        <w:ind w:firstLine="420"/>
        <w:rPr>
          <w:rFonts w:ascii="Times New Roman" w:hAnsi="Times New Roman" w:cs="Times New Roman"/>
          <w:szCs w:val="21"/>
        </w:rPr>
      </w:pPr>
      <w:r w:rsidRPr="00CA524F">
        <w:rPr>
          <w:rFonts w:ascii="Times New Roman" w:hAnsi="Times New Roman" w:cs="Times New Roman"/>
          <w:szCs w:val="21"/>
        </w:rPr>
        <w:t>Previous analysis on SCNA signatures implicated the possible existence of subclonal SCNA in MPR group, we further confirmed the conjecture by</w:t>
      </w:r>
      <w:r w:rsidR="00161E0F" w:rsidRPr="00CA524F">
        <w:rPr>
          <w:rFonts w:ascii="Times New Roman" w:hAnsi="Times New Roman" w:cs="Times New Roman"/>
          <w:szCs w:val="21"/>
        </w:rPr>
        <w:t xml:space="preserve"> selecting the SCNA from non-aneuploid and high purity samples and annotating them with clonality</w:t>
      </w:r>
      <w:r w:rsidRPr="00CA524F">
        <w:rPr>
          <w:rFonts w:ascii="Times New Roman" w:hAnsi="Times New Roman" w:cs="Times New Roman"/>
          <w:szCs w:val="21"/>
        </w:rPr>
        <w:t xml:space="preserve">. With increased percentage of viable tumor cells in the sample, the subclonal SCNA fragment number manifested a decreased trend </w:t>
      </w:r>
      <w:r w:rsidR="00C60DBB" w:rsidRPr="00CA524F">
        <w:rPr>
          <w:rFonts w:ascii="Times New Roman" w:hAnsi="Times New Roman" w:cs="Times New Roman"/>
          <w:szCs w:val="21"/>
        </w:rPr>
        <w:t>in all and SCC subpopulation (Suppl. Fig. 4F-G</w:t>
      </w:r>
      <w:r w:rsidRPr="00CA524F">
        <w:rPr>
          <w:rFonts w:ascii="Times New Roman" w:hAnsi="Times New Roman" w:cs="Times New Roman"/>
          <w:szCs w:val="21"/>
        </w:rPr>
        <w:t xml:space="preserve">). </w:t>
      </w:r>
      <w:r w:rsidR="0058653A" w:rsidRPr="00CA524F">
        <w:rPr>
          <w:rFonts w:ascii="Times New Roman" w:hAnsi="Times New Roman" w:cs="Times New Roman"/>
          <w:szCs w:val="21"/>
        </w:rPr>
        <w:t>Given that HRD essentially leads to the occurrence of recurrent SCNAs</w:t>
      </w:r>
      <w:r w:rsidR="0058653A" w:rsidRPr="00CA524F">
        <w:rPr>
          <w:rFonts w:ascii="Times New Roman" w:hAnsi="Times New Roman" w:cs="Times New Roman"/>
          <w:szCs w:val="21"/>
        </w:rPr>
        <w:fldChar w:fldCharType="begin"/>
      </w:r>
      <w:r w:rsidR="00D77239">
        <w:rPr>
          <w:rFonts w:ascii="Times New Roman" w:hAnsi="Times New Roman" w:cs="Times New Roman"/>
          <w:szCs w:val="21"/>
        </w:rPr>
        <w:instrText xml:space="preserve"> ADDIN ZOTERO_ITEM CSL_CITATION {"citationID":"8Sz5ducV","properties":{"formattedCitation":"\\super 3\\nosupersub{}","plainCitation":"3","noteIndex":0},"citationItems":[{"id":1137,"uris":["http://zotero.org/users/6617482/items/646CZZR2"],"itemData":{"id":1137,"type":"article-journal","abstract":"Deletions and duplications of chromosomal segments (copy-number variations or CNVs) constitute a major source of variation between individual humans, underlying human evolution and many diseases from mental illness and developmental disorders to cancer. CNVs form at rates far outstripping other kinds of mutagenesis, and appear to do so by similar mechanisms in bacteria, yeast, and human. We review models for the mechanisms of formation of CNVs. Whereas non-homologous end-joining mechanisms are well known, recent models focus on perturbation of DNA replication, and replication of non-contiguous DNA segments, including the proposal that repair of broken replication forks switches under stress from high-fidelity homologous recombinational to nonhomologous repair that promotes CNV.","container-title":"Nature reviews. Genetics","DOI":"10.1038/nrg2593","ISSN":"1471-0056","issue":"8","journalAbbreviation":"Nat Rev Genet","note":"PMID: 19597530\nPMCID: PMC2864001","page":"551-564","source":"PubMed Central","title":"Mechanisms of change in gene copy number","volume":"10","author":[{"family":"Hastings","given":"PJ"},{"family":"Lupski","given":"James R"},{"family":"Rosenberg","given":"Susan M"},{"family":"Ira","given":"Grzegorz"}],"issued":{"date-parts":[["2009",8]]}}}],"schema":"https://github.com/citation-style-language/schema/raw/master/csl-citation.json"} </w:instrText>
      </w:r>
      <w:r w:rsidR="0058653A" w:rsidRPr="00CA524F">
        <w:rPr>
          <w:rFonts w:ascii="Times New Roman" w:hAnsi="Times New Roman" w:cs="Times New Roman"/>
          <w:szCs w:val="21"/>
        </w:rPr>
        <w:fldChar w:fldCharType="separate"/>
      </w:r>
      <w:r w:rsidR="00D77239" w:rsidRPr="00D77239">
        <w:rPr>
          <w:rFonts w:ascii="Times New Roman" w:hAnsi="Times New Roman" w:cs="Times New Roman"/>
          <w:kern w:val="0"/>
          <w:szCs w:val="24"/>
          <w:vertAlign w:val="superscript"/>
        </w:rPr>
        <w:t>3</w:t>
      </w:r>
      <w:r w:rsidR="0058653A" w:rsidRPr="00CA524F">
        <w:rPr>
          <w:rFonts w:ascii="Times New Roman" w:hAnsi="Times New Roman" w:cs="Times New Roman"/>
          <w:szCs w:val="21"/>
        </w:rPr>
        <w:fldChar w:fldCharType="end"/>
      </w:r>
      <w:r w:rsidR="0058653A" w:rsidRPr="00CA524F">
        <w:rPr>
          <w:rFonts w:ascii="Times New Roman" w:hAnsi="Times New Roman" w:cs="Times New Roman"/>
          <w:szCs w:val="21"/>
        </w:rPr>
        <w:t>, the clonal HR pathway mutations preponderated in MPR group could possibly be the source of these SCNA ITH.</w:t>
      </w:r>
      <w:r w:rsidR="00C62D6F" w:rsidRPr="00CA524F">
        <w:rPr>
          <w:rFonts w:ascii="Times New Roman" w:hAnsi="Times New Roman" w:cs="Times New Roman" w:hint="eastAsia"/>
          <w:szCs w:val="21"/>
        </w:rPr>
        <w:t xml:space="preserve"> </w:t>
      </w:r>
    </w:p>
    <w:p w14:paraId="03E260D8" w14:textId="77777777" w:rsidR="005C5922" w:rsidRPr="00CA524F" w:rsidRDefault="005C5922" w:rsidP="00B84AAD">
      <w:pPr>
        <w:spacing w:line="480" w:lineRule="auto"/>
        <w:rPr>
          <w:rFonts w:ascii="Times New Roman" w:hAnsi="Times New Roman" w:cs="Times New Roman"/>
          <w:szCs w:val="21"/>
        </w:rPr>
      </w:pPr>
    </w:p>
    <w:p w14:paraId="1EA9EBBA" w14:textId="77777777" w:rsidR="005C380E" w:rsidRPr="00CA524F" w:rsidRDefault="00C62D6F" w:rsidP="00C62D6F">
      <w:pPr>
        <w:spacing w:line="480" w:lineRule="auto"/>
        <w:rPr>
          <w:rFonts w:ascii="Times New Roman" w:hAnsi="Times New Roman" w:cs="Times New Roman"/>
          <w:b/>
          <w:szCs w:val="21"/>
        </w:rPr>
      </w:pPr>
      <w:r w:rsidRPr="00CA524F">
        <w:rPr>
          <w:rFonts w:ascii="Times New Roman" w:hAnsi="Times New Roman" w:cs="Times New Roman" w:hint="eastAsia"/>
          <w:b/>
          <w:szCs w:val="21"/>
        </w:rPr>
        <w:t>R</w:t>
      </w:r>
      <w:r w:rsidRPr="00CA524F">
        <w:rPr>
          <w:rFonts w:ascii="Times New Roman" w:hAnsi="Times New Roman" w:cs="Times New Roman"/>
          <w:b/>
          <w:szCs w:val="21"/>
        </w:rPr>
        <w:t>esult S5: I</w:t>
      </w:r>
      <w:r w:rsidR="005C380E" w:rsidRPr="00CA524F">
        <w:rPr>
          <w:rFonts w:ascii="Times New Roman" w:hAnsi="Times New Roman" w:cs="Times New Roman"/>
          <w:b/>
          <w:szCs w:val="21"/>
        </w:rPr>
        <w:t xml:space="preserve">nvestigation on the neoantigen generation </w:t>
      </w:r>
      <w:r w:rsidR="00225519" w:rsidRPr="00CA524F">
        <w:rPr>
          <w:rFonts w:ascii="Times New Roman" w:hAnsi="Times New Roman" w:cs="Times New Roman"/>
          <w:b/>
          <w:szCs w:val="21"/>
        </w:rPr>
        <w:t>in MPR and Non-MPR groups</w:t>
      </w:r>
    </w:p>
    <w:p w14:paraId="77C50D51" w14:textId="77777777" w:rsidR="00181BC6" w:rsidRPr="00CA524F" w:rsidRDefault="00C33D6F" w:rsidP="00563311">
      <w:pPr>
        <w:spacing w:line="480" w:lineRule="auto"/>
        <w:rPr>
          <w:rFonts w:ascii="Times New Roman" w:hAnsi="Times New Roman" w:cs="Times New Roman"/>
          <w:szCs w:val="21"/>
        </w:rPr>
      </w:pPr>
      <w:r w:rsidRPr="00CA524F">
        <w:rPr>
          <w:rFonts w:ascii="Times New Roman" w:hAnsi="Times New Roman" w:cs="Times New Roman"/>
          <w:szCs w:val="21"/>
        </w:rPr>
        <w:tab/>
      </w:r>
      <w:r w:rsidR="00470BAC" w:rsidRPr="00CA524F">
        <w:rPr>
          <w:rFonts w:ascii="Times New Roman" w:hAnsi="Times New Roman" w:cs="Times New Roman"/>
          <w:szCs w:val="21"/>
        </w:rPr>
        <w:t>Analyses on neoantigens were conducted a</w:t>
      </w:r>
      <w:r w:rsidRPr="00CA524F">
        <w:rPr>
          <w:rFonts w:ascii="Times New Roman" w:hAnsi="Times New Roman" w:cs="Times New Roman"/>
          <w:szCs w:val="21"/>
        </w:rPr>
        <w:t>fter discarding aneuploid or low purity samples</w:t>
      </w:r>
      <w:r w:rsidR="00470BAC" w:rsidRPr="00CA524F">
        <w:rPr>
          <w:rFonts w:ascii="Times New Roman" w:hAnsi="Times New Roman" w:cs="Times New Roman"/>
          <w:szCs w:val="21"/>
        </w:rPr>
        <w:t>.</w:t>
      </w:r>
      <w:r w:rsidR="00FE60F9" w:rsidRPr="00CA524F">
        <w:rPr>
          <w:rFonts w:ascii="Times New Roman" w:hAnsi="Times New Roman" w:cs="Times New Roman" w:hint="eastAsia"/>
          <w:szCs w:val="21"/>
        </w:rPr>
        <w:t xml:space="preserve"> </w:t>
      </w:r>
      <w:r w:rsidR="00FE60F9" w:rsidRPr="00CA524F">
        <w:rPr>
          <w:rFonts w:ascii="Times New Roman" w:hAnsi="Times New Roman" w:cs="Times New Roman"/>
          <w:szCs w:val="21"/>
        </w:rPr>
        <w:t xml:space="preserve">Apart from the total neoantigen amount, </w:t>
      </w:r>
      <w:r w:rsidR="00497AFE" w:rsidRPr="00CA524F">
        <w:rPr>
          <w:rFonts w:ascii="Times New Roman" w:hAnsi="Times New Roman" w:cs="Times New Roman"/>
          <w:szCs w:val="21"/>
        </w:rPr>
        <w:t>TNB values in MPR group was unsurprisingly higher for all patients (Suppl. Fig. 5A) and negatively correlated with percentage of viable tumor cells (Suppl. Fig. 5B). These trends persisted in SCC subpopulation (Suppl. Fig. 5C-D).</w:t>
      </w:r>
      <w:r w:rsidR="00181BC6" w:rsidRPr="00CA524F">
        <w:rPr>
          <w:rFonts w:ascii="Times New Roman" w:hAnsi="Times New Roman" w:cs="Times New Roman"/>
          <w:szCs w:val="21"/>
        </w:rPr>
        <w:t xml:space="preserve"> </w:t>
      </w:r>
      <w:r w:rsidR="00563311" w:rsidRPr="00CA524F">
        <w:rPr>
          <w:rFonts w:ascii="Times New Roman" w:hAnsi="Times New Roman" w:cs="Times New Roman"/>
          <w:szCs w:val="21"/>
        </w:rPr>
        <w:t>M</w:t>
      </w:r>
      <w:r w:rsidR="00563311" w:rsidRPr="00CA524F">
        <w:rPr>
          <w:rFonts w:ascii="Times New Roman" w:hAnsi="Times New Roman" w:cs="Times New Roman" w:hint="eastAsia"/>
          <w:szCs w:val="21"/>
        </w:rPr>
        <w:t>ore</w:t>
      </w:r>
      <w:r w:rsidR="005B7FA1" w:rsidRPr="00CA524F">
        <w:rPr>
          <w:rFonts w:ascii="Times New Roman" w:hAnsi="Times New Roman" w:cs="Times New Roman"/>
          <w:szCs w:val="21"/>
        </w:rPr>
        <w:t>over, the clonal TNB for SCC samples</w:t>
      </w:r>
      <w:r w:rsidR="00563311" w:rsidRPr="00CA524F">
        <w:rPr>
          <w:rFonts w:ascii="Times New Roman" w:hAnsi="Times New Roman" w:cs="Times New Roman"/>
          <w:szCs w:val="21"/>
        </w:rPr>
        <w:t xml:space="preserve"> demonstrated a higher trend in MPR group (Suppl. Fig. 5E) and inversely correlated with percent of viable tumor cells (Suppl. Fig. 5F),</w:t>
      </w:r>
      <w:r w:rsidR="00563311" w:rsidRPr="00CA524F">
        <w:rPr>
          <w:rFonts w:ascii="Times New Roman" w:hAnsi="Times New Roman" w:cs="Times New Roman" w:hint="eastAsia"/>
          <w:szCs w:val="21"/>
        </w:rPr>
        <w:t xml:space="preserve"> </w:t>
      </w:r>
      <w:r w:rsidR="00181BC6" w:rsidRPr="00CA524F">
        <w:rPr>
          <w:rFonts w:ascii="Times New Roman" w:hAnsi="Times New Roman" w:cs="Times New Roman"/>
          <w:szCs w:val="21"/>
        </w:rPr>
        <w:t xml:space="preserve">which </w:t>
      </w:r>
      <w:r w:rsidR="005B7FA1" w:rsidRPr="00CA524F">
        <w:rPr>
          <w:rFonts w:ascii="Times New Roman" w:hAnsi="Times New Roman" w:cs="Times New Roman"/>
          <w:szCs w:val="21"/>
        </w:rPr>
        <w:t xml:space="preserve">could </w:t>
      </w:r>
      <w:r w:rsidR="00181BC6" w:rsidRPr="00CA524F">
        <w:rPr>
          <w:rFonts w:ascii="Times New Roman" w:hAnsi="Times New Roman" w:cs="Times New Roman"/>
          <w:szCs w:val="21"/>
        </w:rPr>
        <w:t xml:space="preserve">possibly </w:t>
      </w:r>
      <w:r w:rsidR="005B7FA1" w:rsidRPr="00CA524F">
        <w:rPr>
          <w:rFonts w:ascii="Times New Roman" w:hAnsi="Times New Roman" w:cs="Times New Roman"/>
          <w:szCs w:val="21"/>
        </w:rPr>
        <w:t>caused</w:t>
      </w:r>
      <w:r w:rsidR="00563311" w:rsidRPr="00CA524F">
        <w:rPr>
          <w:rFonts w:ascii="Times New Roman" w:hAnsi="Times New Roman" w:cs="Times New Roman"/>
          <w:szCs w:val="21"/>
        </w:rPr>
        <w:t xml:space="preserve"> by low mutational level ITH.</w:t>
      </w:r>
    </w:p>
    <w:p w14:paraId="5D9CD8F5" w14:textId="77777777" w:rsidR="00CA61BD" w:rsidRPr="00CA524F" w:rsidRDefault="005B7FA1" w:rsidP="001665D8">
      <w:pPr>
        <w:spacing w:line="480" w:lineRule="auto"/>
        <w:rPr>
          <w:rFonts w:ascii="Times New Roman" w:hAnsi="Times New Roman" w:cs="Times New Roman"/>
          <w:szCs w:val="21"/>
        </w:rPr>
      </w:pPr>
      <w:r w:rsidRPr="00CA524F">
        <w:rPr>
          <w:rFonts w:ascii="Times New Roman" w:hAnsi="Times New Roman" w:cs="Times New Roman"/>
          <w:szCs w:val="21"/>
        </w:rPr>
        <w:tab/>
        <w:t xml:space="preserve">When incorporating the HLA LOH status in neoantigen analysis, </w:t>
      </w:r>
      <w:r w:rsidR="00225519" w:rsidRPr="00CA524F">
        <w:rPr>
          <w:rFonts w:ascii="Times New Roman" w:hAnsi="Times New Roman" w:cs="Times New Roman"/>
          <w:szCs w:val="21"/>
        </w:rPr>
        <w:t>we found higher</w:t>
      </w:r>
      <w:r w:rsidRPr="00CA524F">
        <w:rPr>
          <w:rFonts w:ascii="Times New Roman" w:hAnsi="Times New Roman" w:cs="Times New Roman"/>
          <w:szCs w:val="21"/>
        </w:rPr>
        <w:t xml:space="preserve"> LOH frequency of HLA-A, HLA-B and</w:t>
      </w:r>
      <w:r w:rsidR="00225519" w:rsidRPr="00CA524F">
        <w:rPr>
          <w:rFonts w:ascii="Times New Roman" w:hAnsi="Times New Roman" w:cs="Times New Roman"/>
          <w:szCs w:val="21"/>
        </w:rPr>
        <w:t xml:space="preserve"> HLA-C loci in Non-MPR group </w:t>
      </w:r>
      <w:r w:rsidRPr="00CA524F">
        <w:rPr>
          <w:rFonts w:ascii="Times New Roman" w:hAnsi="Times New Roman" w:cs="Times New Roman"/>
          <w:szCs w:val="21"/>
        </w:rPr>
        <w:t xml:space="preserve">(Suppl. Fig. 5G). </w:t>
      </w:r>
      <w:r w:rsidR="00EF2D84" w:rsidRPr="00CA524F">
        <w:rPr>
          <w:rFonts w:ascii="Times New Roman" w:hAnsi="Times New Roman" w:cs="Times New Roman"/>
          <w:szCs w:val="21"/>
        </w:rPr>
        <w:t>By further retaining neoantigens on kept HLA alleles,</w:t>
      </w:r>
      <w:r w:rsidRPr="00CA524F">
        <w:rPr>
          <w:rFonts w:ascii="Times New Roman" w:hAnsi="Times New Roman" w:cs="Times New Roman"/>
          <w:szCs w:val="21"/>
        </w:rPr>
        <w:t xml:space="preserve"> MPR patients </w:t>
      </w:r>
      <w:r w:rsidR="00225519" w:rsidRPr="00CA524F">
        <w:rPr>
          <w:rFonts w:ascii="Times New Roman" w:hAnsi="Times New Roman" w:cs="Times New Roman"/>
          <w:szCs w:val="21"/>
        </w:rPr>
        <w:t>exhibited</w:t>
      </w:r>
      <w:r w:rsidRPr="00CA524F">
        <w:rPr>
          <w:rFonts w:ascii="Times New Roman" w:hAnsi="Times New Roman" w:cs="Times New Roman"/>
          <w:szCs w:val="21"/>
        </w:rPr>
        <w:t xml:space="preserve"> higher neoantigen load (Suppl. Fig. 5H). Again, the amount of the kept neoantigens decreased with percentage of viable tumor cells (Suppl. Fig. 5I) and such tendency persevered in SCC patients (Suppl. Fig. 5J-K). As for low-ITH neoantigens on kept HLA alleles, differences between MPR and Non-MPR group exacerbated in all patients (Suppl. Fig. 5L) or SCC population (Suppl. Fig. 5N). Analogous correlation trend between kept clonal TNB and quantified therapeutic response was also observed (Suppl. Fig. 5M, O)</w:t>
      </w:r>
      <w:r w:rsidR="00D217D7" w:rsidRPr="00CA524F">
        <w:rPr>
          <w:rFonts w:ascii="Times New Roman" w:hAnsi="Times New Roman" w:cs="Times New Roman"/>
          <w:szCs w:val="21"/>
        </w:rPr>
        <w:t xml:space="preserve">. Astoundingly, the HLA-retained clonal neoantigens were mostly resided in the regions with somatic copy number alternations in MPR group (Suppl. Fig. 6A) and these CNV-related neoantigen was associated with percent of variable tumor cells (Suppl. Fig. 6B). The 9 SCC patients also demonstrated a similar trend (Suppl. Fig. 6C-D). When taking the alternation type into account, the clonal neoantigens on kept HLA alleles were predominantly resided in the amplified segments </w:t>
      </w:r>
      <w:r w:rsidR="00D217D7" w:rsidRPr="00CA524F">
        <w:rPr>
          <w:rFonts w:ascii="Times New Roman" w:hAnsi="Times New Roman" w:cs="Times New Roman"/>
          <w:szCs w:val="21"/>
        </w:rPr>
        <w:lastRenderedPageBreak/>
        <w:t xml:space="preserve">(amplification type SCNA) for MPR patients (Suppl. Fig. 6E), denoting an inner association between clonal TNB and copy number amplification on our samples. The kept clonal neoantigen number on amplified segments demonstrated akin negative correlations with percentage of viable cells regardless of histological subtype (Suppl. Fig. 6F-G). Notably, the only MPR sample without HR gene mutations possessed the highest number of clonal neoantigen (n=110) but they scarcely resided in SCNA segments (Suppl. Fig. 6E), </w:t>
      </w:r>
      <w:r w:rsidR="001665D8" w:rsidRPr="00CA524F">
        <w:rPr>
          <w:rFonts w:ascii="Times New Roman" w:hAnsi="Times New Roman" w:cs="Times New Roman"/>
          <w:szCs w:val="21"/>
        </w:rPr>
        <w:t>raising</w:t>
      </w:r>
      <w:r w:rsidR="00D217D7" w:rsidRPr="00CA524F">
        <w:rPr>
          <w:rFonts w:ascii="Times New Roman" w:hAnsi="Times New Roman" w:cs="Times New Roman"/>
          <w:szCs w:val="21"/>
        </w:rPr>
        <w:t xml:space="preserve"> the hypothesis that mutations in HR genes</w:t>
      </w:r>
      <w:r w:rsidR="001665D8" w:rsidRPr="00CA524F">
        <w:rPr>
          <w:rFonts w:ascii="Times New Roman" w:hAnsi="Times New Roman" w:cs="Times New Roman"/>
          <w:szCs w:val="21"/>
        </w:rPr>
        <w:t xml:space="preserve"> could</w:t>
      </w:r>
      <w:r w:rsidR="00D217D7" w:rsidRPr="00CA524F">
        <w:rPr>
          <w:rFonts w:ascii="Times New Roman" w:hAnsi="Times New Roman" w:cs="Times New Roman"/>
          <w:szCs w:val="21"/>
        </w:rPr>
        <w:t xml:space="preserve"> lead to the increased SCNA</w:t>
      </w:r>
      <w:r w:rsidR="001665D8" w:rsidRPr="00CA524F">
        <w:rPr>
          <w:rFonts w:ascii="Times New Roman" w:hAnsi="Times New Roman" w:cs="Times New Roman"/>
          <w:szCs w:val="21"/>
        </w:rPr>
        <w:t xml:space="preserve">-level </w:t>
      </w:r>
      <w:r w:rsidR="00D217D7" w:rsidRPr="00CA524F">
        <w:rPr>
          <w:rFonts w:ascii="Times New Roman" w:hAnsi="Times New Roman" w:cs="Times New Roman"/>
          <w:szCs w:val="21"/>
        </w:rPr>
        <w:t>ITH and LOH of HLA, and eventually orchestrate to compensate the amount of clonal antigen burden in patients.</w:t>
      </w:r>
      <w:r w:rsidR="001665D8" w:rsidRPr="00CA524F">
        <w:rPr>
          <w:rFonts w:ascii="Times New Roman" w:hAnsi="Times New Roman" w:cs="Times New Roman"/>
          <w:szCs w:val="21"/>
        </w:rPr>
        <w:t xml:space="preserve"> Indeed, strong</w:t>
      </w:r>
      <w:r w:rsidR="00CA61BD" w:rsidRPr="00CA524F">
        <w:rPr>
          <w:rFonts w:ascii="Times New Roman" w:hAnsi="Times New Roman" w:cs="Times New Roman"/>
          <w:szCs w:val="21"/>
        </w:rPr>
        <w:t xml:space="preserve"> association between HRD event or HR pathway gene alternation and key determinants of neoadjuvant immunotherapy outcome </w:t>
      </w:r>
      <w:r w:rsidR="001665D8" w:rsidRPr="00CA524F">
        <w:rPr>
          <w:rFonts w:ascii="Times New Roman" w:hAnsi="Times New Roman" w:cs="Times New Roman"/>
          <w:szCs w:val="21"/>
        </w:rPr>
        <w:t xml:space="preserve">existed </w:t>
      </w:r>
      <w:r w:rsidR="00CA61BD" w:rsidRPr="00CA524F">
        <w:rPr>
          <w:rFonts w:ascii="Times New Roman" w:hAnsi="Times New Roman" w:cs="Times New Roman"/>
          <w:szCs w:val="21"/>
        </w:rPr>
        <w:t>in all 11 non-aneuploid and high purity samples</w:t>
      </w:r>
      <w:r w:rsidR="001665D8" w:rsidRPr="00CA524F">
        <w:rPr>
          <w:rFonts w:ascii="Times New Roman" w:hAnsi="Times New Roman" w:cs="Times New Roman"/>
          <w:szCs w:val="21"/>
        </w:rPr>
        <w:t xml:space="preserve"> (Suppl. Fig. 6H</w:t>
      </w:r>
      <w:r w:rsidR="00CA61BD" w:rsidRPr="00CA524F">
        <w:rPr>
          <w:rFonts w:ascii="Times New Roman" w:hAnsi="Times New Roman" w:cs="Times New Roman"/>
          <w:szCs w:val="21"/>
        </w:rPr>
        <w:t xml:space="preserve">). Moreover, HRD event correlated well with clonal neoantigen generation and CNV-related clonal neoantigens in MPR samples (Suppl. Fig. </w:t>
      </w:r>
      <w:r w:rsidR="001665D8" w:rsidRPr="00CA524F">
        <w:rPr>
          <w:rFonts w:ascii="Times New Roman" w:hAnsi="Times New Roman" w:cs="Times New Roman"/>
          <w:szCs w:val="21"/>
        </w:rPr>
        <w:t>6I</w:t>
      </w:r>
      <w:r w:rsidR="00CA61BD" w:rsidRPr="00CA524F">
        <w:rPr>
          <w:rFonts w:ascii="Times New Roman" w:hAnsi="Times New Roman" w:cs="Times New Roman"/>
          <w:szCs w:val="21"/>
        </w:rPr>
        <w:t xml:space="preserve">) and such correlations alleviated in Non-MPR patients (Suppl. Fig. </w:t>
      </w:r>
      <w:r w:rsidR="001665D8" w:rsidRPr="00CA524F">
        <w:rPr>
          <w:rFonts w:ascii="Times New Roman" w:hAnsi="Times New Roman" w:cs="Times New Roman"/>
          <w:szCs w:val="21"/>
        </w:rPr>
        <w:t>6J</w:t>
      </w:r>
      <w:r w:rsidR="00CA61BD" w:rsidRPr="00CA524F">
        <w:rPr>
          <w:rFonts w:ascii="Times New Roman" w:hAnsi="Times New Roman" w:cs="Times New Roman"/>
          <w:szCs w:val="21"/>
        </w:rPr>
        <w:t>).</w:t>
      </w:r>
    </w:p>
    <w:p w14:paraId="653C04A5" w14:textId="77777777" w:rsidR="00CA61BD" w:rsidRPr="00CA524F" w:rsidRDefault="00CA61BD" w:rsidP="00B84AAD">
      <w:pPr>
        <w:spacing w:line="480" w:lineRule="auto"/>
        <w:rPr>
          <w:rFonts w:ascii="Times New Roman" w:hAnsi="Times New Roman" w:cs="Times New Roman"/>
          <w:szCs w:val="21"/>
        </w:rPr>
      </w:pPr>
    </w:p>
    <w:p w14:paraId="4A8B1F62" w14:textId="77777777" w:rsidR="00181BC6" w:rsidRPr="00CA524F" w:rsidRDefault="00564376" w:rsidP="00B84AAD">
      <w:pPr>
        <w:spacing w:line="480" w:lineRule="auto"/>
        <w:rPr>
          <w:rFonts w:ascii="Times New Roman" w:hAnsi="Times New Roman" w:cs="Times New Roman"/>
          <w:b/>
          <w:szCs w:val="21"/>
        </w:rPr>
      </w:pPr>
      <w:r w:rsidRPr="00CA524F">
        <w:rPr>
          <w:rFonts w:ascii="Times New Roman" w:hAnsi="Times New Roman" w:cs="Times New Roman" w:hint="eastAsia"/>
          <w:b/>
          <w:szCs w:val="21"/>
        </w:rPr>
        <w:t>R</w:t>
      </w:r>
      <w:r w:rsidRPr="00CA524F">
        <w:rPr>
          <w:rFonts w:ascii="Times New Roman" w:hAnsi="Times New Roman" w:cs="Times New Roman"/>
          <w:b/>
          <w:szCs w:val="21"/>
        </w:rPr>
        <w:t>esult S6: Multi-cohort validation confirmed the feasibility of HRD mutational testing in immunotherapy patient stratification</w:t>
      </w:r>
    </w:p>
    <w:p w14:paraId="563FCC97" w14:textId="1BDEAC09" w:rsidR="00757C60" w:rsidRPr="00CA524F" w:rsidRDefault="00757C60" w:rsidP="003D046A">
      <w:pPr>
        <w:spacing w:line="480" w:lineRule="auto"/>
        <w:ind w:firstLine="420"/>
        <w:rPr>
          <w:rFonts w:ascii="Times New Roman" w:hAnsi="Times New Roman" w:cs="Times New Roman"/>
          <w:szCs w:val="21"/>
        </w:rPr>
      </w:pPr>
      <w:r w:rsidRPr="00CA524F">
        <w:rPr>
          <w:rFonts w:ascii="Times New Roman" w:hAnsi="Times New Roman" w:cs="Times New Roman"/>
          <w:szCs w:val="21"/>
        </w:rPr>
        <w:t>Multiple public NSCLC therapeutic cohorts were selected to validate the power of HR pathway gene in patient stratification. More detailedly, data from two neo</w:t>
      </w:r>
      <w:r w:rsidR="00D55DF7" w:rsidRPr="00CA524F">
        <w:rPr>
          <w:rFonts w:ascii="Times New Roman" w:hAnsi="Times New Roman" w:cs="Times New Roman"/>
          <w:szCs w:val="21"/>
        </w:rPr>
        <w:t>adjuvant immunotherapy cohorts, two</w:t>
      </w:r>
      <w:r w:rsidR="007A6B93" w:rsidRPr="00CA524F">
        <w:rPr>
          <w:rFonts w:ascii="Times New Roman" w:hAnsi="Times New Roman" w:cs="Times New Roman"/>
          <w:szCs w:val="21"/>
        </w:rPr>
        <w:t xml:space="preserve"> immunotherapy cohort</w:t>
      </w:r>
      <w:r w:rsidR="00D55DF7" w:rsidRPr="00CA524F">
        <w:rPr>
          <w:rFonts w:ascii="Times New Roman" w:hAnsi="Times New Roman" w:cs="Times New Roman"/>
          <w:szCs w:val="21"/>
        </w:rPr>
        <w:t xml:space="preserve">s </w:t>
      </w:r>
      <w:r w:rsidRPr="00CA524F">
        <w:rPr>
          <w:rFonts w:ascii="Times New Roman" w:hAnsi="Times New Roman" w:cs="Times New Roman"/>
          <w:szCs w:val="21"/>
        </w:rPr>
        <w:t xml:space="preserve">and two cohorts containing patients received distinct therapy types were curated (details in Additional File </w:t>
      </w:r>
      <w:r w:rsidR="007A6B93" w:rsidRPr="00CA524F">
        <w:rPr>
          <w:rFonts w:ascii="Times New Roman" w:hAnsi="Times New Roman" w:cs="Times New Roman"/>
          <w:szCs w:val="21"/>
        </w:rPr>
        <w:t>4: Supplementary Materials and methods</w:t>
      </w:r>
      <w:r w:rsidRPr="00CA524F">
        <w:rPr>
          <w:rFonts w:ascii="Times New Roman" w:hAnsi="Times New Roman" w:cs="Times New Roman"/>
          <w:szCs w:val="21"/>
        </w:rPr>
        <w:t>). As shown in Supplementary Table 2</w:t>
      </w:r>
      <w:r w:rsidR="007A6B93" w:rsidRPr="00CA524F">
        <w:rPr>
          <w:rFonts w:ascii="Times New Roman" w:hAnsi="Times New Roman" w:cs="Times New Roman"/>
          <w:szCs w:val="21"/>
        </w:rPr>
        <w:t xml:space="preserve"> (Additional File 1)</w:t>
      </w:r>
      <w:r w:rsidRPr="00CA524F">
        <w:rPr>
          <w:rFonts w:ascii="Times New Roman" w:hAnsi="Times New Roman" w:cs="Times New Roman"/>
          <w:szCs w:val="21"/>
        </w:rPr>
        <w:t xml:space="preserve">, the selected datasets variated in therapeutic regimens </w:t>
      </w:r>
      <w:r w:rsidRPr="00CA524F">
        <w:rPr>
          <w:rFonts w:ascii="Times New Roman" w:hAnsi="Times New Roman" w:cs="Times New Roman" w:hint="eastAsia"/>
          <w:szCs w:val="21"/>
        </w:rPr>
        <w:t>and</w:t>
      </w:r>
      <w:r w:rsidRPr="00CA524F">
        <w:rPr>
          <w:rFonts w:ascii="Times New Roman" w:hAnsi="Times New Roman" w:cs="Times New Roman"/>
          <w:szCs w:val="21"/>
        </w:rPr>
        <w:t xml:space="preserve"> treatment design. To begin with, we firstly scrutinized the alternation frequency of HR pathway genes in distinctly-responded patients from different public cohorts. For J Immunother Cancer. 2020 </w:t>
      </w:r>
      <w:r w:rsidRPr="00CA524F">
        <w:rPr>
          <w:rFonts w:ascii="Times New Roman" w:hAnsi="Times New Roman" w:cs="Times New Roman"/>
          <w:szCs w:val="21"/>
        </w:rPr>
        <w:lastRenderedPageBreak/>
        <w:t>dataset from the two neoadjuvant studies, all patient</w:t>
      </w:r>
      <w:r w:rsidR="00B821ED" w:rsidRPr="00CA524F">
        <w:rPr>
          <w:rFonts w:ascii="Times New Roman" w:hAnsi="Times New Roman" w:cs="Times New Roman"/>
          <w:szCs w:val="21"/>
        </w:rPr>
        <w:t>s</w:t>
      </w:r>
      <w:r w:rsidRPr="00CA524F">
        <w:rPr>
          <w:rFonts w:ascii="Times New Roman" w:hAnsi="Times New Roman" w:cs="Times New Roman"/>
          <w:szCs w:val="21"/>
        </w:rPr>
        <w:t xml:space="preserve"> (100%) achieved pCR had HR pathway gene mutation (</w:t>
      </w:r>
      <w:r w:rsidR="007A6B93" w:rsidRPr="00CA524F">
        <w:rPr>
          <w:rFonts w:ascii="Times New Roman" w:hAnsi="Times New Roman" w:cs="Times New Roman"/>
          <w:szCs w:val="21"/>
        </w:rPr>
        <w:t>Suppl. Fig. 7</w:t>
      </w:r>
      <w:r w:rsidRPr="00CA524F">
        <w:rPr>
          <w:rFonts w:ascii="Times New Roman" w:hAnsi="Times New Roman" w:cs="Times New Roman"/>
          <w:szCs w:val="21"/>
        </w:rPr>
        <w:t>A, left) while the HR gene mutation was sporadic in other patients (</w:t>
      </w:r>
      <w:r w:rsidR="007A6B93" w:rsidRPr="00CA524F">
        <w:rPr>
          <w:rFonts w:ascii="Times New Roman" w:hAnsi="Times New Roman" w:cs="Times New Roman"/>
          <w:szCs w:val="21"/>
        </w:rPr>
        <w:t>Suppl. Fig. 7</w:t>
      </w:r>
      <w:r w:rsidRPr="00CA524F">
        <w:rPr>
          <w:rFonts w:ascii="Times New Roman" w:hAnsi="Times New Roman" w:cs="Times New Roman"/>
          <w:szCs w:val="21"/>
        </w:rPr>
        <w:t>A, middle, 28.5% patients). When inspecting HR gene mutation clonality, pCR patients possessed mutations with higher percentage of distinct mutant reads (</w:t>
      </w:r>
      <w:r w:rsidR="007A6B93" w:rsidRPr="00CA524F">
        <w:rPr>
          <w:rFonts w:ascii="Times New Roman" w:hAnsi="Times New Roman" w:cs="Times New Roman"/>
          <w:szCs w:val="21"/>
        </w:rPr>
        <w:t>Suppl. Fig. 7</w:t>
      </w:r>
      <w:r w:rsidRPr="00CA524F">
        <w:rPr>
          <w:rFonts w:ascii="Times New Roman" w:hAnsi="Times New Roman" w:cs="Times New Roman"/>
          <w:szCs w:val="21"/>
        </w:rPr>
        <w:t>A, right), indicating the lower HR gene mutational ITH in better-responded subgroup. Similar high prevalence of HR gene mutations in MPR patients (</w:t>
      </w:r>
      <w:r w:rsidR="007A6B93" w:rsidRPr="00CA524F">
        <w:rPr>
          <w:rFonts w:ascii="Times New Roman" w:hAnsi="Times New Roman" w:cs="Times New Roman"/>
          <w:szCs w:val="21"/>
        </w:rPr>
        <w:t>Suppl. Fig. 7</w:t>
      </w:r>
      <w:r w:rsidRPr="00CA524F">
        <w:rPr>
          <w:rFonts w:ascii="Times New Roman" w:hAnsi="Times New Roman" w:cs="Times New Roman"/>
          <w:szCs w:val="21"/>
        </w:rPr>
        <w:t>B, left, 66.7% patients), the HR gene mutational disperse in Non-MPR group (</w:t>
      </w:r>
      <w:r w:rsidR="007A6B93" w:rsidRPr="00CA524F">
        <w:rPr>
          <w:rFonts w:ascii="Times New Roman" w:hAnsi="Times New Roman" w:cs="Times New Roman"/>
          <w:szCs w:val="21"/>
        </w:rPr>
        <w:t>Suppl. Fig. 7</w:t>
      </w:r>
      <w:r w:rsidRPr="00CA524F">
        <w:rPr>
          <w:rFonts w:ascii="Times New Roman" w:hAnsi="Times New Roman" w:cs="Times New Roman"/>
          <w:szCs w:val="21"/>
        </w:rPr>
        <w:t>B, middle, 25% patients) as well as lower HR gene-related ITH (</w:t>
      </w:r>
      <w:r w:rsidR="007A6B93" w:rsidRPr="00CA524F">
        <w:rPr>
          <w:rFonts w:ascii="Times New Roman" w:hAnsi="Times New Roman" w:cs="Times New Roman"/>
          <w:szCs w:val="21"/>
        </w:rPr>
        <w:t>Suppl. Fig. 7</w:t>
      </w:r>
      <w:r w:rsidRPr="00CA524F">
        <w:rPr>
          <w:rFonts w:ascii="Times New Roman" w:hAnsi="Times New Roman" w:cs="Times New Roman"/>
          <w:szCs w:val="21"/>
        </w:rPr>
        <w:t xml:space="preserve">B, right) were observed in N Engl J Med. 2018 neoadjuvant dataset. As for the immunotherapy datasets, </w:t>
      </w:r>
      <w:r w:rsidR="007A6B93" w:rsidRPr="00CA524F">
        <w:rPr>
          <w:rFonts w:ascii="Times New Roman" w:hAnsi="Times New Roman" w:cs="Times New Roman"/>
          <w:szCs w:val="21"/>
        </w:rPr>
        <w:t>a</w:t>
      </w:r>
      <w:r w:rsidRPr="00CA524F">
        <w:rPr>
          <w:rFonts w:ascii="Times New Roman" w:hAnsi="Times New Roman" w:cs="Times New Roman"/>
          <w:szCs w:val="21"/>
        </w:rPr>
        <w:t>fter addedly considering mutational ITH by annotating mutations with somatic clonal probability&gt;=0.8 as clonal, DCB patients from Nat Genet. 2018 cohort significantly carried more clonal HR gene mutations (P-value=0.045, Fisher’s exact test) and clonal HR core pathway gene mutations (P-value=0.08, Fisher’s exact test) than other patients (</w:t>
      </w:r>
      <w:r w:rsidR="007A6B93" w:rsidRPr="00CA524F">
        <w:rPr>
          <w:rFonts w:ascii="Times New Roman" w:hAnsi="Times New Roman" w:cs="Times New Roman"/>
          <w:szCs w:val="21"/>
        </w:rPr>
        <w:t>Suppl. Fig. 7C-D</w:t>
      </w:r>
      <w:r w:rsidRPr="00CA524F">
        <w:rPr>
          <w:rFonts w:ascii="Times New Roman" w:hAnsi="Times New Roman" w:cs="Times New Roman"/>
          <w:szCs w:val="21"/>
        </w:rPr>
        <w:t>). Interestingly, such discrepancy was not observed in targeted sequencing immunotherapy dataset J Clin Oncol. 2018 (</w:t>
      </w:r>
      <w:r w:rsidR="007A6B93" w:rsidRPr="00CA524F">
        <w:rPr>
          <w:rFonts w:ascii="Times New Roman" w:hAnsi="Times New Roman" w:cs="Times New Roman"/>
          <w:szCs w:val="21"/>
        </w:rPr>
        <w:t>Suppl. Fig. 7E-F</w:t>
      </w:r>
      <w:r w:rsidRPr="00CA524F">
        <w:rPr>
          <w:rFonts w:ascii="Times New Roman" w:hAnsi="Times New Roman" w:cs="Times New Roman"/>
          <w:szCs w:val="21"/>
        </w:rPr>
        <w:t xml:space="preserve">), denoting the prominence of panel design in targeted sequencing when using HR pathway genes’ mutational status as immunotherapy biomarkers. In addition, for </w:t>
      </w:r>
      <w:r w:rsidR="00B06334" w:rsidRPr="00CA524F">
        <w:rPr>
          <w:rFonts w:ascii="Times New Roman" w:hAnsi="Times New Roman" w:cs="Times New Roman"/>
          <w:szCs w:val="21"/>
        </w:rPr>
        <w:t>patients</w:t>
      </w:r>
      <w:r w:rsidRPr="00CA524F">
        <w:rPr>
          <w:rFonts w:ascii="Times New Roman" w:hAnsi="Times New Roman" w:cs="Times New Roman"/>
          <w:szCs w:val="21"/>
        </w:rPr>
        <w:t xml:space="preserve"> from </w:t>
      </w:r>
      <w:r w:rsidR="00B06334" w:rsidRPr="00CA524F">
        <w:rPr>
          <w:rFonts w:ascii="Times New Roman" w:hAnsi="Times New Roman" w:cs="Times New Roman"/>
          <w:szCs w:val="21"/>
        </w:rPr>
        <w:t>Cancer Discov. 2017</w:t>
      </w:r>
      <w:r w:rsidR="00050899" w:rsidRPr="00CA524F">
        <w:rPr>
          <w:rFonts w:ascii="Times New Roman" w:hAnsi="Times New Roman" w:cs="Times New Roman"/>
          <w:szCs w:val="21"/>
        </w:rPr>
        <w:t xml:space="preserve">, </w:t>
      </w:r>
      <w:r w:rsidRPr="00CA524F">
        <w:rPr>
          <w:rFonts w:ascii="Times New Roman" w:hAnsi="Times New Roman" w:cs="Times New Roman"/>
          <w:szCs w:val="21"/>
        </w:rPr>
        <w:t xml:space="preserve">no obvious proportional difference on mutated HR genes was observed between </w:t>
      </w:r>
      <w:r w:rsidR="003D046A" w:rsidRPr="00CA524F">
        <w:rPr>
          <w:rFonts w:ascii="Times New Roman" w:hAnsi="Times New Roman" w:cs="Times New Roman"/>
          <w:szCs w:val="21"/>
        </w:rPr>
        <w:t>patients with distinct response to chemotherapy</w:t>
      </w:r>
      <w:r w:rsidR="00AD27FF" w:rsidRPr="00CA524F">
        <w:rPr>
          <w:rFonts w:ascii="Times New Roman" w:hAnsi="Times New Roman" w:cs="Times New Roman"/>
          <w:szCs w:val="21"/>
        </w:rPr>
        <w:t xml:space="preserve"> (</w:t>
      </w:r>
      <w:r w:rsidR="003D046A" w:rsidRPr="00CA524F">
        <w:rPr>
          <w:rFonts w:ascii="Times New Roman" w:hAnsi="Times New Roman" w:cs="Times New Roman"/>
          <w:szCs w:val="21"/>
        </w:rPr>
        <w:t>Suppl. Fig. 7</w:t>
      </w:r>
      <w:r w:rsidR="00AD27FF" w:rsidRPr="00CA524F">
        <w:rPr>
          <w:rFonts w:ascii="Times New Roman" w:hAnsi="Times New Roman" w:cs="Times New Roman"/>
          <w:szCs w:val="21"/>
        </w:rPr>
        <w:t>G-H</w:t>
      </w:r>
      <w:r w:rsidRPr="00CA524F">
        <w:rPr>
          <w:rFonts w:ascii="Times New Roman" w:hAnsi="Times New Roman" w:cs="Times New Roman"/>
          <w:szCs w:val="21"/>
        </w:rPr>
        <w:t>), denoting the vague connection between HR gene mutation and chemotherapy response</w:t>
      </w:r>
      <w:r w:rsidR="00A64117" w:rsidRPr="00CA524F">
        <w:rPr>
          <w:rFonts w:ascii="Times New Roman" w:hAnsi="Times New Roman" w:cs="Times New Roman"/>
          <w:szCs w:val="21"/>
        </w:rPr>
        <w:t xml:space="preserve"> in NSCLC</w:t>
      </w:r>
      <w:r w:rsidR="00AD27FF" w:rsidRPr="00CA524F">
        <w:rPr>
          <w:rFonts w:ascii="Times New Roman" w:hAnsi="Times New Roman" w:cs="Times New Roman"/>
          <w:szCs w:val="21"/>
        </w:rPr>
        <w:t>.</w:t>
      </w:r>
      <w:r w:rsidR="003D046A" w:rsidRPr="00CA524F">
        <w:rPr>
          <w:rFonts w:ascii="Times New Roman" w:hAnsi="Times New Roman" w:cs="Times New Roman"/>
          <w:szCs w:val="21"/>
        </w:rPr>
        <w:t xml:space="preserve"> The </w:t>
      </w:r>
      <w:r w:rsidRPr="00CA524F">
        <w:rPr>
          <w:rFonts w:ascii="Times New Roman" w:hAnsi="Times New Roman" w:cs="Times New Roman"/>
          <w:szCs w:val="21"/>
        </w:rPr>
        <w:t xml:space="preserve">focal SCNA frequency of HR pathway genes among these patients exhibited an analogous trend </w:t>
      </w:r>
      <w:r w:rsidR="00344BEF" w:rsidRPr="00CA524F">
        <w:rPr>
          <w:rFonts w:ascii="Times New Roman" w:hAnsi="Times New Roman" w:cs="Times New Roman"/>
          <w:szCs w:val="21"/>
        </w:rPr>
        <w:t>(</w:t>
      </w:r>
      <w:r w:rsidR="003D046A" w:rsidRPr="00CA524F">
        <w:rPr>
          <w:rFonts w:ascii="Times New Roman" w:hAnsi="Times New Roman" w:cs="Times New Roman"/>
          <w:szCs w:val="21"/>
        </w:rPr>
        <w:t>Suppl. Fig. 7</w:t>
      </w:r>
      <w:r w:rsidR="00344BEF" w:rsidRPr="00CA524F">
        <w:rPr>
          <w:rFonts w:ascii="Times New Roman" w:hAnsi="Times New Roman" w:cs="Times New Roman"/>
          <w:szCs w:val="21"/>
        </w:rPr>
        <w:t>I-J</w:t>
      </w:r>
      <w:r w:rsidRPr="00CA524F">
        <w:rPr>
          <w:rFonts w:ascii="Times New Roman" w:hAnsi="Times New Roman" w:cs="Times New Roman"/>
          <w:szCs w:val="21"/>
        </w:rPr>
        <w:t xml:space="preserve">). Lastly, for the blood-based targeted sequencing dataset Nat Med. 2018, patients achieved </w:t>
      </w:r>
      <w:bookmarkStart w:id="3" w:name="_Hlk97329158"/>
      <w:r w:rsidRPr="00CA524F">
        <w:rPr>
          <w:rFonts w:ascii="Times New Roman" w:hAnsi="Times New Roman" w:cs="Times New Roman"/>
          <w:szCs w:val="21"/>
        </w:rPr>
        <w:t>complete response (CR) or partial response (PR)</w:t>
      </w:r>
      <w:bookmarkEnd w:id="3"/>
      <w:r w:rsidRPr="00CA524F">
        <w:rPr>
          <w:rFonts w:ascii="Times New Roman" w:hAnsi="Times New Roman" w:cs="Times New Roman"/>
          <w:szCs w:val="21"/>
        </w:rPr>
        <w:t xml:space="preserve"> in chemotherapy and other chemo-treated patients showed similar HR gene mutation frequency (</w:t>
      </w:r>
      <w:r w:rsidR="00B821ED" w:rsidRPr="00CA524F">
        <w:rPr>
          <w:rFonts w:ascii="Times New Roman" w:hAnsi="Times New Roman" w:cs="Times New Roman"/>
          <w:szCs w:val="21"/>
        </w:rPr>
        <w:t>Suppl. Fig. 7K</w:t>
      </w:r>
      <w:r w:rsidRPr="00CA524F">
        <w:rPr>
          <w:rFonts w:ascii="Times New Roman" w:hAnsi="Times New Roman" w:cs="Times New Roman"/>
          <w:szCs w:val="21"/>
        </w:rPr>
        <w:t>-</w:t>
      </w:r>
      <w:r w:rsidR="00B821ED" w:rsidRPr="00CA524F">
        <w:rPr>
          <w:rFonts w:ascii="Times New Roman" w:hAnsi="Times New Roman" w:cs="Times New Roman"/>
          <w:szCs w:val="21"/>
        </w:rPr>
        <w:t>L</w:t>
      </w:r>
      <w:r w:rsidRPr="00CA524F">
        <w:rPr>
          <w:rFonts w:ascii="Times New Roman" w:hAnsi="Times New Roman" w:cs="Times New Roman"/>
          <w:szCs w:val="21"/>
        </w:rPr>
        <w:t xml:space="preserve">). When </w:t>
      </w:r>
      <w:r w:rsidRPr="00CA524F">
        <w:rPr>
          <w:rFonts w:ascii="Times New Roman" w:hAnsi="Times New Roman" w:cs="Times New Roman"/>
          <w:szCs w:val="21"/>
        </w:rPr>
        <w:lastRenderedPageBreak/>
        <w:t>inspecting patients received immunotherapy, HR gene mutational prevalence increased slightly in CR+PR (CR and PR) patients (</w:t>
      </w:r>
      <w:r w:rsidR="003D046A" w:rsidRPr="00CA524F">
        <w:rPr>
          <w:rFonts w:ascii="Times New Roman" w:hAnsi="Times New Roman" w:cs="Times New Roman"/>
          <w:szCs w:val="21"/>
        </w:rPr>
        <w:t>Suppl. Fig. 7M-N</w:t>
      </w:r>
      <w:r w:rsidRPr="00CA524F">
        <w:rPr>
          <w:rFonts w:ascii="Times New Roman" w:hAnsi="Times New Roman" w:cs="Times New Roman"/>
          <w:szCs w:val="21"/>
        </w:rPr>
        <w:t xml:space="preserve">). In conclusion, multi-cohort validation confirmed the increased HR pathway gene mutational frequency in patients better-responded to immunotherapy while HR genes demonstrated negligible connection with therapeutic outcomes in chemo-treated </w:t>
      </w:r>
      <w:r w:rsidR="003D046A" w:rsidRPr="00CA524F">
        <w:rPr>
          <w:rFonts w:ascii="Times New Roman" w:hAnsi="Times New Roman" w:cs="Times New Roman"/>
          <w:szCs w:val="21"/>
        </w:rPr>
        <w:t>NSCLC</w:t>
      </w:r>
      <w:r w:rsidRPr="00CA524F">
        <w:rPr>
          <w:rFonts w:ascii="Times New Roman" w:hAnsi="Times New Roman" w:cs="Times New Roman"/>
          <w:szCs w:val="21"/>
        </w:rPr>
        <w:t xml:space="preserve"> patients. When applying HR pathway gene alternations as immunotherapy biomarkers in targeted sequencing, extra attention should be given to panel design.</w:t>
      </w:r>
    </w:p>
    <w:p w14:paraId="68989C76" w14:textId="4FCC6FBD" w:rsidR="003D046A" w:rsidRPr="00CA524F" w:rsidRDefault="003D046A" w:rsidP="00C7156C">
      <w:pPr>
        <w:spacing w:line="480" w:lineRule="auto"/>
        <w:ind w:firstLine="420"/>
        <w:rPr>
          <w:rFonts w:ascii="Times New Roman" w:hAnsi="Times New Roman" w:cs="Times New Roman"/>
          <w:szCs w:val="21"/>
        </w:rPr>
      </w:pPr>
      <w:r w:rsidRPr="00CA524F">
        <w:rPr>
          <w:rFonts w:ascii="Times New Roman" w:hAnsi="Times New Roman" w:cs="Times New Roman"/>
          <w:szCs w:val="21"/>
        </w:rPr>
        <w:t>Additionally, regarding the availability of data, comparisons on genomic characteristics were further conducted between patients stratified by therapeutic response and HR pathway gene conditions. More specifically, two immunotherapy datasets including Nat Genet. 2018, J Clin Oncol. 2018 and Nat Med. 2018 cohort containing chemo/immuno-treated subgroups were selec</w:t>
      </w:r>
      <w:r w:rsidR="005D6F7B" w:rsidRPr="00CA524F">
        <w:rPr>
          <w:rFonts w:ascii="Times New Roman" w:hAnsi="Times New Roman" w:cs="Times New Roman"/>
          <w:szCs w:val="21"/>
        </w:rPr>
        <w:t xml:space="preserve">ted for comparisons on TMB </w:t>
      </w:r>
      <w:r w:rsidRPr="00CA524F">
        <w:rPr>
          <w:rFonts w:ascii="Times New Roman" w:hAnsi="Times New Roman" w:cs="Times New Roman"/>
          <w:szCs w:val="21"/>
        </w:rPr>
        <w:t xml:space="preserve">and patient survival. To begin with, </w:t>
      </w:r>
      <w:r w:rsidR="00C7156C" w:rsidRPr="00CA524F">
        <w:rPr>
          <w:rFonts w:ascii="Times New Roman" w:hAnsi="Times New Roman" w:cs="Times New Roman"/>
          <w:szCs w:val="21"/>
        </w:rPr>
        <w:t>among the</w:t>
      </w:r>
      <w:r w:rsidR="007F4F77" w:rsidRPr="00CA524F">
        <w:rPr>
          <w:rFonts w:ascii="Times New Roman" w:hAnsi="Times New Roman" w:cs="Times New Roman"/>
          <w:szCs w:val="21"/>
        </w:rPr>
        <w:t xml:space="preserve"> non-squamous patients from Nat Genet. 2018 dataset, we observed elevated TMB and clonal TMB values </w:t>
      </w:r>
      <w:r w:rsidR="00C7156C" w:rsidRPr="00CA524F">
        <w:rPr>
          <w:rFonts w:ascii="Times New Roman" w:hAnsi="Times New Roman" w:cs="Times New Roman"/>
          <w:szCs w:val="21"/>
        </w:rPr>
        <w:t xml:space="preserve">in those </w:t>
      </w:r>
      <w:r w:rsidR="007F4F77" w:rsidRPr="00CA524F">
        <w:rPr>
          <w:rFonts w:ascii="Times New Roman" w:hAnsi="Times New Roman" w:cs="Times New Roman"/>
          <w:szCs w:val="21"/>
        </w:rPr>
        <w:t>with better curative effect (</w:t>
      </w:r>
      <w:r w:rsidR="00C7156C" w:rsidRPr="00CA524F">
        <w:rPr>
          <w:rFonts w:ascii="Times New Roman" w:hAnsi="Times New Roman" w:cs="Times New Roman"/>
          <w:szCs w:val="21"/>
        </w:rPr>
        <w:t xml:space="preserve">Suppl. </w:t>
      </w:r>
      <w:r w:rsidR="007F4F77" w:rsidRPr="00CA524F">
        <w:rPr>
          <w:rFonts w:ascii="Times New Roman" w:hAnsi="Times New Roman" w:cs="Times New Roman"/>
          <w:szCs w:val="21"/>
        </w:rPr>
        <w:t xml:space="preserve">Fig. </w:t>
      </w:r>
      <w:r w:rsidR="00C7156C" w:rsidRPr="00CA524F">
        <w:rPr>
          <w:rFonts w:ascii="Times New Roman" w:hAnsi="Times New Roman" w:cs="Times New Roman"/>
          <w:szCs w:val="21"/>
        </w:rPr>
        <w:t>8A</w:t>
      </w:r>
      <w:r w:rsidR="007F4F77" w:rsidRPr="00CA524F">
        <w:rPr>
          <w:rFonts w:ascii="Times New Roman" w:hAnsi="Times New Roman" w:cs="Times New Roman"/>
          <w:szCs w:val="21"/>
        </w:rPr>
        <w:t>) or HR gene clonal mutations (</w:t>
      </w:r>
      <w:r w:rsidR="00C7156C" w:rsidRPr="00CA524F">
        <w:rPr>
          <w:rFonts w:ascii="Times New Roman" w:hAnsi="Times New Roman" w:cs="Times New Roman"/>
          <w:szCs w:val="21"/>
        </w:rPr>
        <w:t xml:space="preserve">Suppl. </w:t>
      </w:r>
      <w:r w:rsidR="007F4F77" w:rsidRPr="00CA524F">
        <w:rPr>
          <w:rFonts w:ascii="Times New Roman" w:hAnsi="Times New Roman" w:cs="Times New Roman"/>
          <w:szCs w:val="21"/>
        </w:rPr>
        <w:t xml:space="preserve">Fig. </w:t>
      </w:r>
      <w:r w:rsidR="00C7156C" w:rsidRPr="00CA524F">
        <w:rPr>
          <w:rFonts w:ascii="Times New Roman" w:hAnsi="Times New Roman" w:cs="Times New Roman"/>
          <w:szCs w:val="21"/>
        </w:rPr>
        <w:t>8B</w:t>
      </w:r>
      <w:r w:rsidR="007F4F77" w:rsidRPr="00CA524F">
        <w:rPr>
          <w:rFonts w:ascii="Times New Roman" w:hAnsi="Times New Roman" w:cs="Times New Roman"/>
          <w:szCs w:val="21"/>
        </w:rPr>
        <w:t>)</w:t>
      </w:r>
      <w:r w:rsidR="00C7156C" w:rsidRPr="00CA524F">
        <w:rPr>
          <w:rFonts w:ascii="Times New Roman" w:hAnsi="Times New Roman" w:cs="Times New Roman" w:hint="eastAsia"/>
          <w:szCs w:val="21"/>
        </w:rPr>
        <w:t>,</w:t>
      </w:r>
      <w:r w:rsidR="00C7156C" w:rsidRPr="00CA524F">
        <w:rPr>
          <w:rFonts w:ascii="Times New Roman" w:hAnsi="Times New Roman" w:cs="Times New Roman"/>
          <w:szCs w:val="21"/>
        </w:rPr>
        <w:t xml:space="preserve"> endorsing</w:t>
      </w:r>
      <w:r w:rsidRPr="00CA524F">
        <w:rPr>
          <w:rFonts w:ascii="Times New Roman" w:hAnsi="Times New Roman" w:cs="Times New Roman"/>
          <w:szCs w:val="21"/>
        </w:rPr>
        <w:t xml:space="preserve"> the power of HRD</w:t>
      </w:r>
      <w:r w:rsidR="00C7156C" w:rsidRPr="00CA524F">
        <w:rPr>
          <w:rFonts w:ascii="Times New Roman" w:hAnsi="Times New Roman" w:cs="Times New Roman"/>
          <w:szCs w:val="21"/>
        </w:rPr>
        <w:t xml:space="preserve"> testing</w:t>
      </w:r>
      <w:r w:rsidRPr="00CA524F">
        <w:rPr>
          <w:rFonts w:ascii="Times New Roman" w:hAnsi="Times New Roman" w:cs="Times New Roman"/>
          <w:szCs w:val="21"/>
        </w:rPr>
        <w:t xml:space="preserve"> in therapeutic effect prediction. As for DCB and NDB patients from J Clin Oncol. 2018 cohort, though TMB elevated in DCB subpopul</w:t>
      </w:r>
      <w:r w:rsidR="00C7156C" w:rsidRPr="00CA524F">
        <w:rPr>
          <w:rFonts w:ascii="Times New Roman" w:hAnsi="Times New Roman" w:cs="Times New Roman"/>
          <w:szCs w:val="21"/>
        </w:rPr>
        <w:t>ation (Suppl. Fig. 8C</w:t>
      </w:r>
      <w:r w:rsidRPr="00CA524F">
        <w:rPr>
          <w:rFonts w:ascii="Times New Roman" w:hAnsi="Times New Roman" w:cs="Times New Roman"/>
          <w:szCs w:val="21"/>
        </w:rPr>
        <w:t xml:space="preserve">), it failed to distinguish </w:t>
      </w:r>
      <w:r w:rsidR="00417806" w:rsidRPr="00CA524F">
        <w:rPr>
          <w:rFonts w:ascii="Times New Roman" w:hAnsi="Times New Roman" w:cs="Times New Roman"/>
          <w:szCs w:val="21"/>
        </w:rPr>
        <w:t>SCC</w:t>
      </w:r>
      <w:r w:rsidRPr="00CA524F">
        <w:rPr>
          <w:rFonts w:ascii="Times New Roman" w:hAnsi="Times New Roman" w:cs="Times New Roman"/>
          <w:szCs w:val="21"/>
        </w:rPr>
        <w:t xml:space="preserve"> patients with different response (</w:t>
      </w:r>
      <w:r w:rsidR="002D7161" w:rsidRPr="00CA524F">
        <w:rPr>
          <w:rFonts w:ascii="Times New Roman" w:hAnsi="Times New Roman" w:cs="Times New Roman"/>
          <w:szCs w:val="21"/>
        </w:rPr>
        <w:t xml:space="preserve">Suppl. </w:t>
      </w:r>
      <w:r w:rsidRPr="00CA524F">
        <w:rPr>
          <w:rFonts w:ascii="Times New Roman" w:hAnsi="Times New Roman" w:cs="Times New Roman"/>
          <w:szCs w:val="21"/>
        </w:rPr>
        <w:t xml:space="preserve">Fig. </w:t>
      </w:r>
      <w:r w:rsidR="002D7161" w:rsidRPr="00CA524F">
        <w:rPr>
          <w:rFonts w:ascii="Times New Roman" w:hAnsi="Times New Roman" w:cs="Times New Roman"/>
          <w:szCs w:val="21"/>
        </w:rPr>
        <w:t>8D</w:t>
      </w:r>
      <w:r w:rsidRPr="00CA524F">
        <w:rPr>
          <w:rFonts w:ascii="Times New Roman" w:hAnsi="Times New Roman" w:cs="Times New Roman"/>
          <w:szCs w:val="21"/>
        </w:rPr>
        <w:t>, right). When inspecting patients with and without HR gene mutations, the TMB disparity increased for both adenocarcinoma (</w:t>
      </w:r>
      <w:r w:rsidR="002D7161" w:rsidRPr="00CA524F">
        <w:rPr>
          <w:rFonts w:ascii="Times New Roman" w:hAnsi="Times New Roman" w:cs="Times New Roman"/>
          <w:szCs w:val="21"/>
        </w:rPr>
        <w:t xml:space="preserve">Suppl. </w:t>
      </w:r>
      <w:r w:rsidRPr="00CA524F">
        <w:rPr>
          <w:rFonts w:ascii="Times New Roman" w:hAnsi="Times New Roman" w:cs="Times New Roman"/>
          <w:szCs w:val="21"/>
        </w:rPr>
        <w:t xml:space="preserve">Fig. </w:t>
      </w:r>
      <w:r w:rsidR="002D7161" w:rsidRPr="00CA524F">
        <w:rPr>
          <w:rFonts w:ascii="Times New Roman" w:hAnsi="Times New Roman" w:cs="Times New Roman"/>
          <w:szCs w:val="21"/>
        </w:rPr>
        <w:t>8E</w:t>
      </w:r>
      <w:r w:rsidRPr="00CA524F">
        <w:rPr>
          <w:rFonts w:ascii="Times New Roman" w:hAnsi="Times New Roman" w:cs="Times New Roman"/>
          <w:szCs w:val="21"/>
        </w:rPr>
        <w:t>, left) and squamous (</w:t>
      </w:r>
      <w:r w:rsidR="002D7161" w:rsidRPr="00CA524F">
        <w:rPr>
          <w:rFonts w:ascii="Times New Roman" w:hAnsi="Times New Roman" w:cs="Times New Roman"/>
          <w:szCs w:val="21"/>
        </w:rPr>
        <w:t xml:space="preserve">Suppl. </w:t>
      </w:r>
      <w:r w:rsidRPr="00CA524F">
        <w:rPr>
          <w:rFonts w:ascii="Times New Roman" w:hAnsi="Times New Roman" w:cs="Times New Roman"/>
          <w:szCs w:val="21"/>
        </w:rPr>
        <w:t xml:space="preserve">Fig. </w:t>
      </w:r>
      <w:r w:rsidR="002D7161" w:rsidRPr="00CA524F">
        <w:rPr>
          <w:rFonts w:ascii="Times New Roman" w:hAnsi="Times New Roman" w:cs="Times New Roman"/>
          <w:szCs w:val="21"/>
        </w:rPr>
        <w:t>8E</w:t>
      </w:r>
      <w:r w:rsidRPr="00CA524F">
        <w:rPr>
          <w:rFonts w:ascii="Times New Roman" w:hAnsi="Times New Roman" w:cs="Times New Roman"/>
          <w:szCs w:val="21"/>
        </w:rPr>
        <w:t>, right) patients. Moreover, patients with HR gene mutations in J Clin Oncol. 2018 cohort possessed higher clonal TMB (</w:t>
      </w:r>
      <w:r w:rsidR="005A7EB1" w:rsidRPr="00CA524F">
        <w:rPr>
          <w:rFonts w:ascii="Times New Roman" w:hAnsi="Times New Roman" w:cs="Times New Roman"/>
          <w:szCs w:val="21"/>
        </w:rPr>
        <w:t xml:space="preserve">Suppl. </w:t>
      </w:r>
      <w:r w:rsidRPr="00CA524F">
        <w:rPr>
          <w:rFonts w:ascii="Times New Roman" w:hAnsi="Times New Roman" w:cs="Times New Roman"/>
          <w:szCs w:val="21"/>
        </w:rPr>
        <w:t xml:space="preserve">Fig. </w:t>
      </w:r>
      <w:r w:rsidR="005A7EB1" w:rsidRPr="00CA524F">
        <w:rPr>
          <w:rFonts w:ascii="Times New Roman" w:hAnsi="Times New Roman" w:cs="Times New Roman"/>
          <w:szCs w:val="21"/>
        </w:rPr>
        <w:t>8F</w:t>
      </w:r>
      <w:r w:rsidRPr="00CA524F">
        <w:rPr>
          <w:rFonts w:ascii="Times New Roman" w:hAnsi="Times New Roman" w:cs="Times New Roman"/>
          <w:szCs w:val="21"/>
        </w:rPr>
        <w:t>, left) while HR gene clonal mutations (defined by Taf&gt;=0.3) prioritized patients with significantly higher clonal TMB (</w:t>
      </w:r>
      <w:r w:rsidR="005A7EB1" w:rsidRPr="00CA524F">
        <w:rPr>
          <w:rFonts w:ascii="Times New Roman" w:hAnsi="Times New Roman" w:cs="Times New Roman"/>
          <w:szCs w:val="21"/>
        </w:rPr>
        <w:t xml:space="preserve">Suppl. </w:t>
      </w:r>
      <w:r w:rsidRPr="00CA524F">
        <w:rPr>
          <w:rFonts w:ascii="Times New Roman" w:hAnsi="Times New Roman" w:cs="Times New Roman"/>
          <w:szCs w:val="21"/>
        </w:rPr>
        <w:t xml:space="preserve">Fig. </w:t>
      </w:r>
      <w:r w:rsidR="005A7EB1" w:rsidRPr="00CA524F">
        <w:rPr>
          <w:rFonts w:ascii="Times New Roman" w:hAnsi="Times New Roman" w:cs="Times New Roman"/>
          <w:szCs w:val="21"/>
        </w:rPr>
        <w:t>8F</w:t>
      </w:r>
      <w:r w:rsidRPr="00CA524F">
        <w:rPr>
          <w:rFonts w:ascii="Times New Roman" w:hAnsi="Times New Roman" w:cs="Times New Roman"/>
          <w:szCs w:val="21"/>
        </w:rPr>
        <w:t xml:space="preserve">, right). Finally, for immunotherapy patients in the biomarker-evaluable population of Nat Med. 2018 dataset, CR+PR patients got significantly higher TMB value </w:t>
      </w:r>
      <w:r w:rsidR="002B6DB6" w:rsidRPr="00CA524F">
        <w:rPr>
          <w:rFonts w:ascii="Times New Roman" w:hAnsi="Times New Roman" w:cs="Times New Roman"/>
          <w:szCs w:val="21"/>
        </w:rPr>
        <w:t>(Suppl. Fig. 8G</w:t>
      </w:r>
      <w:r w:rsidRPr="00CA524F">
        <w:rPr>
          <w:rFonts w:ascii="Times New Roman" w:hAnsi="Times New Roman" w:cs="Times New Roman"/>
          <w:szCs w:val="21"/>
        </w:rPr>
        <w:t xml:space="preserve">) but TMB </w:t>
      </w:r>
      <w:r w:rsidRPr="00CA524F">
        <w:rPr>
          <w:rFonts w:ascii="Times New Roman" w:hAnsi="Times New Roman" w:cs="Times New Roman"/>
          <w:szCs w:val="21"/>
        </w:rPr>
        <w:lastRenderedPageBreak/>
        <w:t xml:space="preserve">again failed to stratify the better-responded patients in </w:t>
      </w:r>
      <w:r w:rsidR="005A7EB1" w:rsidRPr="00CA524F">
        <w:rPr>
          <w:rFonts w:ascii="Times New Roman" w:hAnsi="Times New Roman" w:cs="Times New Roman"/>
          <w:szCs w:val="21"/>
        </w:rPr>
        <w:t>SCC</w:t>
      </w:r>
      <w:r w:rsidRPr="00CA524F">
        <w:rPr>
          <w:rFonts w:ascii="Times New Roman" w:hAnsi="Times New Roman" w:cs="Times New Roman"/>
          <w:szCs w:val="21"/>
        </w:rPr>
        <w:t xml:space="preserve"> subpopulation (</w:t>
      </w:r>
      <w:r w:rsidR="003E4DB6" w:rsidRPr="00CA524F">
        <w:rPr>
          <w:rFonts w:ascii="Times New Roman" w:hAnsi="Times New Roman" w:cs="Times New Roman"/>
          <w:szCs w:val="21"/>
        </w:rPr>
        <w:t>S</w:t>
      </w:r>
      <w:r w:rsidR="003E4DB6" w:rsidRPr="00CA524F">
        <w:rPr>
          <w:rFonts w:ascii="Times New Roman" w:hAnsi="Times New Roman" w:cs="Times New Roman" w:hint="eastAsia"/>
          <w:szCs w:val="21"/>
        </w:rPr>
        <w:t>upp</w:t>
      </w:r>
      <w:r w:rsidR="003E4DB6" w:rsidRPr="00CA524F">
        <w:rPr>
          <w:rFonts w:ascii="Times New Roman" w:hAnsi="Times New Roman" w:cs="Times New Roman"/>
          <w:szCs w:val="21"/>
        </w:rPr>
        <w:t>l. Fig. 8H</w:t>
      </w:r>
      <w:r w:rsidRPr="00CA524F">
        <w:rPr>
          <w:rFonts w:ascii="Times New Roman" w:hAnsi="Times New Roman" w:cs="Times New Roman"/>
          <w:szCs w:val="21"/>
        </w:rPr>
        <w:t>, right). Intriguingly, CR+PR patients with HRD bore higher TMB than other CR+PR patients (</w:t>
      </w:r>
      <w:r w:rsidR="003E4DB6" w:rsidRPr="00CA524F">
        <w:rPr>
          <w:rFonts w:ascii="Times New Roman" w:hAnsi="Times New Roman" w:cs="Times New Roman"/>
          <w:szCs w:val="21"/>
        </w:rPr>
        <w:t>Suppl. Fig. 8I</w:t>
      </w:r>
      <w:r w:rsidRPr="00CA524F">
        <w:rPr>
          <w:rFonts w:ascii="Times New Roman" w:hAnsi="Times New Roman" w:cs="Times New Roman"/>
          <w:szCs w:val="21"/>
        </w:rPr>
        <w:t>) and patients with HR gene global or clonal (defined by Taf&gt;=0.05) mutations in blood unsurprisingly harbored higher clonal TMB (</w:t>
      </w:r>
      <w:r w:rsidR="005545ED" w:rsidRPr="00CA524F">
        <w:rPr>
          <w:rFonts w:ascii="Times New Roman" w:hAnsi="Times New Roman" w:cs="Times New Roman"/>
          <w:szCs w:val="21"/>
        </w:rPr>
        <w:t>Suppl. Fig. 8J</w:t>
      </w:r>
      <w:r w:rsidRPr="00CA524F">
        <w:rPr>
          <w:rFonts w:ascii="Times New Roman" w:hAnsi="Times New Roman" w:cs="Times New Roman"/>
          <w:szCs w:val="21"/>
        </w:rPr>
        <w:t>). The above comprehensive analysis on TMB confirmed their substantial elevation in HRD patients receiving diversified non-neoadjuvant treatment regimens and possessing varying clinicopathologic characteristics. Regarding higher TMB correlates with better-responded NSCLC patients, our observations sustained the feasibility of using HRD or HR gene mutations as novel immunotherapy biomarker in NSCLC.</w:t>
      </w:r>
    </w:p>
    <w:p w14:paraId="2DEF0B12" w14:textId="258E6433" w:rsidR="005545ED" w:rsidRPr="00CA524F" w:rsidRDefault="005545ED" w:rsidP="005545ED">
      <w:pPr>
        <w:spacing w:line="480" w:lineRule="auto"/>
        <w:rPr>
          <w:rFonts w:ascii="Times New Roman" w:hAnsi="Times New Roman" w:cs="Times New Roman"/>
          <w:szCs w:val="21"/>
        </w:rPr>
      </w:pPr>
      <w:r w:rsidRPr="00CA524F">
        <w:rPr>
          <w:rFonts w:ascii="Times New Roman" w:hAnsi="Times New Roman" w:cs="Times New Roman"/>
          <w:szCs w:val="21"/>
        </w:rPr>
        <w:tab/>
        <w:t xml:space="preserve">HR gene mutational information was further incorporated in classification to study the survival disparateness on public cohorts. For the patients from </w:t>
      </w:r>
      <w:r w:rsidR="000F7128" w:rsidRPr="00CA524F">
        <w:rPr>
          <w:rFonts w:ascii="Times New Roman" w:hAnsi="Times New Roman" w:cs="Times New Roman"/>
          <w:szCs w:val="21"/>
        </w:rPr>
        <w:t>Nat Genet. 2018 cohort,</w:t>
      </w:r>
      <w:r w:rsidRPr="00CA524F">
        <w:rPr>
          <w:rFonts w:ascii="Times New Roman" w:hAnsi="Times New Roman" w:cs="Times New Roman"/>
          <w:szCs w:val="21"/>
        </w:rPr>
        <w:t xml:space="preserve"> subgroups with HR gene global and clonal mutations exhibited better </w:t>
      </w:r>
      <w:bookmarkStart w:id="4" w:name="_Hlk97329178"/>
      <w:r w:rsidRPr="00CA524F">
        <w:rPr>
          <w:rFonts w:ascii="Times New Roman" w:hAnsi="Times New Roman" w:cs="Times New Roman"/>
          <w:szCs w:val="21"/>
        </w:rPr>
        <w:t>progression-free survival (PFS)</w:t>
      </w:r>
      <w:bookmarkEnd w:id="4"/>
      <w:r w:rsidR="000F7128" w:rsidRPr="00CA524F">
        <w:rPr>
          <w:rFonts w:ascii="Times New Roman" w:hAnsi="Times New Roman" w:cs="Times New Roman"/>
          <w:szCs w:val="21"/>
        </w:rPr>
        <w:t xml:space="preserve"> (Suppl. Fig. 9A</w:t>
      </w:r>
      <w:r w:rsidRPr="00CA524F">
        <w:rPr>
          <w:rFonts w:ascii="Times New Roman" w:hAnsi="Times New Roman" w:cs="Times New Roman"/>
          <w:szCs w:val="21"/>
        </w:rPr>
        <w:t xml:space="preserve">). Similar observations could be made on </w:t>
      </w:r>
      <w:bookmarkStart w:id="5" w:name="_Hlk97329189"/>
      <w:r w:rsidRPr="00CA524F">
        <w:rPr>
          <w:rFonts w:ascii="Times New Roman" w:hAnsi="Times New Roman" w:cs="Times New Roman"/>
          <w:szCs w:val="21"/>
        </w:rPr>
        <w:t>overall survival (OS)</w:t>
      </w:r>
      <w:bookmarkEnd w:id="5"/>
      <w:r w:rsidRPr="00CA524F">
        <w:rPr>
          <w:rFonts w:ascii="Times New Roman" w:hAnsi="Times New Roman" w:cs="Times New Roman"/>
          <w:szCs w:val="21"/>
        </w:rPr>
        <w:t xml:space="preserve"> </w:t>
      </w:r>
      <w:r w:rsidR="000F7128" w:rsidRPr="00CA524F">
        <w:rPr>
          <w:rFonts w:ascii="Times New Roman" w:hAnsi="Times New Roman" w:cs="Times New Roman"/>
          <w:szCs w:val="21"/>
        </w:rPr>
        <w:t xml:space="preserve">(Suppl. Fig. </w:t>
      </w:r>
      <w:r w:rsidR="00C62545" w:rsidRPr="00CA524F">
        <w:rPr>
          <w:rFonts w:ascii="Times New Roman" w:hAnsi="Times New Roman" w:cs="Times New Roman"/>
          <w:szCs w:val="21"/>
        </w:rPr>
        <w:t>9</w:t>
      </w:r>
      <w:r w:rsidR="000F7128" w:rsidRPr="00CA524F">
        <w:rPr>
          <w:rFonts w:ascii="Times New Roman" w:hAnsi="Times New Roman" w:cs="Times New Roman"/>
          <w:szCs w:val="21"/>
        </w:rPr>
        <w:t>B</w:t>
      </w:r>
      <w:r w:rsidRPr="00CA524F">
        <w:rPr>
          <w:rFonts w:ascii="Times New Roman" w:hAnsi="Times New Roman" w:cs="Times New Roman"/>
          <w:szCs w:val="21"/>
        </w:rPr>
        <w:t>) data. As for the targeted-sequencing cohort J Clin Oncol. 2018, patients possessing HR gene mutations consonantl</w:t>
      </w:r>
      <w:r w:rsidR="000F7128" w:rsidRPr="00CA524F">
        <w:rPr>
          <w:rFonts w:ascii="Times New Roman" w:hAnsi="Times New Roman" w:cs="Times New Roman"/>
          <w:szCs w:val="21"/>
        </w:rPr>
        <w:t xml:space="preserve">y got better PFS (Suppl. Fig. </w:t>
      </w:r>
      <w:r w:rsidR="00C62545" w:rsidRPr="00CA524F">
        <w:rPr>
          <w:rFonts w:ascii="Times New Roman" w:hAnsi="Times New Roman" w:cs="Times New Roman"/>
          <w:szCs w:val="21"/>
        </w:rPr>
        <w:t>9</w:t>
      </w:r>
      <w:r w:rsidR="000F7128" w:rsidRPr="00CA524F">
        <w:rPr>
          <w:rFonts w:ascii="Times New Roman" w:hAnsi="Times New Roman" w:cs="Times New Roman"/>
          <w:szCs w:val="21"/>
        </w:rPr>
        <w:t>C</w:t>
      </w:r>
      <w:r w:rsidRPr="00CA524F">
        <w:rPr>
          <w:rFonts w:ascii="Times New Roman" w:hAnsi="Times New Roman" w:cs="Times New Roman"/>
          <w:szCs w:val="21"/>
        </w:rPr>
        <w:t>) but incongruence on survival existed between adenocarcinoma</w:t>
      </w:r>
      <w:r w:rsidR="00D46D29" w:rsidRPr="00CA524F">
        <w:rPr>
          <w:rFonts w:ascii="Times New Roman" w:hAnsi="Times New Roman" w:cs="Times New Roman"/>
          <w:szCs w:val="21"/>
        </w:rPr>
        <w:t xml:space="preserve"> (Suppl. Fig. </w:t>
      </w:r>
      <w:r w:rsidR="00C62545" w:rsidRPr="00CA524F">
        <w:rPr>
          <w:rFonts w:ascii="Times New Roman" w:hAnsi="Times New Roman" w:cs="Times New Roman"/>
          <w:szCs w:val="21"/>
        </w:rPr>
        <w:t>9</w:t>
      </w:r>
      <w:r w:rsidR="00D46D29" w:rsidRPr="00CA524F">
        <w:rPr>
          <w:rFonts w:ascii="Times New Roman" w:hAnsi="Times New Roman" w:cs="Times New Roman"/>
          <w:szCs w:val="21"/>
        </w:rPr>
        <w:t>D</w:t>
      </w:r>
      <w:r w:rsidRPr="00CA524F">
        <w:rPr>
          <w:rFonts w:ascii="Times New Roman" w:hAnsi="Times New Roman" w:cs="Times New Roman"/>
          <w:szCs w:val="21"/>
        </w:rPr>
        <w:t xml:space="preserve">) and squamous </w:t>
      </w:r>
      <w:r w:rsidR="00D46D29" w:rsidRPr="00CA524F">
        <w:rPr>
          <w:rFonts w:ascii="Times New Roman" w:hAnsi="Times New Roman" w:cs="Times New Roman"/>
          <w:szCs w:val="21"/>
        </w:rPr>
        <w:t xml:space="preserve">(Suppl. Fig. </w:t>
      </w:r>
      <w:r w:rsidR="00C62545" w:rsidRPr="00CA524F">
        <w:rPr>
          <w:rFonts w:ascii="Times New Roman" w:hAnsi="Times New Roman" w:cs="Times New Roman"/>
          <w:szCs w:val="21"/>
        </w:rPr>
        <w:t>9</w:t>
      </w:r>
      <w:r w:rsidR="00D46D29" w:rsidRPr="00CA524F">
        <w:rPr>
          <w:rFonts w:ascii="Times New Roman" w:hAnsi="Times New Roman" w:cs="Times New Roman"/>
          <w:szCs w:val="21"/>
        </w:rPr>
        <w:t>E</w:t>
      </w:r>
      <w:r w:rsidRPr="00CA524F">
        <w:rPr>
          <w:rFonts w:ascii="Times New Roman" w:hAnsi="Times New Roman" w:cs="Times New Roman"/>
          <w:szCs w:val="21"/>
        </w:rPr>
        <w:t>) patients. Again, when applying HR gene mutation as immunological biomarker in targeted sequencing, the sequencing panel should be elaborately designed. Additionally, DCB patients possessing HR pathway gene mutations surprisingly evinced better PFS and higher TMB than other DCB patients in Nat Genet. 2018 dataset (</w:t>
      </w:r>
      <w:r w:rsidR="0019040E" w:rsidRPr="00CA524F">
        <w:rPr>
          <w:rFonts w:ascii="Times New Roman" w:hAnsi="Times New Roman" w:cs="Times New Roman"/>
          <w:szCs w:val="21"/>
        </w:rPr>
        <w:t xml:space="preserve">Suppl. Fig. </w:t>
      </w:r>
      <w:r w:rsidR="00543B98" w:rsidRPr="00CA524F">
        <w:rPr>
          <w:rFonts w:ascii="Times New Roman" w:hAnsi="Times New Roman" w:cs="Times New Roman"/>
          <w:szCs w:val="21"/>
        </w:rPr>
        <w:t>9</w:t>
      </w:r>
      <w:r w:rsidR="0019040E" w:rsidRPr="00CA524F">
        <w:rPr>
          <w:rFonts w:ascii="Times New Roman" w:hAnsi="Times New Roman" w:cs="Times New Roman"/>
          <w:szCs w:val="21"/>
        </w:rPr>
        <w:t>F</w:t>
      </w:r>
      <w:r w:rsidRPr="00CA524F">
        <w:rPr>
          <w:rFonts w:ascii="Times New Roman" w:hAnsi="Times New Roman" w:cs="Times New Roman"/>
          <w:szCs w:val="21"/>
        </w:rPr>
        <w:t>) and</w:t>
      </w:r>
      <w:r w:rsidR="0019040E" w:rsidRPr="00CA524F">
        <w:rPr>
          <w:rFonts w:ascii="Times New Roman" w:hAnsi="Times New Roman" w:cs="Times New Roman"/>
          <w:szCs w:val="21"/>
        </w:rPr>
        <w:t xml:space="preserve"> such trend was</w:t>
      </w:r>
      <w:r w:rsidRPr="00CA524F">
        <w:rPr>
          <w:rFonts w:ascii="Times New Roman" w:hAnsi="Times New Roman" w:cs="Times New Roman"/>
          <w:szCs w:val="21"/>
        </w:rPr>
        <w:t xml:space="preserve"> analogously observed in OS data</w:t>
      </w:r>
      <w:r w:rsidR="00557385" w:rsidRPr="00CA524F">
        <w:rPr>
          <w:rFonts w:ascii="Times New Roman" w:hAnsi="Times New Roman" w:cs="Times New Roman"/>
          <w:szCs w:val="21"/>
        </w:rPr>
        <w:t xml:space="preserve"> (Suppl. Fig. </w:t>
      </w:r>
      <w:r w:rsidR="00543B98" w:rsidRPr="00CA524F">
        <w:rPr>
          <w:rFonts w:ascii="Times New Roman" w:hAnsi="Times New Roman" w:cs="Times New Roman"/>
          <w:szCs w:val="21"/>
        </w:rPr>
        <w:t>9</w:t>
      </w:r>
      <w:r w:rsidR="00557385" w:rsidRPr="00CA524F">
        <w:rPr>
          <w:rFonts w:ascii="Times New Roman" w:hAnsi="Times New Roman" w:cs="Times New Roman"/>
          <w:szCs w:val="21"/>
        </w:rPr>
        <w:t>G</w:t>
      </w:r>
      <w:r w:rsidRPr="00CA524F">
        <w:rPr>
          <w:rFonts w:ascii="Times New Roman" w:hAnsi="Times New Roman" w:cs="Times New Roman"/>
          <w:szCs w:val="21"/>
        </w:rPr>
        <w:t>). When narrowing to clonal HR gene mutations, the trend preserved in PFS (</w:t>
      </w:r>
      <w:r w:rsidR="009D4E63" w:rsidRPr="00CA524F">
        <w:rPr>
          <w:rFonts w:ascii="Times New Roman" w:hAnsi="Times New Roman" w:cs="Times New Roman"/>
          <w:szCs w:val="21"/>
        </w:rPr>
        <w:t xml:space="preserve">Suppl. </w:t>
      </w:r>
      <w:r w:rsidRPr="00CA524F">
        <w:rPr>
          <w:rFonts w:ascii="Times New Roman" w:hAnsi="Times New Roman" w:cs="Times New Roman"/>
          <w:szCs w:val="21"/>
        </w:rPr>
        <w:t xml:space="preserve">Fig. </w:t>
      </w:r>
      <w:r w:rsidR="00543B98" w:rsidRPr="00CA524F">
        <w:rPr>
          <w:rFonts w:ascii="Times New Roman" w:hAnsi="Times New Roman" w:cs="Times New Roman"/>
          <w:szCs w:val="21"/>
        </w:rPr>
        <w:t>9</w:t>
      </w:r>
      <w:r w:rsidR="009D4E63" w:rsidRPr="00CA524F">
        <w:rPr>
          <w:rFonts w:ascii="Times New Roman" w:hAnsi="Times New Roman" w:cs="Times New Roman"/>
          <w:szCs w:val="21"/>
        </w:rPr>
        <w:t>H</w:t>
      </w:r>
      <w:r w:rsidRPr="00CA524F">
        <w:rPr>
          <w:rFonts w:ascii="Times New Roman" w:hAnsi="Times New Roman" w:cs="Times New Roman"/>
          <w:szCs w:val="21"/>
        </w:rPr>
        <w:t>) and OS (Suppl. Fig.</w:t>
      </w:r>
      <w:r w:rsidR="005F367D" w:rsidRPr="00CA524F">
        <w:rPr>
          <w:rFonts w:ascii="Times New Roman" w:hAnsi="Times New Roman" w:cs="Times New Roman"/>
          <w:szCs w:val="21"/>
        </w:rPr>
        <w:t xml:space="preserve"> </w:t>
      </w:r>
      <w:r w:rsidR="00543B98" w:rsidRPr="00CA524F">
        <w:rPr>
          <w:rFonts w:ascii="Times New Roman" w:hAnsi="Times New Roman" w:cs="Times New Roman"/>
          <w:szCs w:val="21"/>
        </w:rPr>
        <w:t>9</w:t>
      </w:r>
      <w:r w:rsidR="005F367D" w:rsidRPr="00CA524F">
        <w:rPr>
          <w:rFonts w:ascii="Times New Roman" w:hAnsi="Times New Roman" w:cs="Times New Roman"/>
          <w:szCs w:val="21"/>
        </w:rPr>
        <w:t>I</w:t>
      </w:r>
      <w:r w:rsidRPr="00CA524F">
        <w:rPr>
          <w:rFonts w:ascii="Times New Roman" w:hAnsi="Times New Roman" w:cs="Times New Roman"/>
          <w:szCs w:val="21"/>
        </w:rPr>
        <w:t>). Similarly, DCB patients with HRD manifested significantly better survival and higher TMB values than other DCB participants in J Clin Oncol. 2018 (</w:t>
      </w:r>
      <w:r w:rsidR="000F2F40" w:rsidRPr="00CA524F">
        <w:rPr>
          <w:rFonts w:ascii="Times New Roman" w:hAnsi="Times New Roman" w:cs="Times New Roman"/>
          <w:szCs w:val="21"/>
        </w:rPr>
        <w:t xml:space="preserve">Suppl. Fig. </w:t>
      </w:r>
      <w:r w:rsidR="007468ED" w:rsidRPr="00CA524F">
        <w:rPr>
          <w:rFonts w:ascii="Times New Roman" w:hAnsi="Times New Roman" w:cs="Times New Roman"/>
          <w:szCs w:val="21"/>
        </w:rPr>
        <w:t>9</w:t>
      </w:r>
      <w:r w:rsidR="000F2F40" w:rsidRPr="00CA524F">
        <w:rPr>
          <w:rFonts w:ascii="Times New Roman" w:hAnsi="Times New Roman" w:cs="Times New Roman"/>
          <w:szCs w:val="21"/>
        </w:rPr>
        <w:t>J</w:t>
      </w:r>
      <w:r w:rsidRPr="00CA524F">
        <w:rPr>
          <w:rFonts w:ascii="Times New Roman" w:hAnsi="Times New Roman" w:cs="Times New Roman"/>
          <w:szCs w:val="21"/>
        </w:rPr>
        <w:t xml:space="preserve">) dataset. Our multi-cohort analyses </w:t>
      </w:r>
      <w:r w:rsidRPr="00CA524F">
        <w:rPr>
          <w:rFonts w:ascii="Times New Roman" w:hAnsi="Times New Roman" w:cs="Times New Roman"/>
          <w:szCs w:val="21"/>
        </w:rPr>
        <w:lastRenderedPageBreak/>
        <w:t>confirmed that HRD patients achieved generally better survival and the potency of HRD event in survival stratification, even among better responders in immunotherapy, i.e. DCB NSCLC patients.</w:t>
      </w:r>
    </w:p>
    <w:p w14:paraId="3A87504E" w14:textId="3C4694D0" w:rsidR="00C908B9" w:rsidRPr="00CA524F" w:rsidRDefault="00C908B9" w:rsidP="00C908B9">
      <w:pPr>
        <w:spacing w:line="480" w:lineRule="auto"/>
        <w:rPr>
          <w:rFonts w:ascii="Times New Roman" w:hAnsi="Times New Roman" w:cs="Times New Roman"/>
          <w:szCs w:val="21"/>
        </w:rPr>
      </w:pPr>
      <w:r w:rsidRPr="00CA524F">
        <w:rPr>
          <w:rFonts w:ascii="Times New Roman" w:hAnsi="Times New Roman" w:cs="Times New Roman"/>
          <w:szCs w:val="21"/>
        </w:rPr>
        <w:tab/>
        <w:t>With advantages including non-invasive, relatively costless, riskless and biopsy bias-reducing, liquid biopsies have received growing attention in tumor early diagnosis, recurrence monitoring and therapeutic guidance. We next conducted survival analysis in the publicly available blood-based Nat Med. 2018 dataset measuring circulating free DNA (cfDNA) to shed light on applying HRD mutational testing in blood biopsy. Firstly, no survival but significant TMB difference was observed between HR mutant and HR wild type chemo-treated patient</w:t>
      </w:r>
      <w:r w:rsidR="0094187E" w:rsidRPr="00CA524F">
        <w:rPr>
          <w:rFonts w:ascii="Times New Roman" w:hAnsi="Times New Roman" w:cs="Times New Roman"/>
          <w:szCs w:val="21"/>
        </w:rPr>
        <w:t>s in non-squamous (Suppl. Fig. 10A) and squamous (Suppl. Fig. 10</w:t>
      </w:r>
      <w:r w:rsidRPr="00CA524F">
        <w:rPr>
          <w:rFonts w:ascii="Times New Roman" w:hAnsi="Times New Roman" w:cs="Times New Roman"/>
          <w:szCs w:val="21"/>
        </w:rPr>
        <w:t>B) patients, which denoted the uselessness of HRD as therapeutic biomarker in NSCLC chemotherapy treatment. When focusing on patients treated by immunotherapy, HR gene mutant group significantly got higher TMB but inconspicuous group-wise survival difference existe</w:t>
      </w:r>
      <w:r w:rsidR="001140FB" w:rsidRPr="00CA524F">
        <w:rPr>
          <w:rFonts w:ascii="Times New Roman" w:hAnsi="Times New Roman" w:cs="Times New Roman"/>
          <w:szCs w:val="21"/>
        </w:rPr>
        <w:t>d in non-squamous (Suppl. Fig. 10C) and squamous (Suppl. Fig. 10</w:t>
      </w:r>
      <w:r w:rsidRPr="00CA524F">
        <w:rPr>
          <w:rFonts w:ascii="Times New Roman" w:hAnsi="Times New Roman" w:cs="Times New Roman"/>
          <w:szCs w:val="21"/>
        </w:rPr>
        <w:t>D) subpopulation. Regarding these HRD events were measured by targeted sequencing, different results could possibly be observed by more comprehensive HRD testing strategy. Ultimately, for patients with HR gene global and clonal mutations, patients received immunotherapy exhibited significantly better survival (</w:t>
      </w:r>
      <w:r w:rsidR="001140FB" w:rsidRPr="00CA524F">
        <w:rPr>
          <w:rFonts w:ascii="Times New Roman" w:hAnsi="Times New Roman" w:cs="Times New Roman"/>
          <w:szCs w:val="21"/>
        </w:rPr>
        <w:t>Suppl. Fig. 10E-F</w:t>
      </w:r>
      <w:r w:rsidRPr="00CA524F">
        <w:rPr>
          <w:rFonts w:ascii="Times New Roman" w:hAnsi="Times New Roman" w:cs="Times New Roman"/>
          <w:szCs w:val="21"/>
        </w:rPr>
        <w:t>). Apart from prioritizing patients with better immunological response, HRD event could provide suggestions over different therapy types for NSCLC patients.</w:t>
      </w:r>
    </w:p>
    <w:p w14:paraId="5F301C5C" w14:textId="15F1645F" w:rsidR="009926B1" w:rsidRPr="00CA524F" w:rsidRDefault="009926B1" w:rsidP="009926B1">
      <w:pPr>
        <w:spacing w:line="480" w:lineRule="auto"/>
        <w:rPr>
          <w:rFonts w:ascii="Times New Roman" w:hAnsi="Times New Roman" w:cs="Times New Roman"/>
          <w:szCs w:val="21"/>
        </w:rPr>
      </w:pPr>
      <w:r w:rsidRPr="00CA524F">
        <w:rPr>
          <w:rFonts w:ascii="Times New Roman" w:hAnsi="Times New Roman" w:cs="Times New Roman"/>
          <w:szCs w:val="21"/>
        </w:rPr>
        <w:tab/>
        <w:t xml:space="preserve">Last of all, we investigated the mutational frequency of HR genes in multiracial datasets to guarantee the universality of HRD event in untreated NSCLC. The HR and core HR pathway gene global and clonal (defined by Taf&gt;=0.3) mutation frequency in Sci Rep. 2015 Chinese SCC (Suppl. Fig. 11A), J Thorac Oncol. 2020 African American NSCLC (Suppl. Fig. 11B), TCGA-LUAD (Suppl. </w:t>
      </w:r>
      <w:r w:rsidRPr="00CA524F">
        <w:rPr>
          <w:rFonts w:ascii="Times New Roman" w:hAnsi="Times New Roman" w:cs="Times New Roman"/>
          <w:szCs w:val="21"/>
        </w:rPr>
        <w:lastRenderedPageBreak/>
        <w:t>Fig. 11C) and TCGA-LUSC (Suppl. Fig. 11D) cohorts were calculated. In addition, HR pathway gene alternation information including mutations, deep deletions and epigenetic silencing from a previous paper</w:t>
      </w:r>
      <w:r w:rsidRPr="00CA524F">
        <w:rPr>
          <w:rFonts w:ascii="Times New Roman" w:hAnsi="Times New Roman" w:cs="Times New Roman"/>
          <w:szCs w:val="21"/>
        </w:rPr>
        <w:fldChar w:fldCharType="begin"/>
      </w:r>
      <w:r w:rsidR="00D77239">
        <w:rPr>
          <w:rFonts w:ascii="Times New Roman" w:hAnsi="Times New Roman" w:cs="Times New Roman"/>
          <w:szCs w:val="21"/>
        </w:rPr>
        <w:instrText xml:space="preserve"> ADDIN ZOTERO_ITEM CSL_CITATION {"citationID":"CdNTzGjK","properties":{"formattedCitation":"\\super 4\\nosupersub{}","plainCitation":"4","noteIndex":0},"citationItems":[{"id":1161,"uris":["http://zotero.org/users/6617482/items/S6QENEV7"],"itemData":{"id":1161,"type":"article-journal","abstract":"DNA damage repair (DDR) pathways modulate cancer risk, progression, and therapeutic response. We systematically analyzed somatic alterations to provide a comprehensive view of DDR deficiency across 33 cancer types. Mutations with accompanying loss of heterozygosity were observed in over 1/3 of DDR genes, including TP53 and BRCA1/2. Other prevalent alterations included epigenetic silencing of the direct repair genes EXO5, MGMT, and ALKBH3 in ~20% of samples. Homologous recombination deficiency (HRD) was present at varying frequency in many cancer types, most notably ovarian cancer. However, in contrast to ovarian cancer, HRD was associated with worse outcomes in several other cancers. Protein structure-based analyses allowed us to predict functional consequences of rare, recurrent DDR mutations. A new machine-learning-based classifier developed from gene expression data allowed us to identify alterations that phenocopy deleterious TP53 mutations. These frequent DDR gene alterations in many human cancers have functional consequences that may determine cancer progression and guide therapy., \n, Knijnenburg et al. present The Cancer Genome Atlas (TCGA) Pan-Cancer analysis of DNA damage repair (DDR) deficiency in cancer. They use integrative genomic and molecular analyses to identify frequent DDR alterations across 33 cancer types, correlate gene- and pathway-level alterations with genome-wide measures of genome instability and impaired function, and demonstrate the prognostic utility of DDR deficiency scores.","container-title":"Cell reports","DOI":"10.1016/j.celrep.2018.03.076","ISSN":"2211-1247","issue":"1","journalAbbreviation":"Cell Rep","note":"PMID: 29617664\nPMCID: PMC5961503","page":"239-254.e6","source":"PubMed Central","title":"Genomic and Molecular Landscape of DNA Damage Repair Deficiency across The Cancer Genome Atlas","volume":"23","author":[{"family":"Knijnenburg","given":"Theo A."},{"family":"Wang","given":"Linghua"},{"family":"Zimmermann","given":"Michael T."},{"family":"Chambwe","given":"Nyasha"},{"family":"Gao","given":"Galen F."},{"family":"Cherniack","given":"Andrew D."},{"family":"Fan","given":"Huihui"},{"family":"Shen","given":"Hui"},{"family":"Way","given":"Gregory P."},{"family":"Greene","given":"Casey S."},{"family":"Liu","given":"Yuexin"},{"family":"Akbani","given":"Rehan"},{"family":"Feng","given":"Bin"},{"family":"Donehower","given":"Lawrence A."},{"family":"Miller","given":"Chase"},{"family":"Shen","given":"Yang"},{"family":"Karimi","given":"Mostafa"},{"family":"Chen","given":"Haoran"},{"family":"Kim","given":"Pora"},{"family":"Jia","given":"Peilin"},{"family":"Shinbrot","given":"Eve"},{"family":"Zhang","given":"Shaojun"},{"family":"Liu","given":"Jianfang"},{"family":"Hu","given":"Hai"},{"family":"Bailey","given":"Matthew H."},{"family":"Yau","given":"Christina"},{"family":"Wolf","given":"Denise"},{"family":"Zhao","given":"Zhongming"},{"family":"Weinstein","given":"John N."},{"family":"Li","given":"Lei"},{"family":"Ding","given":"Li"},{"family":"Mills","given":"Gordon B."},{"family":"Laird","given":"Peter W."},{"family":"Wheeler","given":"David A."},{"family":"Shmulevich","given":"Ilya"},{"family":"Monnat","given":"Raymond J"},{"family":"Xiao","given":"Yonghong"},{"family":"Wang","given":"Chen"}],"issued":{"date-parts":[["2018",4,3]]}}}],"schema":"https://github.com/citation-style-language/schema/raw/master/csl-citation.json"} </w:instrText>
      </w:r>
      <w:r w:rsidRPr="00CA524F">
        <w:rPr>
          <w:rFonts w:ascii="Times New Roman" w:hAnsi="Times New Roman" w:cs="Times New Roman"/>
          <w:szCs w:val="21"/>
        </w:rPr>
        <w:fldChar w:fldCharType="separate"/>
      </w:r>
      <w:r w:rsidR="00D77239" w:rsidRPr="00D77239">
        <w:rPr>
          <w:rFonts w:ascii="Times New Roman" w:hAnsi="Times New Roman" w:cs="Times New Roman"/>
          <w:kern w:val="0"/>
          <w:szCs w:val="24"/>
          <w:vertAlign w:val="superscript"/>
        </w:rPr>
        <w:t>4</w:t>
      </w:r>
      <w:r w:rsidRPr="00CA524F">
        <w:rPr>
          <w:rFonts w:ascii="Times New Roman" w:hAnsi="Times New Roman" w:cs="Times New Roman"/>
          <w:szCs w:val="21"/>
        </w:rPr>
        <w:fldChar w:fldCharType="end"/>
      </w:r>
      <w:r w:rsidRPr="00CA524F">
        <w:rPr>
          <w:rFonts w:ascii="Times New Roman" w:hAnsi="Times New Roman" w:cs="Times New Roman"/>
          <w:szCs w:val="21"/>
        </w:rPr>
        <w:t xml:space="preserve"> were retrieved for TCGA-LUAD (Suppl. Fig. 11E) and TCGA-LUSC (Suppl. Fig. 11F) datasets. Both histological subtypes exhibited around 50% HR gene alternation frequency. The quantified HRD event (HRDscore) additionally demonstrated congruent strong positive correlation with CNV burden in two TCGA lung cancer datasets (Suppl. Fig. 11G-H), again validated the concomitant relationship between HRD event and drastic CNV. Together with discoveries listed above, HRD events occurred more frequently in better-responded patients receiving immunotherapy regardless of the treatment regimen and the clinicopathologic characteristics. We observed the resultant higher TMB</w:t>
      </w:r>
      <w:r w:rsidR="005D6F7B" w:rsidRPr="00CA524F">
        <w:rPr>
          <w:rFonts w:ascii="Times New Roman" w:hAnsi="Times New Roman" w:cs="Times New Roman"/>
          <w:szCs w:val="21"/>
        </w:rPr>
        <w:t xml:space="preserve"> </w:t>
      </w:r>
      <w:r w:rsidRPr="00CA524F">
        <w:rPr>
          <w:rFonts w:ascii="Times New Roman" w:hAnsi="Times New Roman" w:cs="Times New Roman"/>
          <w:szCs w:val="21"/>
        </w:rPr>
        <w:t>and consequently longer survival brought by HRD as well as the substantial amount of HRD events in multiracial samples, which all countenanced the potential of HRD testing as a novel immunotherapy biomarker.</w:t>
      </w:r>
    </w:p>
    <w:p w14:paraId="4729BB6E" w14:textId="5ABEA849" w:rsidR="00497AFE" w:rsidRPr="00CA524F" w:rsidRDefault="00497AFE" w:rsidP="00B84AAD">
      <w:pPr>
        <w:spacing w:line="480" w:lineRule="auto"/>
        <w:rPr>
          <w:rFonts w:ascii="Times New Roman" w:hAnsi="Times New Roman" w:cs="Times New Roman"/>
          <w:szCs w:val="21"/>
        </w:rPr>
      </w:pPr>
    </w:p>
    <w:p w14:paraId="5F4AEBFC" w14:textId="04A7DD98" w:rsidR="009926B1" w:rsidRPr="00AA3AF3" w:rsidRDefault="009926B1" w:rsidP="00B84AAD">
      <w:pPr>
        <w:spacing w:line="480" w:lineRule="auto"/>
        <w:rPr>
          <w:rFonts w:ascii="Times New Roman" w:hAnsi="Times New Roman" w:cs="Times New Roman"/>
          <w:b/>
          <w:szCs w:val="21"/>
        </w:rPr>
      </w:pPr>
      <w:r w:rsidRPr="00AA3AF3">
        <w:rPr>
          <w:rFonts w:ascii="Times New Roman" w:hAnsi="Times New Roman" w:cs="Times New Roman" w:hint="eastAsia"/>
          <w:b/>
          <w:szCs w:val="21"/>
        </w:rPr>
        <w:t>R</w:t>
      </w:r>
      <w:r w:rsidRPr="00AA3AF3">
        <w:rPr>
          <w:rFonts w:ascii="Times New Roman" w:hAnsi="Times New Roman" w:cs="Times New Roman"/>
          <w:b/>
          <w:szCs w:val="21"/>
        </w:rPr>
        <w:t>eferences</w:t>
      </w:r>
    </w:p>
    <w:p w14:paraId="53E984D2" w14:textId="77777777" w:rsidR="001E6404" w:rsidRPr="001E6404" w:rsidRDefault="00B84AAD" w:rsidP="001E6404">
      <w:pPr>
        <w:pStyle w:val="a3"/>
        <w:rPr>
          <w:rFonts w:ascii="Times New Roman" w:hAnsi="Times New Roman" w:cs="Times New Roman"/>
        </w:rPr>
      </w:pPr>
      <w:r>
        <w:rPr>
          <w:b/>
          <w:szCs w:val="21"/>
        </w:rPr>
        <w:fldChar w:fldCharType="begin"/>
      </w:r>
      <w:r w:rsidR="001E6404">
        <w:rPr>
          <w:b/>
          <w:szCs w:val="21"/>
        </w:rPr>
        <w:instrText xml:space="preserve"> ADDIN ZOTERO_BIBL {"uncited":[],"omitted":[],"custom":[]} CSL_BIBLIOGRAPHY </w:instrText>
      </w:r>
      <w:r>
        <w:rPr>
          <w:b/>
          <w:szCs w:val="21"/>
        </w:rPr>
        <w:fldChar w:fldCharType="separate"/>
      </w:r>
      <w:r w:rsidR="001E6404" w:rsidRPr="001E6404">
        <w:rPr>
          <w:rFonts w:ascii="Times New Roman" w:hAnsi="Times New Roman" w:cs="Times New Roman"/>
        </w:rPr>
        <w:t>1.</w:t>
      </w:r>
      <w:r w:rsidR="001E6404" w:rsidRPr="001E6404">
        <w:rPr>
          <w:rFonts w:ascii="Times New Roman" w:hAnsi="Times New Roman" w:cs="Times New Roman"/>
        </w:rPr>
        <w:tab/>
        <w:t xml:space="preserve">Macintyre, G. </w:t>
      </w:r>
      <w:r w:rsidR="001E6404" w:rsidRPr="001E6404">
        <w:rPr>
          <w:rFonts w:ascii="Times New Roman" w:hAnsi="Times New Roman" w:cs="Times New Roman"/>
          <w:i/>
          <w:iCs/>
        </w:rPr>
        <w:t>et al.</w:t>
      </w:r>
      <w:r w:rsidR="001E6404" w:rsidRPr="001E6404">
        <w:rPr>
          <w:rFonts w:ascii="Times New Roman" w:hAnsi="Times New Roman" w:cs="Times New Roman"/>
        </w:rPr>
        <w:t xml:space="preserve"> Copy-number signatures and mutational processes in ovarian carcinoma. </w:t>
      </w:r>
      <w:r w:rsidR="001E6404" w:rsidRPr="001E6404">
        <w:rPr>
          <w:rFonts w:ascii="Times New Roman" w:hAnsi="Times New Roman" w:cs="Times New Roman"/>
          <w:i/>
          <w:iCs/>
        </w:rPr>
        <w:t>Nat Genet</w:t>
      </w:r>
      <w:r w:rsidR="001E6404" w:rsidRPr="001E6404">
        <w:rPr>
          <w:rFonts w:ascii="Times New Roman" w:hAnsi="Times New Roman" w:cs="Times New Roman"/>
        </w:rPr>
        <w:t xml:space="preserve"> </w:t>
      </w:r>
      <w:r w:rsidR="001E6404" w:rsidRPr="001E6404">
        <w:rPr>
          <w:rFonts w:ascii="Times New Roman" w:hAnsi="Times New Roman" w:cs="Times New Roman"/>
          <w:b/>
          <w:bCs/>
        </w:rPr>
        <w:t>50</w:t>
      </w:r>
      <w:r w:rsidR="001E6404" w:rsidRPr="001E6404">
        <w:rPr>
          <w:rFonts w:ascii="Times New Roman" w:hAnsi="Times New Roman" w:cs="Times New Roman"/>
        </w:rPr>
        <w:t>, 1262–1270 (2018).</w:t>
      </w:r>
    </w:p>
    <w:p w14:paraId="40993F29" w14:textId="77777777" w:rsidR="001E6404" w:rsidRPr="001E6404" w:rsidRDefault="001E6404" w:rsidP="001E6404">
      <w:pPr>
        <w:pStyle w:val="a3"/>
        <w:rPr>
          <w:rFonts w:ascii="Times New Roman" w:hAnsi="Times New Roman" w:cs="Times New Roman"/>
        </w:rPr>
      </w:pPr>
      <w:r w:rsidRPr="001E6404">
        <w:rPr>
          <w:rFonts w:ascii="Times New Roman" w:hAnsi="Times New Roman" w:cs="Times New Roman"/>
        </w:rPr>
        <w:t>2.</w:t>
      </w:r>
      <w:r w:rsidRPr="001E6404">
        <w:rPr>
          <w:rFonts w:ascii="Times New Roman" w:hAnsi="Times New Roman" w:cs="Times New Roman"/>
        </w:rPr>
        <w:tab/>
        <w:t>de Smith, A. J., Walters, R. G., Froguel, P. &amp; Blakemore, A. I. Human genes involved in copy number variation: mechanisms of</w:t>
      </w:r>
      <w:bookmarkStart w:id="6" w:name="_GoBack"/>
      <w:bookmarkEnd w:id="6"/>
      <w:r w:rsidRPr="001E6404">
        <w:rPr>
          <w:rFonts w:ascii="Times New Roman" w:hAnsi="Times New Roman" w:cs="Times New Roman"/>
        </w:rPr>
        <w:t xml:space="preserve"> origin, functional effects and implications for disease. </w:t>
      </w:r>
      <w:r w:rsidRPr="001E6404">
        <w:rPr>
          <w:rFonts w:ascii="Times New Roman" w:hAnsi="Times New Roman" w:cs="Times New Roman"/>
          <w:i/>
          <w:iCs/>
        </w:rPr>
        <w:t>Cytogenet Genome Res</w:t>
      </w:r>
      <w:r w:rsidRPr="001E6404">
        <w:rPr>
          <w:rFonts w:ascii="Times New Roman" w:hAnsi="Times New Roman" w:cs="Times New Roman"/>
        </w:rPr>
        <w:t xml:space="preserve"> </w:t>
      </w:r>
      <w:r w:rsidRPr="001E6404">
        <w:rPr>
          <w:rFonts w:ascii="Times New Roman" w:hAnsi="Times New Roman" w:cs="Times New Roman"/>
          <w:b/>
          <w:bCs/>
        </w:rPr>
        <w:t>123</w:t>
      </w:r>
      <w:r w:rsidRPr="001E6404">
        <w:rPr>
          <w:rFonts w:ascii="Times New Roman" w:hAnsi="Times New Roman" w:cs="Times New Roman"/>
        </w:rPr>
        <w:t>, 17–26 (2009).</w:t>
      </w:r>
    </w:p>
    <w:p w14:paraId="5218DDB0" w14:textId="77777777" w:rsidR="001E6404" w:rsidRPr="001E6404" w:rsidRDefault="001E6404" w:rsidP="001E6404">
      <w:pPr>
        <w:pStyle w:val="a3"/>
        <w:rPr>
          <w:rFonts w:ascii="Times New Roman" w:hAnsi="Times New Roman" w:cs="Times New Roman"/>
        </w:rPr>
      </w:pPr>
      <w:r w:rsidRPr="001E6404">
        <w:rPr>
          <w:rFonts w:ascii="Times New Roman" w:hAnsi="Times New Roman" w:cs="Times New Roman"/>
        </w:rPr>
        <w:t>3.</w:t>
      </w:r>
      <w:r w:rsidRPr="001E6404">
        <w:rPr>
          <w:rFonts w:ascii="Times New Roman" w:hAnsi="Times New Roman" w:cs="Times New Roman"/>
        </w:rPr>
        <w:tab/>
        <w:t xml:space="preserve">Hastings, P., Lupski, J. R., Rosenberg, S. M. &amp; Ira, G. Mechanisms of change in gene copy number. </w:t>
      </w:r>
      <w:r w:rsidRPr="001E6404">
        <w:rPr>
          <w:rFonts w:ascii="Times New Roman" w:hAnsi="Times New Roman" w:cs="Times New Roman"/>
          <w:i/>
          <w:iCs/>
        </w:rPr>
        <w:t>Nat Rev Genet</w:t>
      </w:r>
      <w:r w:rsidRPr="001E6404">
        <w:rPr>
          <w:rFonts w:ascii="Times New Roman" w:hAnsi="Times New Roman" w:cs="Times New Roman"/>
        </w:rPr>
        <w:t xml:space="preserve"> </w:t>
      </w:r>
      <w:r w:rsidRPr="001E6404">
        <w:rPr>
          <w:rFonts w:ascii="Times New Roman" w:hAnsi="Times New Roman" w:cs="Times New Roman"/>
          <w:b/>
          <w:bCs/>
        </w:rPr>
        <w:t>10</w:t>
      </w:r>
      <w:r w:rsidRPr="001E6404">
        <w:rPr>
          <w:rFonts w:ascii="Times New Roman" w:hAnsi="Times New Roman" w:cs="Times New Roman"/>
        </w:rPr>
        <w:t>, 551–564 (2009).</w:t>
      </w:r>
    </w:p>
    <w:p w14:paraId="1EFD81F4" w14:textId="77777777" w:rsidR="001E6404" w:rsidRPr="001E6404" w:rsidRDefault="001E6404" w:rsidP="001E6404">
      <w:pPr>
        <w:pStyle w:val="a3"/>
        <w:rPr>
          <w:rFonts w:ascii="Times New Roman" w:hAnsi="Times New Roman" w:cs="Times New Roman"/>
        </w:rPr>
      </w:pPr>
      <w:r w:rsidRPr="001E6404">
        <w:rPr>
          <w:rFonts w:ascii="Times New Roman" w:hAnsi="Times New Roman" w:cs="Times New Roman"/>
        </w:rPr>
        <w:t>4.</w:t>
      </w:r>
      <w:r w:rsidRPr="001E6404">
        <w:rPr>
          <w:rFonts w:ascii="Times New Roman" w:hAnsi="Times New Roman" w:cs="Times New Roman"/>
        </w:rPr>
        <w:tab/>
        <w:t xml:space="preserve">Knijnenburg, T. A. </w:t>
      </w:r>
      <w:r w:rsidRPr="001E6404">
        <w:rPr>
          <w:rFonts w:ascii="Times New Roman" w:hAnsi="Times New Roman" w:cs="Times New Roman"/>
          <w:i/>
          <w:iCs/>
        </w:rPr>
        <w:t>et al.</w:t>
      </w:r>
      <w:r w:rsidRPr="001E6404">
        <w:rPr>
          <w:rFonts w:ascii="Times New Roman" w:hAnsi="Times New Roman" w:cs="Times New Roman"/>
        </w:rPr>
        <w:t xml:space="preserve"> Genomic and Molecular Landscape of DNA Damage Repair Deficiency </w:t>
      </w:r>
      <w:r w:rsidRPr="001E6404">
        <w:rPr>
          <w:rFonts w:ascii="Times New Roman" w:hAnsi="Times New Roman" w:cs="Times New Roman"/>
        </w:rPr>
        <w:lastRenderedPageBreak/>
        <w:t xml:space="preserve">across The Cancer Genome Atlas. </w:t>
      </w:r>
      <w:r w:rsidRPr="001E6404">
        <w:rPr>
          <w:rFonts w:ascii="Times New Roman" w:hAnsi="Times New Roman" w:cs="Times New Roman"/>
          <w:i/>
          <w:iCs/>
        </w:rPr>
        <w:t>Cell Rep</w:t>
      </w:r>
      <w:r w:rsidRPr="001E6404">
        <w:rPr>
          <w:rFonts w:ascii="Times New Roman" w:hAnsi="Times New Roman" w:cs="Times New Roman"/>
        </w:rPr>
        <w:t xml:space="preserve"> </w:t>
      </w:r>
      <w:r w:rsidRPr="001E6404">
        <w:rPr>
          <w:rFonts w:ascii="Times New Roman" w:hAnsi="Times New Roman" w:cs="Times New Roman"/>
          <w:b/>
          <w:bCs/>
        </w:rPr>
        <w:t>23</w:t>
      </w:r>
      <w:r w:rsidRPr="001E6404">
        <w:rPr>
          <w:rFonts w:ascii="Times New Roman" w:hAnsi="Times New Roman" w:cs="Times New Roman"/>
        </w:rPr>
        <w:t>, 239-254.e6 (2018).</w:t>
      </w:r>
    </w:p>
    <w:p w14:paraId="445C1A32" w14:textId="7E6F3F62" w:rsidR="00B84AAD" w:rsidRPr="00B84AAD" w:rsidRDefault="00B84AAD" w:rsidP="00B84AAD">
      <w:pPr>
        <w:spacing w:line="480" w:lineRule="auto"/>
        <w:rPr>
          <w:rFonts w:ascii="Times New Roman" w:hAnsi="Times New Roman" w:cs="Times New Roman"/>
          <w:b/>
          <w:szCs w:val="21"/>
        </w:rPr>
      </w:pPr>
      <w:r>
        <w:rPr>
          <w:rFonts w:ascii="Times New Roman" w:hAnsi="Times New Roman" w:cs="Times New Roman"/>
          <w:b/>
          <w:szCs w:val="21"/>
        </w:rPr>
        <w:fldChar w:fldCharType="end"/>
      </w:r>
    </w:p>
    <w:sectPr w:rsidR="00B84AAD" w:rsidRPr="00B84A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66E44" w14:textId="77777777" w:rsidR="00B0709F" w:rsidRDefault="00B0709F" w:rsidP="004872C3">
      <w:r>
        <w:separator/>
      </w:r>
    </w:p>
  </w:endnote>
  <w:endnote w:type="continuationSeparator" w:id="0">
    <w:p w14:paraId="79087EDA" w14:textId="77777777" w:rsidR="00B0709F" w:rsidRDefault="00B0709F" w:rsidP="00487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F96CC" w14:textId="77777777" w:rsidR="00B0709F" w:rsidRDefault="00B0709F" w:rsidP="004872C3">
      <w:r>
        <w:separator/>
      </w:r>
    </w:p>
  </w:footnote>
  <w:footnote w:type="continuationSeparator" w:id="0">
    <w:p w14:paraId="2B625B43" w14:textId="77777777" w:rsidR="00B0709F" w:rsidRDefault="00B0709F" w:rsidP="00487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AD"/>
    <w:rsid w:val="00050899"/>
    <w:rsid w:val="000F2F40"/>
    <w:rsid w:val="000F7128"/>
    <w:rsid w:val="001140FB"/>
    <w:rsid w:val="00161E0F"/>
    <w:rsid w:val="001665D8"/>
    <w:rsid w:val="00181BC6"/>
    <w:rsid w:val="0019040E"/>
    <w:rsid w:val="001C393D"/>
    <w:rsid w:val="001E6404"/>
    <w:rsid w:val="00220991"/>
    <w:rsid w:val="00225519"/>
    <w:rsid w:val="002378A8"/>
    <w:rsid w:val="00267BD1"/>
    <w:rsid w:val="002707F2"/>
    <w:rsid w:val="002834CC"/>
    <w:rsid w:val="002B6DB6"/>
    <w:rsid w:val="002D7161"/>
    <w:rsid w:val="00344BEF"/>
    <w:rsid w:val="003C4135"/>
    <w:rsid w:val="003D046A"/>
    <w:rsid w:val="003D7C8F"/>
    <w:rsid w:val="003E4DB6"/>
    <w:rsid w:val="00417806"/>
    <w:rsid w:val="00470BAC"/>
    <w:rsid w:val="004872C3"/>
    <w:rsid w:val="00497AFE"/>
    <w:rsid w:val="004A1B00"/>
    <w:rsid w:val="004A300D"/>
    <w:rsid w:val="004E5A60"/>
    <w:rsid w:val="004E77E8"/>
    <w:rsid w:val="0050532B"/>
    <w:rsid w:val="005325EC"/>
    <w:rsid w:val="00543B98"/>
    <w:rsid w:val="005545ED"/>
    <w:rsid w:val="00557385"/>
    <w:rsid w:val="00563311"/>
    <w:rsid w:val="00564376"/>
    <w:rsid w:val="0058653A"/>
    <w:rsid w:val="005A7EB1"/>
    <w:rsid w:val="005B4E6D"/>
    <w:rsid w:val="005B7FA1"/>
    <w:rsid w:val="005C263C"/>
    <w:rsid w:val="005C380E"/>
    <w:rsid w:val="005C5922"/>
    <w:rsid w:val="005D6F7B"/>
    <w:rsid w:val="005F367D"/>
    <w:rsid w:val="006E4406"/>
    <w:rsid w:val="007468ED"/>
    <w:rsid w:val="00757C60"/>
    <w:rsid w:val="00767E83"/>
    <w:rsid w:val="00774B54"/>
    <w:rsid w:val="00793359"/>
    <w:rsid w:val="00796F96"/>
    <w:rsid w:val="007A6B93"/>
    <w:rsid w:val="007F4F77"/>
    <w:rsid w:val="00892049"/>
    <w:rsid w:val="008E6B35"/>
    <w:rsid w:val="009040F9"/>
    <w:rsid w:val="0092158D"/>
    <w:rsid w:val="0094187E"/>
    <w:rsid w:val="009926B1"/>
    <w:rsid w:val="009B6FE1"/>
    <w:rsid w:val="009C0BA5"/>
    <w:rsid w:val="009D4E63"/>
    <w:rsid w:val="009F3183"/>
    <w:rsid w:val="009F38FB"/>
    <w:rsid w:val="00A05000"/>
    <w:rsid w:val="00A27037"/>
    <w:rsid w:val="00A64117"/>
    <w:rsid w:val="00A90701"/>
    <w:rsid w:val="00AA3AF3"/>
    <w:rsid w:val="00AB45E6"/>
    <w:rsid w:val="00AD27FF"/>
    <w:rsid w:val="00AE27D7"/>
    <w:rsid w:val="00B06334"/>
    <w:rsid w:val="00B0709F"/>
    <w:rsid w:val="00B37332"/>
    <w:rsid w:val="00B43021"/>
    <w:rsid w:val="00B5009E"/>
    <w:rsid w:val="00B5124C"/>
    <w:rsid w:val="00B821ED"/>
    <w:rsid w:val="00B83917"/>
    <w:rsid w:val="00B84AAD"/>
    <w:rsid w:val="00BA0A26"/>
    <w:rsid w:val="00BA6EC9"/>
    <w:rsid w:val="00BB7C9A"/>
    <w:rsid w:val="00C33D6F"/>
    <w:rsid w:val="00C57DBA"/>
    <w:rsid w:val="00C60DBB"/>
    <w:rsid w:val="00C62545"/>
    <w:rsid w:val="00C62D6F"/>
    <w:rsid w:val="00C7156C"/>
    <w:rsid w:val="00C908B9"/>
    <w:rsid w:val="00CA524F"/>
    <w:rsid w:val="00CA61BD"/>
    <w:rsid w:val="00CE27AA"/>
    <w:rsid w:val="00D217D7"/>
    <w:rsid w:val="00D310AC"/>
    <w:rsid w:val="00D46D29"/>
    <w:rsid w:val="00D55DF7"/>
    <w:rsid w:val="00D77239"/>
    <w:rsid w:val="00DB3C5C"/>
    <w:rsid w:val="00DD3438"/>
    <w:rsid w:val="00DF0CB6"/>
    <w:rsid w:val="00E101AC"/>
    <w:rsid w:val="00E23871"/>
    <w:rsid w:val="00EC2599"/>
    <w:rsid w:val="00EF2D84"/>
    <w:rsid w:val="00F212B9"/>
    <w:rsid w:val="00F5414F"/>
    <w:rsid w:val="00F811D0"/>
    <w:rsid w:val="00FE6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A0210"/>
  <w15:chartTrackingRefBased/>
  <w15:docId w15:val="{F884581C-FD86-49A6-ACA0-F560855A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ibliography"/>
    <w:basedOn w:val="a"/>
    <w:next w:val="a"/>
    <w:uiPriority w:val="37"/>
    <w:unhideWhenUsed/>
    <w:rsid w:val="00B84AAD"/>
    <w:pPr>
      <w:tabs>
        <w:tab w:val="left" w:pos="264"/>
      </w:tabs>
      <w:spacing w:line="480" w:lineRule="auto"/>
      <w:ind w:left="264" w:hanging="264"/>
    </w:pPr>
  </w:style>
  <w:style w:type="paragraph" w:styleId="a4">
    <w:name w:val="header"/>
    <w:basedOn w:val="a"/>
    <w:link w:val="a5"/>
    <w:uiPriority w:val="99"/>
    <w:unhideWhenUsed/>
    <w:rsid w:val="004872C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872C3"/>
    <w:rPr>
      <w:sz w:val="18"/>
      <w:szCs w:val="18"/>
    </w:rPr>
  </w:style>
  <w:style w:type="paragraph" w:styleId="a6">
    <w:name w:val="footer"/>
    <w:basedOn w:val="a"/>
    <w:link w:val="a7"/>
    <w:uiPriority w:val="99"/>
    <w:unhideWhenUsed/>
    <w:rsid w:val="004872C3"/>
    <w:pPr>
      <w:tabs>
        <w:tab w:val="center" w:pos="4153"/>
        <w:tab w:val="right" w:pos="8306"/>
      </w:tabs>
      <w:snapToGrid w:val="0"/>
      <w:jc w:val="left"/>
    </w:pPr>
    <w:rPr>
      <w:sz w:val="18"/>
      <w:szCs w:val="18"/>
    </w:rPr>
  </w:style>
  <w:style w:type="character" w:customStyle="1" w:styleId="a7">
    <w:name w:val="页脚 字符"/>
    <w:basedOn w:val="a0"/>
    <w:link w:val="a6"/>
    <w:uiPriority w:val="99"/>
    <w:rsid w:val="004872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4441</Words>
  <Characters>25314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2022-05-10T07:10:00Z</dcterms:created>
  <dcterms:modified xsi:type="dcterms:W3CDTF">2022-05-10T07:10:00Z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zotero-version="6.0.5"&gt;&lt;session id="E64jrqRR"/&gt;&lt;style id="http://www.zotero.org/styles/nature" hasBibliography="1" bibliographyStyleHasBeenSet="1"/&gt;&lt;prefs&gt;&lt;pref name="fieldType" value="Field"/&gt;&lt;/prefs&gt;&lt;/data&gt;</vt:lpwstr>
  </property>
</Properties>
</file>