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5A923" w14:textId="77777777" w:rsidR="00220DA3" w:rsidRPr="00B118B7" w:rsidRDefault="004E5DE0" w:rsidP="00220DA3">
      <w:pPr>
        <w:spacing w:line="480" w:lineRule="auto"/>
        <w:rPr>
          <w:rFonts w:ascii="Times New Roman" w:hAnsi="Times New Roman" w:cs="Times New Roman"/>
          <w:b/>
          <w:szCs w:val="21"/>
        </w:rPr>
      </w:pPr>
      <w:r>
        <w:rPr>
          <w:rFonts w:ascii="Times New Roman" w:hAnsi="Times New Roman" w:cs="Times New Roman"/>
          <w:b/>
          <w:szCs w:val="21"/>
        </w:rPr>
        <w:t xml:space="preserve">Supplementary </w:t>
      </w:r>
      <w:r w:rsidR="00220DA3" w:rsidRPr="00B118B7">
        <w:rPr>
          <w:rFonts w:ascii="Times New Roman" w:hAnsi="Times New Roman" w:cs="Times New Roman"/>
          <w:b/>
          <w:szCs w:val="21"/>
        </w:rPr>
        <w:t>Materials and methods</w:t>
      </w:r>
    </w:p>
    <w:p w14:paraId="14E68859" w14:textId="77777777" w:rsidR="00220DA3" w:rsidRPr="00B118B7" w:rsidRDefault="00220DA3" w:rsidP="00220DA3">
      <w:pPr>
        <w:spacing w:line="480" w:lineRule="auto"/>
        <w:rPr>
          <w:rFonts w:ascii="Times New Roman" w:hAnsi="Times New Roman" w:cs="Times New Roman"/>
          <w:b/>
          <w:szCs w:val="21"/>
        </w:rPr>
      </w:pPr>
      <w:r w:rsidRPr="00B118B7">
        <w:rPr>
          <w:rFonts w:ascii="Times New Roman" w:hAnsi="Times New Roman" w:cs="Times New Roman"/>
          <w:b/>
          <w:szCs w:val="21"/>
        </w:rPr>
        <w:t>Patient enrollment, specimen collection and sequencing data acquisition</w:t>
      </w:r>
    </w:p>
    <w:p w14:paraId="27D79877" w14:textId="770905EE" w:rsidR="00B0465A" w:rsidRDefault="00220DA3" w:rsidP="00DC2EFE">
      <w:pPr>
        <w:spacing w:line="480" w:lineRule="auto"/>
        <w:ind w:firstLine="420"/>
        <w:rPr>
          <w:rFonts w:ascii="Times New Roman" w:hAnsi="Times New Roman" w:cs="Times New Roman"/>
          <w:szCs w:val="21"/>
        </w:rPr>
      </w:pPr>
      <w:bookmarkStart w:id="0" w:name="_GoBack"/>
      <w:bookmarkEnd w:id="0"/>
      <w:r w:rsidRPr="00B118B7">
        <w:rPr>
          <w:rFonts w:ascii="Times New Roman" w:hAnsi="Times New Roman" w:cs="Times New Roman"/>
          <w:szCs w:val="21"/>
        </w:rPr>
        <w:t>A total of 3 adenocarcinoma and 11 squamous cell carcinoma NSCLC patients were accrued from 2018 to 2020 at Shanghai Chest Hospital with immuno-neoadjuvant therapy treatment and s</w:t>
      </w:r>
      <w:r w:rsidRPr="00260664">
        <w:rPr>
          <w:rFonts w:ascii="Times New Roman" w:hAnsi="Times New Roman" w:cs="Times New Roman"/>
          <w:szCs w:val="21"/>
        </w:rPr>
        <w:t xml:space="preserve">urgical resection. The demographics of recruited patients and treatment characteristics were listed in </w:t>
      </w:r>
      <w:r w:rsidR="00B93E8F">
        <w:rPr>
          <w:rFonts w:ascii="Times New Roman" w:hAnsi="Times New Roman" w:cs="Times New Roman"/>
          <w:szCs w:val="21"/>
        </w:rPr>
        <w:t xml:space="preserve">Additional file 1: </w:t>
      </w:r>
      <w:r w:rsidRPr="00260664">
        <w:rPr>
          <w:rFonts w:ascii="Times New Roman" w:hAnsi="Times New Roman" w:cs="Times New Roman"/>
          <w:szCs w:val="21"/>
        </w:rPr>
        <w:t xml:space="preserve">Table </w:t>
      </w:r>
      <w:r w:rsidR="00B93E8F">
        <w:rPr>
          <w:rFonts w:ascii="Times New Roman" w:hAnsi="Times New Roman" w:cs="Times New Roman"/>
          <w:szCs w:val="21"/>
        </w:rPr>
        <w:t>S</w:t>
      </w:r>
      <w:r w:rsidRPr="00260664">
        <w:rPr>
          <w:rFonts w:ascii="Times New Roman" w:hAnsi="Times New Roman" w:cs="Times New Roman"/>
          <w:szCs w:val="21"/>
        </w:rPr>
        <w:t xml:space="preserve">1. Pre-therapy FFPE/fresh tissues were biopsied and </w:t>
      </w:r>
      <w:r w:rsidRPr="00260664">
        <w:rPr>
          <w:rFonts w:ascii="Times New Roman" w:hAnsi="Times New Roman" w:cs="Times New Roman"/>
          <w:szCs w:val="21"/>
          <w:shd w:val="clear" w:color="auto" w:fill="FFFFFF"/>
        </w:rPr>
        <w:t xml:space="preserve">peripheral blood mononuclear cell </w:t>
      </w:r>
      <w:r w:rsidRPr="00B118B7">
        <w:rPr>
          <w:rFonts w:ascii="Times New Roman" w:hAnsi="Times New Roman" w:cs="Times New Roman"/>
          <w:szCs w:val="21"/>
          <w:shd w:val="clear" w:color="auto" w:fill="FFFFFF"/>
        </w:rPr>
        <w:t>(PBMC)</w:t>
      </w:r>
      <w:r w:rsidRPr="00B118B7">
        <w:rPr>
          <w:rFonts w:ascii="Times New Roman" w:hAnsi="Times New Roman" w:cs="Times New Roman"/>
          <w:szCs w:val="21"/>
        </w:rPr>
        <w:t xml:space="preserve"> were isolated from blood samples for genomic DNA extraction by AllPrep DNA/RNA FFPE/Mini Kit (Qiagen) or CWE9600 Blood DNA kit (CWBiotech, China) and subsequent 100bp paired-end WES library construction. Final sequencing data was acquired by Geneplus-2000 sequencing platform (Geneplus, Beijing, China). Metrics including total read volume, Q30 percentage, GC content and duplication rate were used for quality assessment.</w:t>
      </w:r>
      <w:r w:rsidR="00C2069C">
        <w:rPr>
          <w:rFonts w:ascii="Times New Roman" w:hAnsi="Times New Roman" w:cs="Times New Roman"/>
          <w:szCs w:val="21"/>
        </w:rPr>
        <w:t xml:space="preserve"> </w:t>
      </w:r>
      <w:r w:rsidR="002F23E8" w:rsidRPr="00B93E8F">
        <w:rPr>
          <w:rFonts w:ascii="Times New Roman" w:hAnsi="Times New Roman" w:cs="Times New Roman"/>
          <w:szCs w:val="21"/>
        </w:rPr>
        <w:t>Besides, instead of OS requiring a much longer follow-up, we utilized MPR, which is significantly predictive of long-term OS in neoadjuvant therapy</w:t>
      </w:r>
      <w:r w:rsidR="002F23E8" w:rsidRPr="00B93E8F">
        <w:rPr>
          <w:rFonts w:ascii="Times New Roman" w:hAnsi="Times New Roman" w:cs="Times New Roman"/>
          <w:szCs w:val="21"/>
        </w:rPr>
        <w:fldChar w:fldCharType="begin"/>
      </w:r>
      <w:r w:rsidR="002F23E8" w:rsidRPr="00B93E8F">
        <w:rPr>
          <w:rFonts w:ascii="Times New Roman" w:hAnsi="Times New Roman" w:cs="Times New Roman"/>
          <w:szCs w:val="21"/>
        </w:rPr>
        <w:instrText xml:space="preserve"> ADDIN ZOTERO_ITEM CSL_CITATION {"citationID":"dG8H3BBi","properties":{"formattedCitation":"\\super 1\\nosupersub{}","plainCitation":"1","noteIndex":0},"citationItems":[{"id":864,"uris":["http://zotero.org/users/6617482/items/U6TF5DLZ"],"itemData":{"id":864,"type":"article-journal","abstract":"Introduction\nWe have suggested that major pathologic response (MPR) could serve as a surrogate endpoint for survival and provide rapid means of comparing different neoadjuvant treatment regimens. Here, we confirm that MPR is predictive of long-term overall survival (OS) in patients with non–small-cell lung cancer (NSCLC) who underwent neoadjuvant chemotherapy and surgical resection, to assess agreement on MPR between 2 observers, and to determine the minimum number of slides needed to obtain an accurate determination of MPR.\nPatients and Methods\nWe identified 151 patients with NSCLC who had been treated with neoadjuvant chemotherapy followed by complete surgical resection from 2008 to 2012. Tissue specimens were retrospectively evaluated by 2 pathologists who had been blinded to patients’ treatment and outcome. We assessed the relationships between MPR and OS, the levels of agreement between the pathologists, and determined the number of slides needed to obtain an accurate determination of MPR.\nResults\nOur results reveal that MPR examined by either observer 1 (experienced) or by observer 2 (trained) was significantly predictive of long-term OS after neoadjuvant chemotherapy. MPR was associated with long-term OS in patients with NSCLC undergoing neoadjuvant chemotherapy on multivariable analysis (hazard ratio 2.68; P = .01). The levels of agreement between 2 pathologists were high after direct in-person training by one pathologist or the other (R2 = 0.994). Our data suggest that at least 3 slides should be read to accurately determine MPR.\nConclusions\nMPR is significantly predictive of long-term OS in neoadjuvant chemotherapy–treated patients with NSCLC. MPR may serve as a surrogate endpoint for evaluating novel chemotherapies and immunotherapy response in biomarker-driven translational clinical trials.","container-title":"Clinical Lung Cancer","DOI":"10.1016/j.cllc.2019.11.003","ISSN":"1525-7304","issue":"4","journalAbbreviation":"Clinical Lung Cancer","language":"en","page":"341-348","source":"ScienceDirect","title":"Agreement on Major Pathological Response in NSCLC Patients Receiving Neoadjuvant Chemotherapy","volume":"21","author":[{"family":"Weissferdt","given":"Annikka"},{"family":"Pataer","given":"Apar"},{"family":"Vaporciyan","given":"Ara A."},{"family":"Correa","given":"Arlene M."},{"family":"Sepesi","given":"Boris"},{"family":"Moran","given":"Cesar A."},{"family":"Wistuba","given":"Ignacio I."},{"family":"Roth","given":"Jack A."},{"family":"Shewale","given":"Jitesh Baban"},{"family":"Heymach","given":"John V."},{"family":"Kalhor","given":"Neda"},{"family":"Cascone","given":"Tina"},{"family":"Hofstetter","given":"Wayne L."},{"family":"Lee","given":"J. Jack"},{"family":"Swisher","given":"Stephen G."}],"issued":{"date-parts":[["2020",7,1]]}}}],"schema":"https://github.com/citation-style-language/schema/raw/master/csl-citation.json"} </w:instrText>
      </w:r>
      <w:r w:rsidR="002F23E8" w:rsidRPr="00B93E8F">
        <w:rPr>
          <w:rFonts w:ascii="Times New Roman" w:hAnsi="Times New Roman" w:cs="Times New Roman"/>
          <w:szCs w:val="21"/>
        </w:rPr>
        <w:fldChar w:fldCharType="separate"/>
      </w:r>
      <w:r w:rsidR="002F23E8" w:rsidRPr="00B93E8F">
        <w:rPr>
          <w:rFonts w:ascii="Times New Roman" w:hAnsi="Times New Roman" w:cs="Times New Roman"/>
          <w:kern w:val="0"/>
          <w:vertAlign w:val="superscript"/>
        </w:rPr>
        <w:t>1</w:t>
      </w:r>
      <w:r w:rsidR="002F23E8" w:rsidRPr="00B93E8F">
        <w:rPr>
          <w:rFonts w:ascii="Times New Roman" w:hAnsi="Times New Roman" w:cs="Times New Roman"/>
          <w:szCs w:val="21"/>
        </w:rPr>
        <w:fldChar w:fldCharType="end"/>
      </w:r>
      <w:r w:rsidR="002F23E8" w:rsidRPr="00B93E8F">
        <w:rPr>
          <w:rFonts w:ascii="Times New Roman" w:hAnsi="Times New Roman" w:cs="Times New Roman"/>
          <w:szCs w:val="21"/>
        </w:rPr>
        <w:t>, as a surrogate endpoint for therapy response evaluation.</w:t>
      </w:r>
      <w:r w:rsidR="002F23E8" w:rsidRPr="00B93E8F">
        <w:rPr>
          <w:rFonts w:ascii="Times New Roman" w:hAnsi="Times New Roman" w:cs="Times New Roman" w:hint="eastAsia"/>
          <w:szCs w:val="21"/>
        </w:rPr>
        <w:t xml:space="preserve"> </w:t>
      </w:r>
      <w:r w:rsidR="002F23E8" w:rsidRPr="00B93E8F">
        <w:rPr>
          <w:rFonts w:ascii="Times New Roman" w:hAnsi="Times New Roman" w:cs="Times New Roman"/>
          <w:szCs w:val="21"/>
        </w:rPr>
        <w:t xml:space="preserve">Patients enrolled were categorized as MPR when the viable tumor cells in the resection specimen was fewer than 10% after treatment, in line with </w:t>
      </w:r>
      <w:r w:rsidR="00701F54" w:rsidRPr="00B93E8F">
        <w:rPr>
          <w:rFonts w:ascii="Times New Roman" w:hAnsi="Times New Roman" w:cs="Times New Roman"/>
          <w:szCs w:val="21"/>
        </w:rPr>
        <w:t>the immune-related pathologic response criteria (irPRC) proposed by Cottrell et al.</w:t>
      </w:r>
      <w:r w:rsidR="00701F54" w:rsidRPr="00B93E8F">
        <w:rPr>
          <w:rFonts w:ascii="Times New Roman" w:hAnsi="Times New Roman" w:cs="Times New Roman"/>
          <w:szCs w:val="21"/>
        </w:rPr>
        <w:fldChar w:fldCharType="begin"/>
      </w:r>
      <w:r w:rsidR="00701F54" w:rsidRPr="00B93E8F">
        <w:rPr>
          <w:rFonts w:ascii="Times New Roman" w:hAnsi="Times New Roman" w:cs="Times New Roman"/>
          <w:szCs w:val="21"/>
        </w:rPr>
        <w:instrText xml:space="preserve"> ADDIN ZOTERO_ITEM CSL_CITATION {"citationID":"sfuc3MVU","properties":{"formattedCitation":"\\super 2\\nosupersub{}","plainCitation":"2","noteIndex":0},"citationItems":[{"id":3205,"uris":["http://zotero.org/users/6617482/items/Q6P5BAUU"],"itemData":{"id":3205,"type":"article-journal","abstract":"Background\nNeoadjuvant anti-PD-1 may improve outcomes for patients with resectable NSCLC and provides a critical window for examining pathologic features associated with response. Resections showing major patholo</w:instrText>
      </w:r>
      <w:r w:rsidR="00701F54" w:rsidRPr="00B93E8F">
        <w:rPr>
          <w:rFonts w:ascii="Times New Roman" w:hAnsi="Times New Roman" w:cs="Times New Roman" w:hint="eastAsia"/>
          <w:szCs w:val="21"/>
        </w:rPr>
        <w:instrText xml:space="preserve">gic response to neoadjuvant therapy, defined as </w:instrText>
      </w:r>
      <w:r w:rsidR="00701F54" w:rsidRPr="00B93E8F">
        <w:rPr>
          <w:rFonts w:ascii="Times New Roman" w:hAnsi="Times New Roman" w:cs="Times New Roman" w:hint="eastAsia"/>
          <w:szCs w:val="21"/>
        </w:rPr>
        <w:instrText>≤</w:instrText>
      </w:r>
      <w:r w:rsidR="00701F54" w:rsidRPr="00B93E8F">
        <w:rPr>
          <w:rFonts w:ascii="Times New Roman" w:hAnsi="Times New Roman" w:cs="Times New Roman" w:hint="eastAsia"/>
          <w:szCs w:val="21"/>
        </w:rPr>
        <w:instrText xml:space="preserve">10% residual viable tumor (RVT), may predict improved long-term patient outcome. However, %RVT calculations were developed in the context of chemotherapy (%cRVT). An immune-related %RVT (%irRVT) has yet to </w:instrText>
      </w:r>
      <w:r w:rsidR="00701F54" w:rsidRPr="00B93E8F">
        <w:rPr>
          <w:rFonts w:ascii="Times New Roman" w:hAnsi="Times New Roman" w:cs="Times New Roman"/>
          <w:szCs w:val="21"/>
        </w:rPr>
        <w:instrText xml:space="preserve">be developed.\n\nPatients and methods\nThe first trial of neoadjuvant anti-PD-1 (nivolumab, NCT02259621) was just reported. We analyzed hematoxylin and eosin-stained slides from the post-treatment resection specimens of the 20 patients with non-small-cell lung carcinoma who underwent definitive surgery. Pretreatment tumor biopsies and preresection radiographic ‘tumor’ measurements were also assessed.\n\nResults\nWe found that the regression bed (the area of immune-mediated tumor clearance) accounts for the previously noted discrepancy between CT imaging and pathologic assessment of residual tumor. The regression bed is characterized by (i) immune activation—dense tumor infiltrating lymphocytes with macrophages and tertiary lymphoid structures; (ii) massive tumor cell death—cholesterol clefts; and (iii) tissue repair—neovascularization and proliferative fibrosis (each feature enriched in major pathologic responders versus nonresponders, P &lt; 0.05). This distinct constellation of histologic findings was not identified in any pretreatment specimens. Histopathologic features of the regression bed were used to develop ‘Immune-Related Pathologic Response Criteria’ (irPRC), and these criteria were shown to be reproducible amongst pathologists. Specifically, %irRVT had improved interobserver consistency compared with %cRVT [median per-case %RVT variability 5% (0%–29%) versus 10% (0%–58%), P = 0.007] and a twofold decrease in median standard deviation across pathologists within a sample (4.6 versus 2.2, P = 0.002).\n\nConclusions\nirPRC may be used to standardize pathologic assessment of immunotherapeutic efficacy. Long-term follow-up is needed to determine irPRC reliability as a surrogate for recurrence-free and overall survival.","container-title":"Annals of Oncology","DOI":"10.1093/annonc/mdy218","ISSN":"0923-7534","issue":"8","journalAbbreviation":"Ann Oncol","note":"PMID: 29982279\nPMCID: PMC6096736","page":"1853-1860","source":"PubMed Central","title":"Pathologic features of response to neoadjuvant anti-PD-1 in resected non-small-cell lung carcinoma: a proposal for quantitative immune-related pathologic response criteria (irPRC)","title-short":"Pathologic features of response to neoadjuvant anti-PD-1 in resected non-small-cell lung carcinoma","volume":"29","author":[{"family":"Cottrell","given":"T R"},{"family":"Thompson","given":"E D"},{"family":"Forde","given":"P M"},{"family":"Stein","given":"J E"},{"family":"Duffield","given":"A S"},{"family":"Anagnostou","given":"V"},{"family":"Rekhtman","given":"N"},{"family":"Anders","given":"R A"},{"family":"Cuda","given":"J D"},{"family":"Illei","given":"P B"},{"family":"Gabrielson","given":"E"},{"family":"Askin","given":"F B"},{"family":"Niknafs","given":"N"},{"family":"Smith","given":"K N"},{"family":"Velez","given":"M J"},{"family":"Sauter","given":"J L"},{"family":"Isbell","given":"J M"},{"family":"Jones","given":"D R"},{"family":"Battafarano","given":"R J"},{"family":"Yang","given":"S C"},{"family":"Danilova","given":"L"},{"family":"Wolchok","given":"J D"},{"family":"Topalian","given":"S L"},{"family":"Velculescu","given":"V E"},{"family":"Pardoll","given":"D M"},{"family":"Brahmer","given":"J R"},{"family":"Hellmann","given":"M D"},{"family":"Chaft","given":"J E"},{"family":"Cimino-Mathews","given":"A"},{"family":"Taube","given":"J M"}],"issued":{"date-parts":[["2018",8]]}}}],"schema":"https://github.com/citation-style-language/schema/raw/master/csl-citation.json"} </w:instrText>
      </w:r>
      <w:r w:rsidR="00701F54" w:rsidRPr="00B93E8F">
        <w:rPr>
          <w:rFonts w:ascii="Times New Roman" w:hAnsi="Times New Roman" w:cs="Times New Roman"/>
          <w:szCs w:val="21"/>
        </w:rPr>
        <w:fldChar w:fldCharType="separate"/>
      </w:r>
      <w:r w:rsidR="00701F54" w:rsidRPr="00B93E8F">
        <w:rPr>
          <w:rFonts w:ascii="Times New Roman" w:hAnsi="Times New Roman" w:cs="Times New Roman"/>
          <w:kern w:val="0"/>
          <w:vertAlign w:val="superscript"/>
        </w:rPr>
        <w:t>2</w:t>
      </w:r>
      <w:r w:rsidR="00701F54" w:rsidRPr="00B93E8F">
        <w:rPr>
          <w:rFonts w:ascii="Times New Roman" w:hAnsi="Times New Roman" w:cs="Times New Roman"/>
          <w:szCs w:val="21"/>
        </w:rPr>
        <w:fldChar w:fldCharType="end"/>
      </w:r>
    </w:p>
    <w:p w14:paraId="5A2CC312" w14:textId="77777777" w:rsidR="00B0465A" w:rsidRDefault="00B0465A" w:rsidP="00DE3D74">
      <w:pPr>
        <w:spacing w:line="480" w:lineRule="auto"/>
        <w:rPr>
          <w:rFonts w:ascii="Times New Roman" w:hAnsi="Times New Roman" w:cs="Times New Roman"/>
          <w:szCs w:val="21"/>
        </w:rPr>
      </w:pPr>
    </w:p>
    <w:p w14:paraId="4FBBBCA5" w14:textId="77777777" w:rsidR="00220DA3" w:rsidRPr="00B118B7" w:rsidRDefault="00220DA3" w:rsidP="00220DA3">
      <w:pPr>
        <w:spacing w:line="480" w:lineRule="auto"/>
        <w:rPr>
          <w:rFonts w:ascii="Times New Roman" w:hAnsi="Times New Roman" w:cs="Times New Roman"/>
          <w:b/>
          <w:szCs w:val="21"/>
        </w:rPr>
      </w:pPr>
      <w:r w:rsidRPr="00B118B7">
        <w:rPr>
          <w:rFonts w:ascii="Times New Roman" w:hAnsi="Times New Roman" w:cs="Times New Roman"/>
          <w:b/>
          <w:szCs w:val="21"/>
        </w:rPr>
        <w:t>Mutation calling, copy number alternation identification and signature analysis</w:t>
      </w:r>
    </w:p>
    <w:p w14:paraId="7040F6A2" w14:textId="7D70F061" w:rsidR="00220DA3" w:rsidRPr="00B118B7" w:rsidRDefault="00220DA3" w:rsidP="00220DA3">
      <w:pPr>
        <w:spacing w:line="480" w:lineRule="auto"/>
        <w:ind w:firstLine="420"/>
        <w:rPr>
          <w:rFonts w:ascii="Times New Roman" w:hAnsi="Times New Roman" w:cs="Times New Roman"/>
          <w:szCs w:val="21"/>
        </w:rPr>
      </w:pPr>
      <w:r w:rsidRPr="00B118B7">
        <w:rPr>
          <w:rFonts w:ascii="Times New Roman" w:hAnsi="Times New Roman" w:cs="Times New Roman"/>
          <w:szCs w:val="21"/>
        </w:rPr>
        <w:t>After BWA (version 0.7.10) read alignment on hg19 reference genome and sample coverage filtration, MuTect (version 1.1.4) in GATK (version 4.0) pipeline identified somatic single nucleotide variants (SNVs), small insertions and deletions (InDels) by comparing tissue/PBMC specimens while GATK prioritize</w:t>
      </w:r>
      <w:r>
        <w:rPr>
          <w:rFonts w:ascii="Times New Roman" w:hAnsi="Times New Roman" w:cs="Times New Roman"/>
          <w:szCs w:val="21"/>
        </w:rPr>
        <w:t>d</w:t>
      </w:r>
      <w:r w:rsidRPr="00B118B7">
        <w:rPr>
          <w:rFonts w:ascii="Times New Roman" w:hAnsi="Times New Roman" w:cs="Times New Roman"/>
          <w:szCs w:val="21"/>
        </w:rPr>
        <w:t xml:space="preserve"> segment-level somatic copy number alterations (SCNA). Two </w:t>
      </w:r>
      <w:r w:rsidRPr="00B118B7">
        <w:rPr>
          <w:rFonts w:ascii="Times New Roman" w:hAnsi="Times New Roman" w:cs="Times New Roman"/>
          <w:szCs w:val="21"/>
        </w:rPr>
        <w:lastRenderedPageBreak/>
        <w:t>rounds of filtration were conducted on SNVs and InDels,</w:t>
      </w:r>
      <w:bookmarkStart w:id="1" w:name="OLE_LINK11"/>
      <w:r w:rsidRPr="00B118B7">
        <w:rPr>
          <w:rFonts w:ascii="Times New Roman" w:hAnsi="Times New Roman" w:cs="Times New Roman"/>
          <w:szCs w:val="21"/>
        </w:rPr>
        <w:t xml:space="preserve"> including reliability filtering by retaining variants with low frequency (&lt;=0.01) in population, non-zero variant allele frequency (&gt;=0.01), more supporting reads (&gt;=3) and function</w:t>
      </w:r>
      <w:r w:rsidRPr="00106384">
        <w:rPr>
          <w:rFonts w:ascii="Times New Roman" w:hAnsi="Times New Roman" w:cs="Times New Roman"/>
          <w:szCs w:val="21"/>
        </w:rPr>
        <w:t>al alternations (nonsense, in-frame/frame-shift small insertions and deletions, mutations in canonical splice-sites). Cancer associated genes</w:t>
      </w:r>
      <w:r w:rsidRPr="00106384">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{"citationID":"ljU5I5gk","properties":{"formattedCitation":"\\super 3\\nosupersub{}","plainCitation":"3","noteIndex":0},"citationItems":[{"id":1123,"uris":["http://zotero.org/users/6617482/items/3UT7WZTY"],"itemData":{"id":1123,"type":"article-journal","abstract":"Whole genome sequencing (WGS) of prospectively collected tissue biopsies of 442 metastatic breast cancer (mBC) patients reveals that, compared to primary BC, tumour mutational burden (TMB) doubled, relative contributions of mutational signatures shifted, and mutation frequency of six known driver genes increased in mBC. Significant associations with pre-treatment were observed as well. The contribution of mutational signature 17 was significantly enriched in patients pre-treated with 5-FU, taxanes, platinum and/or eribulin, whereas the here identified de novo mutational signature I was significantly associated with pre-treatment containing platinum-based chemotherapy. Clinically relevant subgroups of tumours were identified exhibiting either homologous recombination deficiency (13%), high TMB (11%) or specific alterations (24%) linked to sensitivity to FDA-approved drugs. This study provides important novel insight into the biology of mBC and identifies clinically useful genomic features for future improvement of patient management.","container-title":"Nature genetics","DOI":"10.1038/s41588-019-0507-7","ISSN":"1061-4036","issue":"10","journalAbbreviation":"Nat Genet","note":"PMID: 31570896\nPMCID: PMC6858873","page":"1450-1458","source":"PubMed Central","title":"Genomic landscape of metastatic breast cancer and its clinical implications","volume":"51","author":[{"family":"Angus","given":"Lindsay"},{"family":"Smid","given":"Marcel"},{"family":"Wilting","given":"Saskia M."},{"family":"Riet","given":"Job","non-dropping-particle":"van"},{"family":"Hoeck","given":"Arne","non-dropping-particle":"van"},{"family":"Nguyen","given":"Luan"},{"family":"Nik-Zainal","given":"Serena"},{"family":"Steenbruggen","given":"Tessa G."},{"family":"Tjan-Heijnen","given":"Vivianne C.G."},{"family":"Labots","given":"Mariette"},{"family":"Riel","given":"Johanna M.G.H.","non-dropping-particle":"van"},{"family":"Bloemendal","given":"Haiko J."},{"family":"Steeghs","given":"Neeltje"},{"family":"Lolkema","given":"Martijn P."},{"family":"Voest","given":"Emile E."},{"family":"Werken","given":"Harmen J.G.","non-dropping-particle":"van de"},{"family":"Jager","given":"Agnes"},{"family":"Cuppen","given":"Edwin"},{"family":"Sleijfer","given":"Stefan"},{"family":"Martens","given":"John W.M."}],"issued":{"date-parts":[["2019",10,1]]}}}],"schema":"https://github.com/citation-style-language/schema/raw/master/csl-citation.json"} </w:instrText>
      </w:r>
      <w:r w:rsidRPr="00106384">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3</w:t>
      </w:r>
      <w:r w:rsidRPr="00106384">
        <w:rPr>
          <w:rFonts w:ascii="Times New Roman" w:hAnsi="Times New Roman" w:cs="Times New Roman"/>
          <w:szCs w:val="21"/>
        </w:rPr>
        <w:fldChar w:fldCharType="end"/>
      </w:r>
      <w:r w:rsidRPr="00106384">
        <w:rPr>
          <w:rFonts w:ascii="Times New Roman" w:hAnsi="Times New Roman" w:cs="Times New Roman"/>
          <w:szCs w:val="21"/>
        </w:rPr>
        <w:t xml:space="preserve"> were further extracted to conduct cancer-related filtration.</w:t>
      </w:r>
      <w:bookmarkEnd w:id="1"/>
      <w:r w:rsidRPr="00106384">
        <w:rPr>
          <w:rFonts w:ascii="Times New Roman" w:hAnsi="Times New Roman" w:cs="Times New Roman"/>
          <w:szCs w:val="21"/>
        </w:rPr>
        <w:t xml:space="preserve"> As for the germline mutations, the SNPs and InDels were identified following workflows in GATK. Annotations including mutation types, resided transcripts and allele frequencies of the healthy population were conducted by Ensembl Varient Effector Predictor</w:t>
      </w:r>
      <w:r w:rsidRPr="00106384">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{"citationID":"kIfOJRrO","properties":{"formattedCitation":"\\super 4\\nosupersub{}","plainCitation":"4","noteIndex":0},"citationItems":[{"id":3110,"uris":["http://zotero.org/users/6617482/items/B5H7SIPT"],"itemData":{"id":3110,"type":"article-journal","abstract":"The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designs.","container-title":"Genome Biology","DOI":"10.1186/s13059-016-0974-4","ISSN":"1474-760X","issue":"1","journalAbbreviation":"Genome Biology","page":"122","source":"BioMed Central","title":"The Ensembl Variant Effect Predictor","volume":"17","author":[{"family":"McLaren","given":"William"},{"family":"Gil","given":"Laurent"},{"family":"Hunt","given":"Sarah E."},{"family":"Riat","given":"Harpreet Singh"},{"family":"Ritchie","given":"Graham R. S."},{"family":"Thormann","given":"Anja"},{"family":"Flicek","given":"Paul"},{"family":"Cunningham","given":"Fiona"}],"issued":{"date-parts":[["2016"]]}}}],"schema":"https://github.com/citation-style-language/schema/raw/master/csl-citation.json"} </w:instrText>
      </w:r>
      <w:r w:rsidRPr="00106384">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4</w:t>
      </w:r>
      <w:r w:rsidRPr="00106384">
        <w:rPr>
          <w:rFonts w:ascii="Times New Roman" w:hAnsi="Times New Roman" w:cs="Times New Roman"/>
          <w:szCs w:val="21"/>
        </w:rPr>
        <w:fldChar w:fldCharType="end"/>
      </w:r>
      <w:r w:rsidRPr="00106384">
        <w:rPr>
          <w:rFonts w:ascii="Times New Roman" w:hAnsi="Times New Roman" w:cs="Times New Roman"/>
          <w:szCs w:val="21"/>
        </w:rPr>
        <w:t>. Functional mutations predicted as damaging and deleterious by PolyPhen</w:t>
      </w:r>
      <w:r w:rsidRPr="00106384">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{"citationID":"YDAUEXwH","properties":{"formattedCitation":"\\super 5\\nosupersub{}","plainCitation":"5","noteIndex":0},"citationItems":[{"id":3113,"uris":["http://zotero.org/users/6617482/items/SMJKDJ3N"],"itemData":{"id":3113,"type":"article-journal","abstract":"PolyPhen-2 (Polymorphism Phenotyping v2), available as software and via a Web server, predicts the possible impact of amino acid substitutions on the stability and function of human proteins using structural and comparative evolutionary considerations. It performs functional annotation of single-nucleotide polymorphisms (SNPs), maps coding SNPs to gene transcripts, extracts protein sequence annotations and structural attributes, and builds conservation profiles. It then estimates the probability of the missense mutation being damaging based on a combination of all these properties. PolyPhen-2 features include a high-quality multiple protein sequence alignment pipeline and a prediction method employing machine-learning classification. The software also integrates the UCSC Genome Browser’s human genome annotations and MultiZ multiple alignments of vertebrate genomes with the human genome. PolyPhen-2 is capable of analyzing large volumes of data produced by next-generation sequencing projects, thanks to built-in support for high-performance computing environments like Grid Engine and Platform LSF.","container-title":"Current protocols in human genetics / editorial board, Jonathan L. Haines ... [et al.]","DOI":"10.1002/0471142905.hg0720s76","ISSN":"1934-8266","journalAbbreviation":"Curr Protoc Hum Genet","note":"PMID: 23315928\nPMCID: PMC4480630","page":"Unit7.20","source":"PubMed Central","title":"Predicting Functional Effect of Human Missense Mutations Using PolyPhen-2","volume":"0 7","author":[{"family":"Adzhubei","given":"Ivan"},{"family":"Jordan","given":"Daniel M."},{"family":"Sunyaev","given":"Shamil R."}],"issued":{"date-parts":[["2013",1]]}}}],"schema":"https://github.com/citation-style-language/schema/raw/master/csl-citation.json"} </w:instrText>
      </w:r>
      <w:r w:rsidRPr="00106384">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5</w:t>
      </w:r>
      <w:r w:rsidRPr="00106384">
        <w:rPr>
          <w:rFonts w:ascii="Times New Roman" w:hAnsi="Times New Roman" w:cs="Times New Roman"/>
          <w:szCs w:val="21"/>
        </w:rPr>
        <w:fldChar w:fldCharType="end"/>
      </w:r>
      <w:r w:rsidRPr="00106384">
        <w:rPr>
          <w:rFonts w:ascii="Times New Roman" w:hAnsi="Times New Roman" w:cs="Times New Roman"/>
          <w:szCs w:val="21"/>
        </w:rPr>
        <w:t xml:space="preserve"> and SIFT</w:t>
      </w:r>
      <w:r w:rsidRPr="00106384">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{"citationID":"zGbuzh2n","properties":{"formattedCitation":"\\super 6\\nosupersub{}","plainCitation":"6","noteIndex":0},"citationItems":[{"id":3116,"uris":["http://zotero.org/users/6617482/items/ZDNKYSTR"],"itemData":{"id":3116,"type":"article-journal","abstract":"Single nucleotide polymorphism (SNP) studies and random mutagenesis projects identify amino acid substitutions in protein-coding regions. Each substitution has the potential to affect protein function. SIFT (Sorting Intolerant From Tolerant) is a program that predicts whether an amino acid substitution affects protein function so that users can prioritize substitutions for further study. We have shown that SIFT can distinguish between functionally neutral and deleterious amino acid changes in mutagenesis studies and on human polymorphisms. SIFT is available at http://blocks.fhcrc.org/sift/SIFT.html.","container-title":"Nucleic Acids Research","ISSN":"0305-1048","issue":"13","journalAbbreviation":"Nucleic Acids Res","note":"PMID: 12824425\nPMCID: PMC168916","page":"3812-3814","source":"PubMed Central","title":"SIFT: predicting amino acid changes that affect protein function","title-short":"SIFT","volume":"31","author":[{"family":"Ng","given":"Pauline C."},{"family":"Henikoff","given":"Steven"}],"issued":{"date-parts":[["2003",7,1]]}}}],"schema":"https://github.com/citation-style-language/schema/raw/master/csl-citation.json"} </w:instrText>
      </w:r>
      <w:r w:rsidRPr="00106384">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6</w:t>
      </w:r>
      <w:r w:rsidRPr="00106384">
        <w:rPr>
          <w:rFonts w:ascii="Times New Roman" w:hAnsi="Times New Roman" w:cs="Times New Roman"/>
          <w:szCs w:val="21"/>
        </w:rPr>
        <w:fldChar w:fldCharType="end"/>
      </w:r>
      <w:r w:rsidRPr="00106384">
        <w:rPr>
          <w:rFonts w:ascii="Times New Roman" w:hAnsi="Times New Roman" w:cs="Times New Roman"/>
          <w:szCs w:val="21"/>
        </w:rPr>
        <w:t xml:space="preserve"> tools were initially retained. Later mutations with allele frequency&gt;0.01 in all as well as the East Asian population from ExAC, 1000G and gnomAD databases were discarded in the further analyses.</w:t>
      </w:r>
      <w:r w:rsidRPr="00106384">
        <w:rPr>
          <w:rFonts w:ascii="Times New Roman" w:hAnsi="Times New Roman" w:cs="Times New Roman" w:hint="eastAsia"/>
          <w:szCs w:val="21"/>
        </w:rPr>
        <w:t xml:space="preserve"> </w:t>
      </w:r>
      <w:bookmarkStart w:id="2" w:name="OLE_LINK12"/>
      <w:r w:rsidRPr="00B118B7">
        <w:rPr>
          <w:rFonts w:ascii="Times New Roman" w:hAnsi="Times New Roman" w:cs="Times New Roman"/>
          <w:szCs w:val="21"/>
        </w:rPr>
        <w:t>As for mutational signatures, unfiltered somatic SNVs were fed into MutationalPatterns</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{"citationID":"OJElpJlj","properties":{"formattedCitation":"\\super 7\\nosupersub{}","plainCitation":"7","noteIndex":0},"citationItems":[{"id":1142,"uris":["http://zotero.org/users/6617482/items/EBX4ZMKC"],"itemData":{"id":1142,"type":"article-journal","abstract":"Base substitution catalogues represent historical records of mutational processes that have been active in a cell. Such processes can be distinguished by various characteristics, like mutation type, sequence context, transcriptional and replicative strand bias, genomic distribution and association with (epi)-genomic features.","container-title":"Genome Medicine","DOI":"10.1186/s13073-018-0539-0","ISSN":"1756-994X","issue":"1","journalAbbreviation":"Genome Medicine","page":"33","source":"BioMed Central","title":"MutationalPatterns: comprehensive genome-wide analysis of mutational processes","title-short":"MutationalPatterns","volume":"10","author":[{"family":"Blokzijl","given":"Francis"},{"family":"Janssen","given":"Roel"},{"family":"Boxtel","given":"Ruben","non-dropping-particle":"van"},{"family":"Cuppen","given":"Edwin"}],"issued":{"date-parts":[["2018",4,25]]}}}],"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7</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tool to derive their relative contribution to the base substitution spectrum and absolute contribution of COSMIC v3 SBS (single base substitution) mutational signatures. COSMIC v3 DBS (double base substitution) and ID (InDel) signature absolute exposures were quantified by Sigminer</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{"citationID":"luVXzYKR","properties":{"formattedCitation":"\\super 8\\nosupersub{}","plainCitation":"8","noteIndex":0},"citationItems":[{"id":1141,"uris":["http://zotero.org/users/6617482/items/HFY66YRT"],"itemData":{"id":1141,"type":"article-journal","abstract":"SUMMARY: Mutational signatures are recurring DNA alteration patterns caused by distinct mutational events during the evolution of cancer. In recent years, several bioinformatics tools are available for mutational signature analysis. However, most of them focus on specific type of mutation or have limited scope of application. A pipeline tool for comprehensive mutational signature analysis is still lacking. Here we present Sigflow pipeline, which provides an one-stop solution for de novo signature extraction, reference signature fitting, signature stability analysis, sample clustering based on signature exposure in different types of genome DNA alterations including single base substitution, doublet base substitution, small insertion and deletion and copy number alteration. A Docker image is constructed to solve the complex and time-consuming installation issues, and this enables reproducible research by version control of all dependent tools along with their environments. Sigflow pipeline can be applied to both human and mouse genomes.\nAVAILABILITY AND IMPLEMENTATION: Sigflow is an open source software under academic free license v3.0 and it is freely available at https://github.com/ShixiangWang/sigflow or https://hub.docker.com/r/shixiangwang/sigflow.\nSUPPLEMENTARY INFORMATION: Supplementary data are available at Bioinformatics online.","container-title":"Bioinformatics (Oxford, England)","DOI":"10.1093/bioinformatics/btaa895","ISSN":"1367-4811","journalAbbreviation":"Bioinformatics","language":"eng","note":"PMID: 33270873","source":"PubMed","title":"Sigflow: an automated and comprehensive pipeline for cancer genome mutational signature analysis","title-short":"Sigflow","author":[{"family":"Wang","given":"Shixiang"},{"family":"Tao","given":"Ziyu"},{"family":"Wu","given":"Tao"},{"family":"Liu","given":"Xue-Song"}],"issued":{"date-parts":[["2020",10,17]]}}}],"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8</w:t>
      </w:r>
      <w:r w:rsidRPr="00B118B7">
        <w:rPr>
          <w:rFonts w:ascii="Times New Roman" w:hAnsi="Times New Roman" w:cs="Times New Roman"/>
          <w:szCs w:val="21"/>
        </w:rPr>
        <w:fldChar w:fldCharType="end"/>
      </w:r>
      <w:r w:rsidRPr="00B118B7">
        <w:rPr>
          <w:rFonts w:ascii="Times New Roman" w:hAnsi="Times New Roman" w:cs="Times New Roman"/>
          <w:szCs w:val="21"/>
        </w:rPr>
        <w:t>. Quantification of existing seven SCNA signatures in curated samples was obtained by CNsignatures</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{"citationID":"0Y3MrQat","properties":{"formattedCitation":"\\super 9\\nosupersub{}","plainCitation":"9","noteIndex":0},"citationItems":[{"id":1139,"uris":["http://zotero.org/users/6617482/items/TKR65EVR"],"itemData":{"id":1139,"type":"article-journal","abstract":"The genomic complexity of profound copy-number aberration has prevented\neffective molecular stratification of ovarian cancers. To decode this\ncomplexity, we derived copy-number signatures from shallow whole genome\nsequencing of 117 high-grade serous ovarian cancer (HGSOC) cases, which were\nvalidated on 527 independent cases. We show that HGSOC comprises a continuum of\ngenomes shaped by multiple mutational processes that result in known patterns of\ngenomic aberration. Copy-number signature exposures at diagnosis predict both\noverall survival and the probability of platinum-resistant relapse. Measuring\nsignature exposures provides a rational framework to choose combination\ntreatments that target multiple mutational processes.","container-title":"Nature genetics","DOI":"10.1038/s41588-018-0179-8","ISSN":"1061-4036","issue":"9","journalAbbreviation":"Nat Genet","note":"PMID: 30104763\nPMCID: PMC6130818","page":"1262-1270","source":"PubMed Central","title":"Copy-number signatures and mutational processes in ovarian carcinoma","volume":"50","author":[{"family":"Macintyre","given":"Geoff"},{"family":"Goranova","given":"Teodora E."},{"family":"De Silva","given":"Dilrini"},{"family":"Ennis","given":"Darren"},{"family":"Piskorz","given":"Anna M."},{"family":"Eldridge","given":"Matthew"},{"family":"Sie","given":"Daoud"},{"family":"Lewsley","given":"Liz-Anne"},{"family":"Hanif","given":"Aishah"},{"family":"Wilson","given":"Cheryl"},{"family":"Dowson","given":"Suzanne"},{"family":"Glasspool","given":"Rosalind M."},{"family":"Lockley","given":"Michelle"},{"family":"Brockbank","given":"Elly"},{"family":"Montes","given":"Ana"},{"family":"Walther","given":"Axel"},{"family":"Sundar","given":"Sudha"},{"family":"Edmondson","given":"Richard"},{"family":"Hall","given":"Geoff D."},{"family":"Clamp","given":"Andrew"},{"family":"Gourley","given":"Charlie"},{"family":"Hall","given":"Marcia"},{"family":"Fotopoulou","given":"Christina"},{"family":"Gabra","given":"Hani"},{"family":"Paul","given":"James"},{"family":"Supernat","given":"Anna"},{"family":"Millan","given":"David"},{"family":"Hoyle","given":"Aoisha"},{"family":"Bryson","given":"Gareth"},{"family":"Nourse","given":"Craig"},{"family":"Mincarelli","given":"Laura"},{"family":"Navarro Sanchez","given":"Luis"},{"family":"Ylstra","given":"Bauke"},{"family":"Jimenez-Linan","given":"Mercedes"},{"family":"Moore","given":"Luiza"},{"family":"Hofmann","given":"Oliver"},{"family":"Markowetz","given":"Florian"},{"family":"McNeish","given":"Iain A."},{"family":"Brenton","given":"James D."}],"issued":{"date-parts":[["2018",9]]}}}],"schema":"https://github.com/citation-style-language/schema/raw/master/csl-citation.json"}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9</w:t>
      </w:r>
      <w:r w:rsidRPr="00B118B7">
        <w:rPr>
          <w:rFonts w:ascii="Times New Roman" w:hAnsi="Times New Roman" w:cs="Times New Roman"/>
          <w:szCs w:val="21"/>
        </w:rPr>
        <w:fldChar w:fldCharType="end"/>
      </w:r>
      <w:r w:rsidRPr="00B118B7">
        <w:rPr>
          <w:rFonts w:ascii="Times New Roman" w:hAnsi="Times New Roman" w:cs="Times New Roman"/>
          <w:szCs w:val="21"/>
        </w:rPr>
        <w:t>.</w:t>
      </w:r>
      <w:bookmarkEnd w:id="2"/>
    </w:p>
    <w:p w14:paraId="074285E3" w14:textId="77777777" w:rsidR="00220DA3" w:rsidRPr="00B118B7" w:rsidRDefault="00220DA3" w:rsidP="00220DA3">
      <w:pPr>
        <w:spacing w:line="480" w:lineRule="auto"/>
        <w:rPr>
          <w:rFonts w:ascii="Times New Roman" w:hAnsi="Times New Roman" w:cs="Times New Roman"/>
          <w:b/>
          <w:szCs w:val="21"/>
        </w:rPr>
      </w:pPr>
    </w:p>
    <w:p w14:paraId="1E1711A2" w14:textId="77777777" w:rsidR="00220DA3" w:rsidRPr="00B118B7" w:rsidRDefault="00220DA3" w:rsidP="00220DA3">
      <w:pPr>
        <w:spacing w:line="480" w:lineRule="auto"/>
        <w:rPr>
          <w:rFonts w:ascii="Times New Roman" w:hAnsi="Times New Roman" w:cs="Times New Roman"/>
          <w:szCs w:val="21"/>
        </w:rPr>
      </w:pPr>
      <w:r w:rsidRPr="00B118B7">
        <w:rPr>
          <w:rFonts w:ascii="Times New Roman" w:hAnsi="Times New Roman" w:cs="Times New Roman"/>
          <w:b/>
          <w:szCs w:val="21"/>
        </w:rPr>
        <w:t>Intratumor heterogeneity measurement and SNV/SCNA clonality annotation</w:t>
      </w:r>
    </w:p>
    <w:p w14:paraId="503B7A6A" w14:textId="5074CFBC" w:rsidR="00220DA3" w:rsidRDefault="00220DA3" w:rsidP="00E42587">
      <w:pPr>
        <w:spacing w:line="480" w:lineRule="auto"/>
        <w:ind w:firstLine="420"/>
        <w:rPr>
          <w:rFonts w:ascii="Times New Roman" w:hAnsi="Times New Roman" w:cs="Times New Roman"/>
          <w:szCs w:val="21"/>
        </w:rPr>
      </w:pPr>
      <w:r w:rsidRPr="00B118B7">
        <w:rPr>
          <w:rFonts w:ascii="Times New Roman" w:hAnsi="Times New Roman" w:cs="Times New Roman"/>
          <w:szCs w:val="21"/>
        </w:rPr>
        <w:t>The genomic diversification denoted by intratumor heterogeneity (ITH) were measured at both somatic SNV and SCNA scope. The mutant-allele tumor heterogeneity (MATH) score</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{"citationID":"JCPXHsIP","properties":{"formattedCitation":"\\super 10\\nosupersub{}","plainCitation":"10","noteIndex":0},"citationItems":[{"id":1144,"uris":["http://zotero.org/users/6617482/items/C6HELBVQ"],"itemData":{"id":1144,"type":"article-journal","abstract":"Objectives\nDifferences among cancer cells within a tumor are important in tumorigenesis and treatment resistance, yet no measure of intratumor heterogeneity is suitable for routine application. We developed a quantitative measure of intratumor genetic heterogeneity, based on differences among mutated loci in the mutant-allele fractions determined by next-generation sequencing (NGS) of tumor DNA. We then evaluated the application of this measure to head and neck squamous cell carcinoma (HNSCC).\n\nMaterials and Methods\nWe analyzed published electronically available NGS results for 74 HNSCC. For each tumor we calculated mutant-allele tumor heterogeneity (MATH) as the ratio of the width to the center of its distribution of mutant-allele fractions among tumor-specific mutated loci.\n\nResults\nIntratumor heterogeneity assessed by MATH was higher in 3 poor-outcome classes of HNSCC: tumors with disruptive mutations in the TP53 gene (versus wild-type TP53 or non-disruptive mutations), tumors negative versus positive for human papillomavirus (even when restricted to tumors having wild-type TP53), and HPV-negative tumors from smokers with more pack-years of cigarette exposure (with TP53 status taken into account).\n\nConclusion\nThe relation of this type of intratumor heterogeneity to HNSCC outcome classes supports its further evaluation as a prognostic biomarker. As NGS of tumor DNA becomes widespread in clinical research and practice, MATH should provide a simple, quantitative, and clinically practical biomarker to help evaluate relations of intratumor genetic heterogeneity to outcome in any type of cancer.","container-title":"Oral oncology","DOI":"10.1016/j.oraloncology.2012.09.007","ISSN":"1368-8375","issue":"3","journalAbbreviation":"Oral Oncol","note":"PMID: 23079694\nPMCID: PMC3570658","page":"211-215","source":"PubMed Central","title":"MATH, a novel measure of intratumor genetic heterogeneity, is high in poor-outcome classes of head and neck squamous cell carcinoma","volume":"49","author":[{"family":"Mroz","given":"Edmund A."},{"family":"Rocco","given":"James W."}],"issued":{"date-parts":[["2013",3]]}}}],"schema":"https://github.com/citation-style-language/schema/raw/master/csl-citation.json"}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10</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was calculated using sample-wise variant allele frequency (VAF) on filtered mutations. SNV and SCNA data were jointly considered to estimate the cancer cell fraction (CCF), cancer ploidy, tumor purity </w:t>
      </w:r>
      <w:r w:rsidRPr="00B118B7">
        <w:rPr>
          <w:rFonts w:ascii="Times New Roman" w:hAnsi="Times New Roman" w:cs="Times New Roman"/>
          <w:szCs w:val="21"/>
        </w:rPr>
        <w:lastRenderedPageBreak/>
        <w:t>and rescaled copy ratio by ABSOLUTE</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{"citationID":"njusZAOj","properties":{"formattedCitation":"\\super 11\\nosupersub{}","plainCitation":"11","noteIndex":0},"citationItems":[{"id":1145,"uris":["http://zotero.org/users/6617482/items/AEPYV7N6"],"itemData":{"id":1145,"type":"article-journal","abstract":"Tumors vary in their ratio of normal to cancerous cells and in their genomic copy number. Carter et al. describe an analytic method for inferring the purity and ploidy of a tumor sample, enabling longitudinal studies of subclonal mutations and tumor evolution.","container-title":"Nature Biotechnology","DOI":"10.1038/nbt.2203","ISSN":"1546-1696","issue":"5","language":"en","note":"number: 5\npublisher: Nature Publishing Group","page":"413-421","source":"www.nature.com","title":"Absolute quantification of somatic DNA alterations in human cancer","volume":"30","author":[{"family":"Carter","given":"Scott L."},{"family":"Cibulskis","given":"Kristian"},{"family":"Helman","given":"Elena"},{"family":"McKenna","given":"Aaron"},{"family":"Shen","given":"Hui"},{"family":"Zack","given":"Travis"},{"family":"Laird","given":"Peter W."},{"family":"Onofrio","given":"Robert C."},{"family":"Winckler","given":"Wendy"},{"family":"Weir","given":"Barbara A."},{"family":"Beroukhim","given":"Rameen"},{"family":"Pellman","given":"David"},{"family":"Levine","given":"Douglas A."},{"family":"Lander","given":"Eric S."},{"family":"Meyerson","given":"Matthew"},{"family":"Getz","given":"Gad"}],"issued":{"date-parts":[["2012",5]]}}}],"schema":"https://github.com/citation-style-language/schema/raw/master/csl-citation.json"}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11</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followed by model selection manual review. SNV was further annotated as clonal if its CCF upper 95% confidence interval&gt;=1 and the clonal mutation probability was higher. Between-allelic rescaled copy number ratio comparison was conducted to exclude copy neutral LOH (CNLOH) segments and annotate SCNA segments using allelic subclonal information from ABSOLUTE outputs.</w:t>
      </w:r>
    </w:p>
    <w:p w14:paraId="2C523803" w14:textId="77777777" w:rsidR="002B2270" w:rsidRPr="00E42587" w:rsidRDefault="002B2270" w:rsidP="00E42587">
      <w:pPr>
        <w:spacing w:line="480" w:lineRule="auto"/>
        <w:ind w:firstLine="420"/>
        <w:rPr>
          <w:rFonts w:ascii="Times New Roman" w:hAnsi="Times New Roman" w:cs="Times New Roman"/>
          <w:szCs w:val="21"/>
        </w:rPr>
      </w:pPr>
    </w:p>
    <w:p w14:paraId="14D407E8" w14:textId="77777777" w:rsidR="00220DA3" w:rsidRPr="00B118B7" w:rsidRDefault="00220DA3" w:rsidP="00220DA3">
      <w:pPr>
        <w:spacing w:line="480" w:lineRule="auto"/>
        <w:rPr>
          <w:rFonts w:ascii="Times New Roman" w:hAnsi="Times New Roman" w:cs="Times New Roman"/>
          <w:b/>
          <w:szCs w:val="21"/>
        </w:rPr>
      </w:pPr>
      <w:r w:rsidRPr="00B118B7">
        <w:rPr>
          <w:rFonts w:ascii="Times New Roman" w:hAnsi="Times New Roman" w:cs="Times New Roman"/>
          <w:b/>
          <w:szCs w:val="21"/>
        </w:rPr>
        <w:t>HRD event quantification and HR pathway gene analysis</w:t>
      </w:r>
    </w:p>
    <w:p w14:paraId="25400921" w14:textId="2DBB86E0" w:rsidR="00220DA3" w:rsidRPr="005E1C41" w:rsidRDefault="00220DA3" w:rsidP="00220DA3">
      <w:pPr>
        <w:spacing w:line="480" w:lineRule="auto"/>
        <w:ind w:firstLine="420"/>
      </w:pPr>
      <w:r w:rsidRPr="00B118B7">
        <w:rPr>
          <w:rFonts w:ascii="Times New Roman" w:hAnsi="Times New Roman" w:cs="Times New Roman"/>
          <w:szCs w:val="21"/>
        </w:rPr>
        <w:t>A NGS-based R package scarHRD</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{"citationID":"5mirgp3d","properties":{"formattedCitation":"\\super 12\\nosupersub{}","plainCitation":"12","noteIndex":0},"citationItems":[{"id":23,"uris":["http://zotero.org/users/6617482/items/584GRMMT"],"itemData":{"id":23,"type":"article-journal","abstract":"The first genomic scar-based homologous recombination deficiency (HRD) measures were produced using SNP arrays. As array-based technology has been largely replaced by next generation sequencing approaches, it has become important to develop algorithms that derive the same type of genomic scar scores from next generation sequencing (whole exome “WXS”, whole genome “WGS”) data. In order to perform this analysis, we introduce here the scarHRD R package and show that using this method the SNP array-based and next generation sequencing-based derivation of HRD scores show good correlation (Pearson correlation between 0.73 and 0.87 depending on the actual HRD measure) and that the NGS-based HRD scores distinguish similarly well between BRCA mutant and BRCA wild-type cases in a cohort of triple-negative breast cancer patients of the TCGA data set.","container-title":"npj Breast Cancer","DOI":"10.1038/s41523-018-0066-6","ISSN":"2374-4677","issue":"1","language":"en","note":"number: 1\npublisher: Nature Publishing Group","page":"1-4","source":"www.nature.com","title":"Migrating the SNP array-based homologous recombination deficiency measures to next generation sequencing data of breast cancer","volume":"4","author":[{"family":"Sztupinszki","given":"Zsofia"},{"family":"Diossy","given":"Miklos"},{"family":"Krzystanek","given":"Marcin"},{"family":"Reiniger","given":"Lilla"},{"family":"Csabai","given":"István"},{"family":"Favero","given":"Francesco"},{"family":"Birkbak","given":"Nicolai J."},{"family":"Eklund","given":"Aron C."},{"family":"Syed","given":"Ali"},{"family":"Szallasi","given":"Zoltan"}],"issued":{"date-parts":[["2018",7,2]]}}}],"schema":"https://github.com/citation-style-language/schema/raw/master/csl-citation.json"}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12</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was used to calculate three HRD metrics including telomeric allelic imbalance (TAI), loss off heterozygosity (LOH) and number of large-scale transi</w:t>
      </w:r>
      <w:r w:rsidRPr="005E1C41">
        <w:rPr>
          <w:rFonts w:ascii="Times New Roman" w:hAnsi="Times New Roman" w:cs="Times New Roman"/>
          <w:szCs w:val="21"/>
        </w:rPr>
        <w:t xml:space="preserve">tions (LST). </w:t>
      </w:r>
      <w:bookmarkStart w:id="3" w:name="OLE_LINK7"/>
      <w:r w:rsidRPr="005E1C41">
        <w:rPr>
          <w:rFonts w:ascii="Times New Roman" w:hAnsi="Times New Roman" w:cs="Times New Roman"/>
          <w:szCs w:val="21"/>
        </w:rPr>
        <w:t>Genes from HR pathway</w:t>
      </w:r>
      <w:r>
        <w:rPr>
          <w:rFonts w:ascii="Times New Roman" w:hAnsi="Times New Roman" w:cs="Times New Roman"/>
          <w:szCs w:val="21"/>
        </w:rPr>
        <w:t xml:space="preserve"> and core pathway</w:t>
      </w:r>
      <w:r w:rsidRPr="005E1C41">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{"citationID":"r2HfuH7c","properties":{"formattedCitation":"\\super 13\\nosupersub{}","plainCitation":"13","noteIndex":0},"citationItems":[{"id":1161,"uris":["http://zotero.org/users/6617482/items/S6QENEV7"],"itemData":{"id":1161,"type":"article-journal","abstract":"DNA damage repair (DDR) pathways modulate cancer risk, progression, and therapeutic response. We systematically analyzed somatic alterations to provide a comprehensive view of DDR deficiency across 33 cancer types. Mutations with accompanying loss of heterozygosity were observed in over 1/3 of DDR genes, including TP53 and BRCA1/2. Other prevalent alterations included epigenetic silencing of the direct repair genes EXO5, MGMT, and ALKBH3 in ~20% of samples. Homologous recombination deficiency (HRD) was present at varying frequency in many cancer types, most notably ovarian cancer. However, in contrast to ovarian cancer, HRD was associated with worse outcomes in several other cancers. Protein structure-based analyses allowed us to predict functional consequences of rare, recurrent DDR mutations. A new machine-learning-based classifier developed from gene expression data allowed us to identify alterations that phenocopy deleterious TP53 mutations. These frequent DDR gene alterations in many human cancers have functional consequences that may determine cancer progression and guide therapy., \n, Knijnenburg et al. present The Cancer Genome Atlas (TCGA) Pan-Cancer analysis of DNA damage repair (DDR) deficiency in cancer. They use integrative genomic and molecular analyses to identify frequent DDR alterations across 33 cancer types, correlate gene- and pathway-level alterations with genome-wide measures of genome instability and impaired function, and demonstrate the prognostic utility of DDR deficiency scores.","container-title":"Cell reports","DOI":"10.1016/j.celrep.2018.03.076","ISSN":"2211-1247","issue":"1","journalAbbreviation":"Cell Rep","note":"PMID: 29617664\nPMCID: PMC5961503","page":"239-254.e6","source":"PubMed Central","title":"Genomic and Molecular Landscape of DNA Damage Repair Deficiency across The Cancer Genome Atlas","volume":"23","author":[{"family":"Knijnenburg","given":"Theo A."},{"family":"Wang","given":"Linghua"},{"family":"Zimmermann","given":"Michael T."},{"family":"Chambwe","given":"Nyasha"},{"family":"Gao","given":"Galen F."},{"family":"Cherniack","given":"Andrew D."},{"family":"Fan","given":"Huihui"},{"family":"Shen","given":"Hui"},{"family":"Way","given":"Gregory P."},{"family":"Greene","given":"Casey S."},{"family":"Liu","given":"Yuexin"},{"family":"Akbani","given":"Rehan"},{"family":"Feng","given":"Bin"},{"family":"Donehower","given":"Lawrence A."},{"family":"Miller","given":"Chase"},{"family":"Shen","given":"Yang"},{"family":"Karimi","given":"Mostafa"},{"family":"Chen","given":"Haoran"},{"family":"Kim","given":"Pora"},{"family":"Jia","given":"Peilin"},{"family":"Shinbrot","given":"Eve"},{"family":"Zhang","given":"Shaojun"},{"family":"Liu","given":"Jianfang"},{"family":"Hu","given":"Hai"},{"family":"Bailey","given":"Matthew H."},{"family":"Yau","given":"Christina"},{"family":"Wolf","given":"Denise"},{"family":"Zhao","given":"Zhongming"},{"family":"Weinstein","given":"John N."},{"family":"Li","given":"Lei"},{"family":"Ding","given":"Li"},{"family":"Mills","given":"Gordon B."},{"family":"Laird","given":"Peter W."},{"family":"Wheeler","given":"David A."},{"family":"Shmulevich","given":"Ilya"},{"family":"Monnat","given":"Raymond J"},{"family":"Xiao","given":"Yonghong"},{"family":"Wang","given":"Chen"}],"issued":{"date-parts":[["2018",4,3]]}}}],"schema":"https://github.com/citation-style-language/schema/raw/master/csl-citation.json"} </w:instrText>
      </w:r>
      <w:r w:rsidRPr="005E1C41">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13</w:t>
      </w:r>
      <w:r w:rsidRPr="005E1C41">
        <w:rPr>
          <w:rFonts w:ascii="Times New Roman" w:hAnsi="Times New Roman" w:cs="Times New Roman"/>
          <w:szCs w:val="21"/>
        </w:rPr>
        <w:fldChar w:fldCharType="end"/>
      </w:r>
      <w:r w:rsidRPr="005E1C41">
        <w:rPr>
          <w:rFonts w:ascii="Times New Roman" w:hAnsi="Times New Roman" w:cs="Times New Roman"/>
          <w:szCs w:val="21"/>
        </w:rPr>
        <w:t xml:space="preserve"> were collected for the intersection with clonality-annotated SNV/germline mutations/SCNA.</w:t>
      </w:r>
      <w:bookmarkEnd w:id="3"/>
      <w:r w:rsidRPr="005E1C41">
        <w:rPr>
          <w:rFonts w:ascii="Times New Roman" w:hAnsi="Times New Roman" w:cs="Times New Roman"/>
          <w:szCs w:val="21"/>
        </w:rPr>
        <w:t xml:space="preserve"> </w:t>
      </w:r>
    </w:p>
    <w:p w14:paraId="24AAF328" w14:textId="77777777" w:rsidR="00220DA3" w:rsidRPr="005E1C41" w:rsidRDefault="00220DA3" w:rsidP="00220DA3">
      <w:pPr>
        <w:spacing w:line="480" w:lineRule="auto"/>
        <w:ind w:firstLine="420"/>
      </w:pPr>
    </w:p>
    <w:p w14:paraId="4D3F19E6" w14:textId="77777777" w:rsidR="00220DA3" w:rsidRPr="005E1C41" w:rsidRDefault="00220DA3" w:rsidP="00220DA3">
      <w:pPr>
        <w:spacing w:line="480" w:lineRule="auto"/>
        <w:rPr>
          <w:rFonts w:ascii="Times New Roman" w:hAnsi="Times New Roman" w:cs="Times New Roman"/>
          <w:b/>
          <w:szCs w:val="21"/>
        </w:rPr>
      </w:pPr>
      <w:r w:rsidRPr="005E1C41">
        <w:rPr>
          <w:rFonts w:ascii="Times New Roman" w:hAnsi="Times New Roman" w:cs="Times New Roman"/>
          <w:b/>
          <w:szCs w:val="21"/>
        </w:rPr>
        <w:t>Neoantigen identification and HLA-LOH event evaluation</w:t>
      </w:r>
    </w:p>
    <w:p w14:paraId="08D17AA1" w14:textId="3E1B3746" w:rsidR="00220DA3" w:rsidRPr="00B118B7" w:rsidRDefault="00220DA3" w:rsidP="00220DA3">
      <w:pPr>
        <w:spacing w:line="480" w:lineRule="auto"/>
        <w:ind w:firstLine="420"/>
        <w:rPr>
          <w:rFonts w:ascii="Times New Roman" w:hAnsi="Times New Roman" w:cs="Times New Roman"/>
          <w:szCs w:val="21"/>
        </w:rPr>
      </w:pPr>
      <w:r w:rsidRPr="00B118B7">
        <w:rPr>
          <w:rFonts w:ascii="Times New Roman" w:hAnsi="Times New Roman" w:cs="Times New Roman"/>
          <w:szCs w:val="21"/>
        </w:rPr>
        <w:t>pVACseq</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{"citationID":"2LkWXJto","properties":{"formattedCitation":"\\super 14\\nosupersub{}","plainCitation":"14","noteIndex":0},"citationItems":[{"id":1146,"uris":["http://zotero.org/users/6617482/items/8FIYMT5X"],"itemData":{"id":1146,"type":"article-journal","abstract":"Cancer immunotherapy has gained significant momentum from recent clinical successes of checkpoint blockade inhibition. Massively parallel sequence analysis suggests a connection between mutational load and response to this class of therapy. Methods to identify which tumor-specific mutant peptides (neoantigens) can elicit anti-tumor T cell immunity are needed to improve predictions of checkpoint therapy response and to identify targets for vaccines and adoptive T cell therapies. Here, we present a flexible, streamlined computational workflow for identification of personalized Variant Antigens by Cancer Sequencing (pVAC-Seq) that integrates tumor mutation and expression data (DNA- and RNA-Seq). pVAC-Seq is available at https://github.com/griffithlab/pVAC-Seq.","container-title":"Genome Medicine","DOI":"10.1186/s13073-016-0264-5","ISSN":"1756-994X","journalAbbreviation":"Genome Med","note":"PMID: 26825632\nPMCID: PMC4733280","source":"PubMed Central","title":"pVAC-Seq: A genome-guided in silico approach to identifying tumor neoantigens","title-short":"pVAC-Seq","URL":"https://www.ncbi.nlm.nih.gov/pmc/articles/PMC4733280/","volume":"8","author":[{"family":"Hundal","given":"Jasreet"},{"family":"Carreno","given":"Beatriz M."},{"family":"Petti","given":"Allegra A."},{"family":"Linette","given":"Gerald P."},{"family":"Griffith","given":"Obi L."},{"family":"Mardis","given":"Elaine R."},{"family":"Griffith","given":"Malachi"}],"accessed":{"date-parts":[["2021",4,15]]},"issued":{"date-parts":[["2016",1,29]]}}}],"schema":"https://github.com/citation-style-language/schema/raw/master/csl-citation.json"}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14</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was exploited for neoantigen prediction and the TNB was normalized as per-megabase neoantigen that passed filtration. The HLA-LOH event occurrence was determined by LOHHLA tool</w:t>
      </w:r>
      <w:r w:rsidRPr="00B118B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{"citationID":"22eNp7SR","properties":{"formattedCitation":"\\super 15\\nosupersub{}","plainCitation":"15","noteIndex":0},"citationItems":[{"id":963,"uris":["http://zotero.org/users/6617482/items/4TSRRR43"],"itemData":{"id":963,"type":"article-journal","abstract":"•\n              LOHHLA enables estimation of allele-specific HLA loss from sequencing data\n            \n            \n              •\n              LOH of the HLA locus occurs in 40% of early stage non-small-cell lung cancers\n            \n            \n              •\n              HLA LOH is associated with a high subclonal neoantigen burden and immune activity\n            \n            \n              •\n              HLA LOH is an immune escape mechanism subject to strong selection pressures\n            \n          \n        , Development of the bioinformatics tool LOHHLA allows precise measurement of allele-specific HLA copy number, improves the accuracy in neoantigen prediction, and uncovers insights into how immune escape contributes to tumor evolution in non-small-cell lung cancer.","container-title":"Cell","DOI":"10.1016/j.cell.2017.10.001","ISSN":"0092-8674","issue":"6","journalAbbreviation":"Cell","note":"PMID: 29107330\nPMCID: PMC5720478","page":"1259-1271.e11","source":"PubMed Central","title":"Allele-Specific HLA Loss and Immune Escape in Lung Cancer Evolution","volume":"171","author":[{"family":"McGranahan","given":"Nicholas"},{"family":"Rosenthal","given":"Rachel"},{"family":"Hiley","given":"Crispin T."},{"family":"Rowan","given":"Andrew J."},{"family":"Watkins","given":"Thomas B.K."},{"family":"Wilson","given":"Gareth A."},{"family":"Birkbak","given":"Nicolai J."},{"family":"Veeriah","given":"Selvaraju"},{"family":"Van Loo","given":"Peter"},{"family":"Herrero","given":"Javier"},{"family":"Swanton","given":"Charles"}],"issued":{"date-parts":[["2017",11,30]]}}}],"schema":"https://github.com/citation-style-language/schema/raw/master/csl-citation.json"} </w:instrText>
      </w:r>
      <w:r w:rsidRPr="00B118B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15</w:t>
      </w:r>
      <w:r w:rsidRPr="00B118B7">
        <w:rPr>
          <w:rFonts w:ascii="Times New Roman" w:hAnsi="Times New Roman" w:cs="Times New Roman"/>
          <w:szCs w:val="21"/>
        </w:rPr>
        <w:fldChar w:fldCharType="end"/>
      </w:r>
      <w:r w:rsidRPr="00B118B7">
        <w:rPr>
          <w:rFonts w:ascii="Times New Roman" w:hAnsi="Times New Roman" w:cs="Times New Roman"/>
          <w:szCs w:val="21"/>
        </w:rPr>
        <w:t xml:space="preserve"> and the alleles with allelic imbalance p-value&lt;0.05 was retained.</w:t>
      </w:r>
    </w:p>
    <w:p w14:paraId="675A1F71" w14:textId="77777777" w:rsidR="00220DA3" w:rsidRPr="00B118B7" w:rsidRDefault="00220DA3" w:rsidP="00220DA3">
      <w:pPr>
        <w:spacing w:line="480" w:lineRule="auto"/>
        <w:rPr>
          <w:rFonts w:ascii="Times New Roman" w:hAnsi="Times New Roman" w:cs="Times New Roman"/>
          <w:b/>
          <w:szCs w:val="21"/>
        </w:rPr>
      </w:pPr>
    </w:p>
    <w:p w14:paraId="077531A8" w14:textId="77777777" w:rsidR="00220DA3" w:rsidRPr="00472EBF" w:rsidRDefault="00220DA3" w:rsidP="00220DA3">
      <w:pPr>
        <w:spacing w:line="480" w:lineRule="auto"/>
        <w:rPr>
          <w:rFonts w:ascii="Times New Roman" w:hAnsi="Times New Roman" w:cs="Times New Roman"/>
          <w:b/>
          <w:szCs w:val="21"/>
        </w:rPr>
      </w:pPr>
      <w:r w:rsidRPr="00472EBF">
        <w:rPr>
          <w:rFonts w:ascii="Times New Roman" w:hAnsi="Times New Roman" w:cs="Times New Roman"/>
          <w:b/>
          <w:szCs w:val="21"/>
        </w:rPr>
        <w:t>Public data curation for validation</w:t>
      </w:r>
    </w:p>
    <w:p w14:paraId="35FEBA52" w14:textId="6C8277A8" w:rsidR="00220DA3" w:rsidRPr="00BC2575" w:rsidRDefault="00220DA3" w:rsidP="00220DA3">
      <w:pPr>
        <w:spacing w:line="480" w:lineRule="auto"/>
        <w:ind w:firstLine="420"/>
        <w:rPr>
          <w:rFonts w:ascii="Times New Roman" w:hAnsi="Times New Roman" w:cs="Times New Roman"/>
          <w:szCs w:val="21"/>
        </w:rPr>
      </w:pPr>
      <w:r w:rsidRPr="00472EBF">
        <w:rPr>
          <w:rFonts w:ascii="Times New Roman" w:hAnsi="Times New Roman" w:cs="Times New Roman"/>
          <w:szCs w:val="21"/>
        </w:rPr>
        <w:t>For multi-cohort data validation on the discriminative power of HRD in clinical treatments, data were retrieved from multiple immunotherapy and chemotherapy lung cancer datasets. More specifically, based on treatment scheme, the curated datasets were classified into neoadjuvan</w:t>
      </w:r>
      <w:r w:rsidR="007B75B8">
        <w:rPr>
          <w:rFonts w:ascii="Times New Roman" w:hAnsi="Times New Roman" w:cs="Times New Roman"/>
          <w:szCs w:val="21"/>
        </w:rPr>
        <w:t xml:space="preserve">t immunotherapy, immunotherapy </w:t>
      </w:r>
      <w:r w:rsidRPr="00472EBF">
        <w:rPr>
          <w:rFonts w:ascii="Times New Roman" w:hAnsi="Times New Roman" w:cs="Times New Roman"/>
          <w:szCs w:val="21"/>
        </w:rPr>
        <w:t xml:space="preserve">and multi-therapy categories. As for the neoadjuvant </w:t>
      </w:r>
      <w:r w:rsidRPr="00472EBF">
        <w:rPr>
          <w:rFonts w:ascii="Times New Roman" w:hAnsi="Times New Roman" w:cs="Times New Roman"/>
          <w:szCs w:val="21"/>
        </w:rPr>
        <w:lastRenderedPageBreak/>
        <w:t>immunotherapy group, results from two studies utilizing WES in genomic characteristic profiling on NSCLC patients were collected</w:t>
      </w:r>
      <w:r w:rsidRPr="00472EBF">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{"citationID":"mTCbBqxL","properties":{"formattedCitation":"\\super 16,17\\nosupersub{}","plainCitation":"16,17","noteIndex":0},"citationItems":[{"id":3012,"uris":["http://zotero.org/users/6617482/items/K9AR38LE"],"itemData":{"id":3012,"type":"article-journal","abstract":"Neoadjuvant PD-1 Blockade in Lung Cancer In a pilot study, two doses of neoadjuvant nivolumab administered to patients with resectable lung cancer resulted in a major pathological response in 45% and amplified T-cell clones specific for tumor antigens.","container-title":"New England Journal of Medicine","DOI":"10.1056/NEJMoa1716078","ISSN":"0028-4793","issue":"21","note":"publisher: Massachusetts Medical Society\n_eprint: https://doi.org/10.1056/NEJMoa1716078\nPMID: 29658848","page":"1976-1986","source":"Taylor and Francis+NEJM","title":"Neoadjuvant PD-1 Blockade in Resectable Lung Cancer","volume":"378","author":[{"family":"Forde","given":"Patrick M."},{"family":"Chaft","given":"Jamie E."},{"family":"Smith","given":"Kellie N."},{"family":"Anagnostou","given":"Valsamo"},{"family":"Cottrell","given":"Tricia R."},{"family":"Hellmann","given":"Matthew D."},{"family":"Zahurak","given":"Marianna"},{"family":"Yang","given":"Stephen C."},{"family":"Jones","given":"David R."},{"family":"Broderick","given":"Stephen"},{"family":"Battafarano","given":"Richard J."},{"family":"Velez","given":"Moises J."},{"family":"Rekhtman","given":"Natasha"},{"family":"Olah","given":"Zachary"},{"family":"Naidoo","given":"Jarushka"},{"family":"Marrone","given":"Kristen A."},{"family":"Verde","given":"Franco"},{"family":"Guo","given":"Haidan"},{"family":"Zhang","given":"Jiajia"},{"family":"Caushi","given":"Justina X."},{"family":"Chan","given":"Hok Yee"},{"family":"Sidhom","given":"John-William"},{"family":"Scharpf","given":"Robert B."},{"family":"White","given":"James"},{"family":"Gabrielson","given":"Edward"},{"family":"Wang","given":"Hao"},{"family":"Rosner","given":"Gary L."},{"family":"Rusch","given":"Valerie"},{"family":"Wolchok","given":"Jedd D."},{"family":"Merghoub","given":"Taha"},{"family":"Taube","given":"Janis M."},{"family":"Velculescu","given":"Victor E."},{"family":"Topalian","given":"Suzanne L."},{"family":"Brahmer","given":"Julie R."},{"family":"Pardoll","given":"Drew M."}],"issued":{"date-parts":[["2018",5,24]]}},"locator":"-1"},{"id":3015,"uris":["http://zotero.org/users/6617482/items/E48SWWDA"],"itemData":{"id":3015,"type":"article-journal","abstract":"BACKGROUND: We conducted the first trial of neoadjuvant PD-1 blockade in resectable non-small cell lung cancer (NSCLC), finding nivolumab monotherapy to be safe and feasible with an encouraging rate of pathologic response. Building on these results, and promising data for nivolumab plus ipilimumab (anti-CTLA-4) in advanced NSCLC, we expanded our study to include an arm investigating neoadjuvant nivolumab plus ipilimumab.\nMETHODS: Patients with resectable stage IB (</w:instrText>
      </w:r>
      <w:r w:rsidR="00701F54">
        <w:rPr>
          <w:rFonts w:ascii="Times New Roman" w:hAnsi="Times New Roman" w:cs="Times New Roman" w:hint="eastAsia"/>
          <w:szCs w:val="21"/>
        </w:rPr>
        <w:instrText>≥</w:instrText>
      </w:r>
      <w:r w:rsidR="00701F54">
        <w:rPr>
          <w:rFonts w:ascii="Times New Roman" w:hAnsi="Times New Roman" w:cs="Times New Roman"/>
          <w:szCs w:val="21"/>
        </w:rPr>
        <w:instrText>4 cm)-IIIA (American Joint Committee on Cancer Tumor Node Metastases seventh edition), histologically confirmed, treatment-naïve NSCLC received nivolumab 3 mg/kg intravenously plus ipilimumab 1 mg/kg intravenously 6 weeks prior to planned resection. Nivolumab 3 mg/kg was given again approximately 4 and 2 weeks preoperatively. Primary endpoints were safety and feasibility with a planned enrollment of 15 patients. Pathologic response was a key secondary endpoint.\nRESULTS: While the treatment regimen was feasible per protocol, due to toxicity, the study arm was terminated early by investigator consensus af</w:instrText>
      </w:r>
      <w:r w:rsidR="00701F54">
        <w:rPr>
          <w:rFonts w:ascii="Times New Roman" w:hAnsi="Times New Roman" w:cs="Times New Roman" w:hint="eastAsia"/>
          <w:szCs w:val="21"/>
        </w:rPr>
        <w:instrText xml:space="preserve">ter 9 of 15 patients were enrolled. All patients received every scheduled dose of therapy and were fit for planned surgery; however, 6 of 9 (67%) experienced treatment-related adverse events (TRAEs) and 3 (33%) experienced grade </w:instrText>
      </w:r>
      <w:r w:rsidR="00701F54">
        <w:rPr>
          <w:rFonts w:ascii="Times New Roman" w:hAnsi="Times New Roman" w:cs="Times New Roman" w:hint="eastAsia"/>
          <w:szCs w:val="21"/>
        </w:rPr>
        <w:instrText>≥</w:instrText>
      </w:r>
      <w:r w:rsidR="00701F54">
        <w:rPr>
          <w:rFonts w:ascii="Times New Roman" w:hAnsi="Times New Roman" w:cs="Times New Roman" w:hint="eastAsia"/>
          <w:szCs w:val="21"/>
        </w:rPr>
        <w:instrText>3 TRAEs. Three of 9 patie</w:instrText>
      </w:r>
      <w:r w:rsidR="00701F54">
        <w:rPr>
          <w:rFonts w:ascii="Times New Roman" w:hAnsi="Times New Roman" w:cs="Times New Roman"/>
          <w:szCs w:val="21"/>
        </w:rPr>
        <w:instrText xml:space="preserve">nts (33%) had biopsy-confirmed tumor progression precluding definitive surgery. Of the 6 patients who underwent resection, 3 are alive and disease-free, 2 experienced recurrence and are actively receiving systemic treatment, and one died postoperatively due to acute respiratory distress syndrome. Two patients who underwent resection had tumor pathologic complete responses (pCRs) and continue to remain disease-free over 24 months since surgery. Pathologic response correlated with pre-treatment tumor PD-L1 expression, but not tumor mutation burden. Tumor KRAS/STK11 co-mutations were identified in 5 of 9 patients (59%), of whom two with disease progression precluding surgery had tumor KRAS/STK11/KEAP1 co-mutations.\nCONCLUSIONS: Though treatment was feasible, due to toxicity the study arm was terminated early by investigator consensus. In light of this, and while the long-term disease-free status of patients who achieved pCR is encouraging, further investigation of neoadjuvant nivolumab plus ipilimumab in patients with resectable NSCLC requires the identification of predictive biomarkers that enrich for response.","container-title":"Journal for Immunotherapy of Cancer","DOI":"10.1136/jitc-2020-001282","ISSN":"2051-1426","issue":"2","journalAbbreviation":"J Immunother Cancer","language":"eng","note":"PMID: 32929052\nPMCID: PMC7488786","page":"e001282","source":"PubMed","title":"Neoadjuvant nivolumab plus ipilimumab in resectable non-small cell lung cancer","volume":"8","author":[{"family":"Reuss","given":"Joshua E."},{"family":"Anagnostou","given":"Valsamo"},{"family":"Cottrell","given":"Tricia R."},{"family":"Smith","given":"Kellie N."},{"family":"Verde","given":"Franco"},{"family":"Zahurak","given":"Marianna"},{"family":"Lanis","given":"Mara"},{"family":"Murray","given":"Joseph C."},{"family":"Chan","given":"Hok Yee"},{"family":"McCarthy","given":"Caroline"},{"family":"Wang","given":"Daphne"},{"family":"White","given":"James R."},{"family":"Yang","given":"Stephen"},{"family":"Battafarano","given":"Richard"},{"family":"Broderick","given":"Stephen"},{"family":"Bush","given":"Errol"},{"family":"Brock","given":"Malcolm"},{"family":"Ha","given":"Jinny"},{"family":"Jones","given":"David"},{"family":"Merghoub","given":"Taha"},{"family":"Taube","given":"Janis"},{"family":"Velculescu","given":"Victor E."},{"family":"Rosner","given":"Gary"},{"family":"Illei","given":"Peter"},{"family":"Pardoll","given":"Drew M."},{"family":"Topalian","given":"Suzanne"},{"family":"Naidoo","given":"Jarushka"},{"family":"Levy","given":"Ben"},{"family":"Hellmann","given":"Matthew"},{"family":"Brahmer","given":"Julie R."},{"family":"Chaft","given":"Jamie E."},{"family":"Forde","given":"Patrick M."}],"issued":{"date-parts":[["2020",9]]}}}],"schema":"https://github.com/citation-style-language/schema/raw/master/csl-citation.json"} </w:instrText>
      </w:r>
      <w:r w:rsidRPr="00472EBF">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16,17</w:t>
      </w:r>
      <w:r w:rsidRPr="00472EBF">
        <w:rPr>
          <w:rFonts w:ascii="Times New Roman" w:hAnsi="Times New Roman" w:cs="Times New Roman"/>
          <w:szCs w:val="21"/>
        </w:rPr>
        <w:fldChar w:fldCharType="end"/>
      </w:r>
      <w:r w:rsidRPr="00472EBF">
        <w:rPr>
          <w:rFonts w:ascii="Times New Roman" w:hAnsi="Times New Roman" w:cs="Times New Roman"/>
          <w:szCs w:val="21"/>
        </w:rPr>
        <w:t xml:space="preserve"> (denoted as N Engl J Med. 2018 and J Immunother Cancer. 2020). As</w:t>
      </w:r>
      <w:r w:rsidR="00B31917">
        <w:rPr>
          <w:rFonts w:ascii="Times New Roman" w:hAnsi="Times New Roman" w:cs="Times New Roman"/>
          <w:szCs w:val="21"/>
        </w:rPr>
        <w:t xml:space="preserve"> for immunotherapy group, one WES dataset</w:t>
      </w:r>
      <w:r w:rsidRPr="00472EBF">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{"citationID":"R8hpRo1R","properties":{"formattedCitation":"\\super 18\\nosupersub{}","plainCitation":"18","noteIndex":0},"citationItems":[{"id":980,"uris":["http://zotero.org/users/6617482/items/DJCLRYUG"],"itemData":{"id":980,"type":"article-journal","abstract":"Tumor mutational burden correlates with response to immune checkpoint blockade in multiple solid tumors, although in microsatellite-stable tumors this association is of uncertain clinical utility. Here we uniformly analyzed whole-exome sequencing (WES) of 249 tumors and matched normal tissue from patients with clinically annotated outcomes to immune checkpoint therapy, including radiographic response, across multiple cancer types to examine additional tumor genomic features that contribute to selective response. Our analyses identified genomic correlates of response beyond mutational burden, including somatic events in individual driver genes, certain global mutational signatures, and specific HLA-restricted neoantigens. However, these features were often interrelated, highlighting the complexity of identifying genetic driver events that generate an immunoresponsive tumor environment. This study lays a path forward in analyzing large clinical cohorts in an integrated and multifaceted manner to enhance the ability to discover clinically meaningful predictive features of response to immune checkpoint blockade.","container-title":"Nature Genetics","DOI":"10.1038/s41588-018-0200-2","ISSN":"1546-1718","issue":"9","language":"en","note":"number: 9\npublisher: Nature Publishing Group","page":"1271-1281","source":"www.nature.com","title":"Genomic correlates of response to immune checkpoint blockade in microsatellite-stable solid tumors","volume":"50","author":[{"family":"Miao","given":"Diana"},{"family":"Margolis","given":"Claire A."},{"family":"Vokes","given":"Natalie I."},{"family":"Liu","given":"David"},{"family":"Taylor-Weiner","given":"Amaro"},{"family":"Wankowicz","given":"Stephanie M."},{"family":"Adeegbe","given":"Dennis"},{"family":"Keliher","given":"Daniel"},{"family":"Schilling","given":"Bastian"},{"family":"Tracy","given":"Adam"},{"family":"Manos","given":"Michael"},{"family":"Chau","given":"Nicole G."},{"family":"Hanna","given":"Glenn J."},{"family":"Polak","given":"Paz"},{"family":"Rodig","given":"Scott J."},{"family":"Signoretti","given":"Sabina"},{"family":"Sholl","given":"Lynette M."},{"family":"Engelman","given":"Jeffrey A."},{"family":"Getz","given":"Gad"},{"family":"Jänne","given":"Pasi A."},{"family":"Haddad","given":"Robert I."},{"family":"Choueiri","given":"Toni K."},{"family":"Barbie","given":"David A."},{"family":"Haq","given":"Rizwan"},{"family":"Awad","given":"Mark M."},{"family":"Schadendorf","given":"Dirk"},{"family":"Hodi","given":"F. Stephen"},{"family":"Bellmunt","given":"Joaquim"},{"family":"Wong","given":"Kwok-Kin"},{"family":"Hammerman","given":"Peter"},{"family":"Van Allen","given":"Eliezer M."}],"issued":{"date-parts":[["2018",9]]}}}],"schema":"https://github.com/citation-style-language/schema/raw/master/csl-citation.json"} </w:instrText>
      </w:r>
      <w:r w:rsidRPr="00472EBF">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18</w:t>
      </w:r>
      <w:r w:rsidRPr="00472EBF">
        <w:rPr>
          <w:rFonts w:ascii="Times New Roman" w:hAnsi="Times New Roman" w:cs="Times New Roman"/>
          <w:szCs w:val="21"/>
        </w:rPr>
        <w:fldChar w:fldCharType="end"/>
      </w:r>
      <w:r w:rsidRPr="00472EBF">
        <w:rPr>
          <w:rFonts w:ascii="Times New Roman" w:hAnsi="Times New Roman" w:cs="Times New Roman"/>
          <w:szCs w:val="21"/>
        </w:rPr>
        <w:t xml:space="preserve"> denoted as Nat Genet. 2018 and one targeted sequencing dataset</w:t>
      </w:r>
      <w:r w:rsidRPr="00472EBF">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{"citationID":"ANuNxHKL","properties":{"formattedCitation":"\\super 19\\nosupersub{}","plainCitation":"19","noteIndex":0},"citationItems":[{"id":3027,"uris":["http://zotero.org/users/6617482/items/IJLINITP"],"itemData":{"id":3027,"type":"article-journal","abstract":"Purpose Treatment of advanced non-small-cell lung cancer with immune checkpoint inhibitors (ICIs) is characterized by durable responses and improved survival in a subset of patients. Clinically available tools to optimize use of ICIs and understand the molecular determinants of response are needed. Targeted next-generation sequencing (NGS) is increasingly routine, but its role in identifying predictors of response to ICIs is not known. Methods Detailed clinical annotation and response data were collected for patients with advanced non-small-cell lung cancer treated with anti-programmed death-1 or anti-programmed death-ligand 1 [anti-programmed cell death (PD)-1] therapy and profiled by targeted NGS (MSK-IMPACT; n = 240). Efficacy was assessed by Response Evaluation Criteria in Solid Tumors (RECIST) version 1.1, and durable clinical benefit (DCB) was defined as partial response/stable disease that lasted &gt; 6 months. Tumor mutation burden (TMB), fraction of copy number-altered genome, and gene alterations were compared among patients with DCB and no durable benefit (NDB). Whole-exome sequencing (WES) was performed for 49 patients to compare quantification of TMB by targeted NGS versus WES. Results Estimates of TMB by targeted NGS correlated well with WES (ρ = 0.86; P &lt; .001). TMB was greater in patients with DCB than with NDB ( P = .006). DCB was more common, and progression-free survival was longer in patients at increasing thresholds above versus below the 50th percentile of TMB (38.6% v 25.1%; P &lt; .001; hazard ratio, 1.38; P = .024). The fraction of copy number-altered genome was highest in those with NDB. Variants in EGFR and STK11 associated with a lack of benefit. TMB and PD-L1 expression were independent variables, and a composite of TMB plus PD-L1 further enriched for benefit to ICIs. Conclusion Targeted NGS accurately estimates TMB and elevated TMB further improved likelihood of benefit to ICIs. TMB did not correlate with PD-L1 expression; both variables had similar predictive capacity. The incorporation of both TMB and PD-L1 expression into multivariable predictive models should result in greater predictive power.","container-title":"Journal of Clinical Oncology: Official Journal of the American Society of Clinical Oncology","DOI":"10.1200/JCO.2017.75.3384","ISSN":"1527-7755","issue":"7","journalAbbreviation":"J Clin Oncol","language":"eng","note":"PMID: 29337640\nPMCID: PMC6075848","page":"633-641","source":"PubMed","title":"Molecular Determinants of Response to Anti-Programmed Cell Death (PD)-1 and Anti-Programmed Death-Ligand 1 (PD-L1) Blockade in Patients With Non-Small-Cell Lung Cancer Profiled With Targeted Next-Generation Sequencing","volume":"36","author":[{"family":"Rizvi","given":"Hira"},{"family":"Sanchez-Vega","given":"Francisco"},{"family":"La","given":"Konnor"},{"family":"Chatila","given":"Walid"},{"family":"Jonsson","given":"Philip"},{"family":"Halpenny","given":"Darragh"},{"family":"Plodkowski","given":"Andrew"},{"family":"Long","given":"Niamh"},{"family":"Sauter","given":"Jennifer L."},{"family":"Rekhtman","given":"Natasha"},{"family":"Hollmann","given":"Travis"},{"family":"Schalper","given":"Kurt A."},{"family":"Gainor","given":"Justin F."},{"family":"Shen","given":"Ronglai"},{"family":"Ni","given":"Ai"},{"family":"Arbour","given":"Kathryn C."},{"family":"Merghoub","given":"Taha"},{"family":"Wolchok","given":"Jedd"},{"family":"Snyder","given":"Alexandra"},{"family":"Chaft","given":"Jamie E."},{"family":"Kris","given":"Mark G."},{"family":"Rudin","given":"Charles M."},{"family":"Socci","given":"Nicholas D."},{"family":"Berger","given":"Michael F."},{"family":"Taylor","given":"Barry S."},{"family":"Zehir","given":"Ahmet"},{"family":"Solit","given":"David B."},{"family":"Arcila","given":"Maria E."},{"family":"Ladanyi","given":"Marc"},{"family":"Riely","given":"Gregory J."},{"family":"Schultz","given":"Nikolaus"},{"family":"Hellmann","given":"Matthew D."}],"issued":{"date-parts":[["2018",3,1]]}}}],"schema":"https://github.com/citation-style-language/schema/raw/master/csl-citation.json"} </w:instrText>
      </w:r>
      <w:r w:rsidRPr="00472EBF">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19</w:t>
      </w:r>
      <w:r w:rsidRPr="00472EBF">
        <w:rPr>
          <w:rFonts w:ascii="Times New Roman" w:hAnsi="Times New Roman" w:cs="Times New Roman"/>
          <w:szCs w:val="21"/>
        </w:rPr>
        <w:fldChar w:fldCharType="end"/>
      </w:r>
      <w:r w:rsidRPr="00472EBF">
        <w:rPr>
          <w:rFonts w:ascii="Times New Roman" w:hAnsi="Times New Roman" w:cs="Times New Roman"/>
          <w:szCs w:val="21"/>
        </w:rPr>
        <w:t xml:space="preserve"> namely J Clin Oncol. 2018 were included. As a category in which datasets contain patients received distinct therapy types, targeted sequencing results on tissue</w:t>
      </w:r>
      <w:r w:rsidRPr="00472EBF">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{"citationID":"nmzWXOUQ","properties":{"formattedCitation":"\\super 20\\nosupersub{}","plainCitation":"20","noteIndex":0},"citationItems":[{"id":3035,"uris":["http://zotero.org/users/6617482/items/455W7FCD"],"itemData":{"id":3035,"type":"article-journal","abstract":"Tumor genetic testing is standard of care for patients with advanced lung adenocarcinoma, but the fraction of patients who derive clinical benefit remains undefined. Here, we report the experience of 860 patients with metastatic lung adenocarcinoma analyzed prospectively for mutations in &gt;300 cancer-associated genes. Potentially actionable genetic events were stratified into one of four levels based upon published clinical or laboratory evidence that the mutation in question confers increased sensitivity to standard or investigational therapies. Overall, 37.1% (319/860) of patients received a matched therapy guided by their tumor molecular profile. Excluding alterations associated with standard-of-care therapy, 14.4% (69/478) received matched therapy, with a clinical benefit of 52%. Use of matched therapy was strongly influenced by the level of preexistent clinical evidence that the mutation identified predicts for drug response. Analysis of genes mutated significantly more often in tumors without known actionable mutations nominated STK11 and KEAP1 as possible targetable mitogenic drivers.Significance: An increasing number of therapies that target molecular alterations required for tumor maintenance and progression have demonstrated clinical activity in patients with lung adenocarcinoma. The data reported here suggest that broader, early testing for molecular alterations that have not yet been recognized as standard-of-care predictive biomarkers of drug response could accelerate the development of targeted agents for rare mutational events and could result in improved clinical outcomes. Cancer Discov; 7(6); 596-609. ©2017 AACR.See related commentary by Liu et al., p. 555This article is highlighted in the In This Issue feature, p. 539.","container-title":"Cancer Discovery","DOI":"10.1158/2159-8290.CD-16-1337","ISSN":"2159-8290","issue":"6","journalAbbreviation":"Cancer Discov","language":"eng","note":"PMID: 28336552\nPMCID: PMC5482929","page":"596-609","source":"PubMed","title":"Prospective Comprehensive Molecular Characterization of Lung Adenocarcinomas for Efficient Patient Matching to Approved and Emerging Therapies","volume":"7","author":[{"family":"Jordan","given":"Emmet J."},{"family":"Kim","given":"Hyunjae R."},{"family":"Arcila","given":"Maria E."},{"family":"Barron","given":"David"},{"family":"Chakravarty","given":"Debyani"},{"family":"Gao","given":"JianJiong"},{"family":"Chang","given":"Matthew T."},{"family":"Ni","given":"Andy"},{"family":"Kundra","given":"Ritika"},{"family":"Jonsson","given":"Philip"},{"family":"Jayakumaran","given":"Gowtham"},{"family":"Gao","given":"Sizhi Paul"},{"family":"Johnsen","given":"Hannah C."},{"family":"Hanrahan","given":"Aphrothiti J."},{"family":"Zehir","given":"Ahmet"},{"family":"Rekhtman","given":"Natasha"},{"family":"Ginsberg","given":"Michelle S."},{"family":"Li","given":"Bob T."},{"family":"Yu","given":"Helena A."},{"family":"Paik","given":"Paul K."},{"family":"Drilon","given":"Alexander"},{"family":"Hellmann","given":"Matthew D."},{"family":"Reales","given":"Dalicia N."},{"family":"Benayed","given":"Ryma"},{"family":"Rusch","given":"Valerie W."},{"family":"Kris","given":"Mark G."},{"family":"Chaft","given":"Jamie E."},{"family":"Baselga","given":"José"},{"family":"Taylor","given":"Barry S."},{"family":"Schultz","given":"Nikolaus"},{"family":"Rudin","given":"Charles M."},{"family":"Hyman","given":"David M."},{"family":"Berger","given":"Michael F."},{"family":"Solit","given":"David B."},{"family":"Ladanyi","given":"Marc"},{"family":"Riely","given":"Gregory J."}],"issued":{"date-parts":[["2017",6]]}}}],"schema":"https://github.com/citation-style-language/schema/raw/master/csl-citation.json"} </w:instrText>
      </w:r>
      <w:r w:rsidRPr="00472EBF">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20</w:t>
      </w:r>
      <w:r w:rsidRPr="00472EBF">
        <w:rPr>
          <w:rFonts w:ascii="Times New Roman" w:hAnsi="Times New Roman" w:cs="Times New Roman"/>
          <w:szCs w:val="21"/>
        </w:rPr>
        <w:fldChar w:fldCharType="end"/>
      </w:r>
      <w:r w:rsidRPr="00472EBF">
        <w:rPr>
          <w:rFonts w:ascii="Times New Roman" w:hAnsi="Times New Roman" w:cs="Times New Roman"/>
          <w:szCs w:val="21"/>
        </w:rPr>
        <w:t xml:space="preserve"> (named as Cancer Discov. 2017) and blood</w:t>
      </w:r>
      <w:r w:rsidRPr="00472EBF">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{"citationID":"f97nMPht","properties":{"formattedCitation":"\\super 21\\nosupersub{}","plainCitation":"21","noteIndex":0},"citationItems":[{"id":3041,"uris":["http://zotero.org/users/6617482/items/GTDZINDC"],"itemData":{"id":3041,"type":"article-journal","abstract":"Although programmed death-ligand 1–programmed death 1 (PD-L1–PD-1) inhibitors are broadly efficacious, improved outcomes have been observed in patients with high PD-L1 expression or high tumor mutational burden (TMB). PD-L1 testing is required for checkpoint inhibitor monotherapy in front-line non-small-cell lung cancer (NSCLC). However, obtaining adequate tumor tissue for molecular testing in patients with advanced disease can be challenging. Thus, an unmet medical need exists for diagnostic approaches that do not require tissue to identify patients who may benefit from immunotherapy. Here, we describe a novel, technically robust, blood-based assay to measure TMB in plasma (bTMB) that is distinct from tissue-based approaches. Using a retrospective analysis of two large randomized trials as test and validation studies, we show that bTMB reproducibly identifies patients who derive clinically significant improvements in progression-free survival from atezolizumab (an anti-PD-L1) in second-line and higher NSCLC. Collectively, our data show that high bTMB is a clinically actionable biomarker for atezolizumab in NSCLC.","container-title":"Nature Medicine","DOI":"10.1038/s41591-018-0134-3","ISSN":"1546-170X","issue":"9","journalAbbreviation":"Nat Med","language":"en","note":"Bandiera_abtest: a\nCg_type: Nature Research Journals\nnumber: 9\nPrimary_atype: Research\npublisher: Nature Publishing Group\nSubject_term: Non-small-cell lung cancer;Predictive markers\nSubject_term_id: non-small-cell-lung-cancer;predictive-markers","page":"1441-1448","source":"www.nature.com","title":"Blood-based tumor mutational burden as a predictor of clinical benefit in non-small-cell lung cancer patients treated with atezolizumab","volume":"24","author":[{"family":"Gandara","given":"David R."},{"family":"Paul","given":"Sarah M."},{"family":"Kowanetz","given":"Marcin"},{"family":"Schleifman","given":"Erica"},{"family":"Zou","given":"Wei"},{"family":"Li","given":"Yan"},{"family":"Rittmeyer","given":"Achim"},{"family":"Fehrenbacher","given":"Louis"},{"family":"Otto","given":"Geoff"},{"family":"Malboeuf","given":"Christine"},{"family":"Lieber","given":"Daniel S."},{"family":"Lipson","given":"Doron"},{"family":"Silterra","given":"Jacob"},{"family":"Amler","given":"Lukas"},{"family":"Riehl","given":"Todd"},{"family":"Cummings","given":"Craig A."},{"family":"Hegde","given":"Priti S."},{"family":"Sandler","given":"Alan"},{"family":"Ballinger","given":"Marcus"},{"family":"Fabrizio","given":"David"},{"family":"Mok","given":"Tony"},{"family":"Shames","given":"David S."}],"issued":{"date-parts":[["2018",9]]}}}],"schema":"https://github.com/citation-style-language/schema/raw/master/csl-citation.json"} </w:instrText>
      </w:r>
      <w:r w:rsidRPr="00472EBF">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21</w:t>
      </w:r>
      <w:r w:rsidRPr="00472EBF">
        <w:rPr>
          <w:rFonts w:ascii="Times New Roman" w:hAnsi="Times New Roman" w:cs="Times New Roman"/>
          <w:szCs w:val="21"/>
        </w:rPr>
        <w:fldChar w:fldCharType="end"/>
      </w:r>
      <w:r w:rsidRPr="00472EBF">
        <w:rPr>
          <w:rFonts w:ascii="Times New Roman" w:hAnsi="Times New Roman" w:cs="Times New Roman"/>
          <w:szCs w:val="21"/>
        </w:rPr>
        <w:t xml:space="preserve"> samples (named as Nat. Med. 2018) were collected for treatment level comparisons in multiple therapy categories. Based on the sequencing result availability, alternation frequencies of HR pathway genes (i.e. HRD event) were calculated using </w:t>
      </w:r>
      <w:r w:rsidRPr="00BC2575">
        <w:rPr>
          <w:rFonts w:ascii="Times New Roman" w:hAnsi="Times New Roman" w:cs="Times New Roman"/>
          <w:szCs w:val="21"/>
        </w:rPr>
        <w:t>functional mutations, mutation burdens were compared and survival differences were measured. Additionally, multiracial datasets</w:t>
      </w:r>
      <w:r w:rsidRPr="00BC2575">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{"citationID":"BOWB2sRy","properties":{"formattedCitation":"\\super 22,23\\nosupersub{}","plainCitation":"22,23","noteIndex":0},"citationItems":[{"id":3045,"uris":["http://zotero.org/users/6617482/items/VQS9FXRV"],"itemData":{"id":3045,"type":"article-journal","abstract":"Lung squamous cell carcinoma (SQCC) accounts for about 30% of all lung cancer cases. Understanding of mutational landscape for this subtype of lung cancer in Chinese patients is currently limited. We performed whole exome sequencing in samples from 100 patients with lung SQCCs to search for somatic mutations and the subsequent target capture sequencing in another 98 samples for validation. We identified 20 significantly mutated genes, including TP53, CDH10, NFE2L2 and PTEN. Pathways with frequently mutated genes included those of cell-cell adhesion/Wnt/Hippo in 76%, oxidative stress response in 21% and phosphatidylinositol-3-OH kinase in 36% of the tested tumor samples. Mutations of Chromatin regulatory factor genes were identified at a lower frequency. In functional assays, we observed that knockdown of CDH10 promoted cell proliferation, soft-agar colony formation, cell migration and cell invasion and overexpression of CDH10 inhibited cell proliferation. This mutational landscape of lung SQCC in Chinese patients improves our current understanding of lung carcinogenesis, early diagnosis and personalized therapy.","container-title":"Scientific Reports","DOI":"10.1038/srep14237","ISSN":"2045-2322","issue":"1","journalAbbreviation":"Sci Rep","language":"en","note":"Bandiera_abtest: a\nCc_license_type: cc_by\nCg_type: Nature Research Journals\nnumber: 1\nPrimary_atype: Research\npublisher: Nature Publishing Group\nSubject_term: Cancer genetics;Genetics research;Lung cancer\nSubject_term_id: cancer-genetics;genetics-research;lung-cancer","page":"14237","source":"www.nature.com","title":"Whole Exome Sequencing Identifies Frequent Somatic Mutations in Cell-Cell Adhesion Genes in Chinese Patients with Lung Squamous Cell Carcinoma","volume":"5","author":[{"family":"Li","given":"Chenguang"},{"family":"Gao","given":"Zhibo"},{"family":"Li","given":"Fei"},{"family":"Li","given":"Xiangchun"},{"family":"Sun","given":"Yihua"},{"family":"Wang","given":"Mengyun"},{"family":"Li","given":"Dan"},{"family":"Wang","given":"Rui"},{"family":"Li","given":"Fuming"},{"family":"Fang","given":"Rong"},{"family":"Pan","given":"Yunjian"},{"family":"Luo","given":"Xiaoyang"},{"family":"He","given":"Jing"},{"family":"Zheng","given":"Liangtao"},{"family":"Xia","given":"Jufeng"},{"family":"Qiu","given":"Lixin"},{"family":"He","given":"Jun"},{"family":"Ye","given":"Ting"},{"family":"Zhang","given":"Ruoxin"},{"family":"He","given":"Minghui"},{"family":"Zhu","given":"Meiling"},{"family":"Hu","given":"Haichuan"},{"family":"Shi","given":"Tingyan"},{"family":"Zhou","given":"Xiaoyan"},{"family":"Sun","given":"Menghong"},{"family":"Tian","given":"Shilin"},{"family":"Zhou","given":"Yong"},{"family":"Wang","given":"Qiaoxiu"},{"family":"Chen","given":"Longyun"},{"family":"Yin","given":"Guangliang"},{"family":"Lu","given":"Jingya"},{"family":"Wu","given":"Renhua"},{"family":"Guo","given":"Guangwu"},{"family":"Li","given":"Yingrui"},{"family":"Hu","given":"Xueda"},{"family":"Li","given":"Lin"},{"family":"Asan","given":""},{"family":"Wang","given":"Qin"},{"family":"Yin","given":"Ye"},{"family":"Feng","given":"Qiang"},{"family":"Wang","given":"Bin"},{"family":"Wang","given":"Hang"},{"family":"Wang","given":"Mingbang"},{"family":"Yang","given":"Xiaonan"},{"family":"Zhang","given":"Xiuqing"},{"family":"Yang","given":"Huanming"},{"family":"Jin","given":"Li"},{"family":"Wang","given":"Cun-Yu"},{"family":"Ji","given":"Hongbin"},{"family":"Chen","given":"Haiquan"},{"family":"Wang","given":"Jun"},{"family":"Wei","given":"Qingyi"}],"issued":{"date-parts":[["2015",10,27]]}}},{"id":3050,"uris":["http://zotero.org/users/6617482/items/M3ZURA42"],"itemData":{"id":3050,"type":"article-journal","abstract":"INTRODUCTION: Lung cancer incidence is higher among African Americans (AAs) compared with European Americans (EAs) in the United States, especially among men. Although significant progress has been made profiling the genomic makeup of lung cancer in EAs, AAs continue to be underrepresented. Our objective was to chart the genome-wide landscape of somatic mutations in lung cancer tumors from AAs.\nMETHODS: In this study, we used the whole-exome sequencing of 82 tumor and noninvolved tissue pairs from AAs. Patients were selected from an ongoing case-control study conducted by the National Cancer Institute and the University of Maryland.\nRESULTS: Among all samples, we identified 178 significantly mutated genes (p &lt; 0.05), five of which passed the threshold for false discovery rate (p &lt; 0.1). In lung adenocarcinoma (LUAD) tumors, mutation rates in STK11 (p = 0.05) and RB1 (p = 0.008) were significantly higher in AA LUAD tumors (25% and 13%, respectively) compared with The Cancer Genome Atlas EA samples (14% and 4%, respectively). In squamous cell carcinomas, mutation rates in STK11 (p = 0.002) were significantly higher among AA (8%) than EA tumors from The Cancer Genome Atlas (1%). Integrated somatic mutation data with CIBERSORT (Cell-type Identification By Estimating Relative Subsets Of RNA Transcripts) data analysis revealed LUAD tumors from AAs carrying STK11 mutations have decreased interferon signaling.\nCONCLUSIONS: Although a considerable degree of the somatic mutation landscape is shared between EAs and AAs, discrete differences in mutation frequency in potentially important oncogenes and tumor suppressors exist. A better understanding of the molecular basis of lung cancer in AA patients and leveraging this information to guide clinical interventions may help reduce disparities.","container-title":"Journal of Thoracic Oncology: Official Publication of the International Association for the Study of Lung Cancer","DOI":"10.1016/j.jtho.2020.08.029","ISSN":"1556-1380","issue":"12","journalAbbreviation":"J Thorac Oncol","language":"eng","note":"PMID: 32931935\nPMCID: PMC7704928","page":"1880-1892","source":"PubMed","title":"Whole-Exome Profiling of NSCLC Among African Americans","volume":"15","author":[{"family":"Arauz","given":"Rony F."},{"family":"Byun","given":"Jung S."},{"family":"Tandon","given":"Mayank"},{"family":"Sinha","given":"Sanju"},{"family":"Kuhn","given":"Skyler"},{"family":"Taylor","given":"Sheryse"},{"family":"Zingone","given":"Adriana"},{"family":"Mitchell","given":"Khadijah A."},{"family":"Pine","given":"Sharon R."},{"family":"Gardner","given":"Kevin"},{"family":"Perez-Stable","given":"Eliseo J."},{"family":"Napoles","given":"Anna M."},{"family":"Ryan","given":"Bríd M."}],"issued":{"date-parts":[["2020",12]]}}}],"schema":"https://github.com/citation-style-language/schema/raw/master/csl-citation.json"} </w:instrText>
      </w:r>
      <w:r w:rsidRPr="00BC2575">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22,23</w:t>
      </w:r>
      <w:r w:rsidRPr="00BC2575">
        <w:rPr>
          <w:rFonts w:ascii="Times New Roman" w:hAnsi="Times New Roman" w:cs="Times New Roman"/>
          <w:szCs w:val="21"/>
        </w:rPr>
        <w:fldChar w:fldCharType="end"/>
      </w:r>
      <w:r w:rsidRPr="00BC2575">
        <w:rPr>
          <w:rFonts w:ascii="Times New Roman" w:hAnsi="Times New Roman" w:cs="Times New Roman"/>
          <w:szCs w:val="21"/>
        </w:rPr>
        <w:t xml:space="preserve"> named as Sci. Rep. 2015, J Thorac Oncol. 2020, TCGA-LUAD (The Cancer Genome Atlas, lung adenocarcinoma) and TCGA-LUSC (lung squamous cell carcinoma) were collected either from papers or TCGA repository in cBioPortal database</w:t>
      </w:r>
      <w:r w:rsidRPr="00BC2575">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{"citationID":"hGeVUz8L","properties":{"formattedCitation":"\\super 24\\nosupersub{}","plainCitation":"24","noteIndex":0},"citationItems":[{"id":2784,"uris":["http://zotero.org/users/6617482/items/S39GFBVW"],"itemData":{"id":2784,"type":"article-journal","container-title":"Science signaling","issue":"269","note":"ISBN: 1945-0877\npublisher: American Association for the Advancement of Science","page":"pl1-pl1","title":"Integrative analysis of complex cancer genomics and clinical profiles using the cBioPortal","volume":"6","author":[{"family":"Gao","given":"Jianjiong"},{"family":"Aksoy","given":"Bülent Arman"},{"family":"Dogrusoz","given":"Ugur"},{"family":"Dresdner","given":"Gideon"},{"family":"Gross","given":"Benjamin"},{"family":"Sumer","given":"S. Onur"},{"family":"Sun","given":"Yichao"},{"family":"Jacobsen","given":"Anders"},{"family":"Sinha","given":"Rileen"},{"family":"Larsson","given":"Erik"}],"issued":{"date-parts":[["2013"]]}}}],"schema":"https://github.com/citation-style-language/schema/raw/master/csl-citation.json"} </w:instrText>
      </w:r>
      <w:r w:rsidRPr="00BC2575">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24</w:t>
      </w:r>
      <w:r w:rsidRPr="00BC2575">
        <w:rPr>
          <w:rFonts w:ascii="Times New Roman" w:hAnsi="Times New Roman" w:cs="Times New Roman"/>
          <w:szCs w:val="21"/>
        </w:rPr>
        <w:fldChar w:fldCharType="end"/>
      </w:r>
      <w:r w:rsidRPr="00BC2575">
        <w:rPr>
          <w:rFonts w:ascii="Times New Roman" w:hAnsi="Times New Roman" w:cs="Times New Roman"/>
          <w:szCs w:val="21"/>
        </w:rPr>
        <w:t xml:space="preserve"> to investigate the alternation frequency of HR pathway genes in treatment-free multiethnic patients. Two datasets</w:t>
      </w:r>
      <w:r w:rsidRPr="00BC2575">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{"citationID":"FiqcdkD7","properties":{"formattedCitation":"\\super 13,25\\nosupersub{}","plainCitation":"13,25","noteIndex":0},"citationItems":[{"id":1161,"uris":["http://zotero.org/users/6617482/items/S6QENEV7"],"itemData":{"id":1161,"type":"article-journal","abstract":"DNA damage repair (DDR) pathways modulate cancer risk, progression, and therapeutic response. We systematically analyzed somatic alterations to provide a comprehensive view of DDR deficiency across 33 cancer types. Mutations with accompanying loss of heterozygosity were observed in over 1/3 of DDR genes, including TP53 and BRCA1/2. Other prevalent alterations included epigenetic silencing of the direct repair genes EXO5, MGMT, and ALKBH3 in ~20% of samples. Homologous recombination deficiency (HRD) was present at varying frequency in many cancer types, most notably ovarian cancer. However, in contrast to ovarian cancer, HRD was associated with worse outcomes in several other cancers. Protein structure-based analyses allowed us to predict functional consequences of rare, recurrent DDR mutations. A new machine-learning-based classifier developed from gene expression data allowed us to identify alterations that phenocopy deleterious TP53 mutations. These frequent DDR gene alterations in many human cancers have functional consequences that may determine cancer progression and guide therapy., \n, Knijnenburg et al. present The Cancer Genome Atlas (TCGA) Pan-Cancer analysis of DNA damage repair (DDR) deficiency in cancer. They use integrative genomic and molecular analyses to identify frequent DDR alterations across 33 cancer types, correlate gene- and pathway-level alterations with genome-wide measures of genome instability and impaired function, and demonstrate the prognostic utility of DDR deficiency scores.","container-title":"Cell reports","DOI":"10.1016/j.celrep.2018.03.076","ISSN":"2211-1247","issue":"1","journalAbbreviation":"Cell Rep","note":"PMID: 29617664\nPMCID: PMC5961503","page":"239-254.e6","source":"PubMed Central","title":"Genomic and Molecular Landscape of DNA Damage Repair Deficiency across The Cancer Genome Atlas","volume":"23","author":[{"family":"Knijnenburg","given":"Theo A."},{"family":"Wang","given":"Linghua"},{"family":"Zimmermann","given":"Michael T."},{"family":"Chambwe","given":"Nyasha"},{"family":"Gao","given":"Galen F."},{"family":"Cherniack","given":"Andrew D."},{"family":"Fan","given":"Huihui"},{"family":"Shen","given":"Hui"},{"family":"Way","given":"Gregory P."},{"family":"Greene","given":"Casey S."},{"family":"Liu","given":"Yuexin"},{"family":"Akbani","given":"Rehan"},{"family":"Feng","given":"Bin"},{"family":"Donehower","given":"Lawrence A."},{"family":"Miller","given":"Chase"},{"family":"Shen","given":"Yang"},{"family":"Karimi","given":"Mostafa"},{"family":"Chen","given":"Haoran"},{"family":"Kim","given":"Pora"},{"family":"Jia","given":"Peilin"},{"family":"Shinbrot","given":"Eve"},{"family":"Zhang","given":"Shaojun"},{"family":"Liu","given":"Jianfang"},{"family":"Hu","given":"Hai"},{"family":"Bailey","given":"Matthew H."},{"family":"Yau","given":"Christina"},{"family":"Wolf","given":"Denise"},{"family":"Zhao","given":"Zhongming"},{"family":"Weinstein","given":"John N."},{"family":"Li","given":"Lei"},{"family":"Ding","given":"Li"},{"family":"Mills","given":"Gordon B."},{"family":"Laird","given":"Peter W."},{"family":"Wheeler","given":"David A."},{"family":"Shmulevich","given":"Ilya"},{"family":"Monnat","given":"Raymond J"},{"family":"Xiao","given":"Yonghong"},{"family":"Wang","given":"Chen"}],"issued":{"date-parts":[["2018",4,3]]}}},{"id":3057,"uris":["http://zotero.org/users/6617482/items/67KPRXNY"],"itemData":{"id":3057,"type":"article-journal","abstract":"To improve our understanding of longstanding disparities in incidence and mortality in lung cancer across ancestry, we performed a systematic comparative analysis of molecular features in tumors from African Americans (AAs) and European Americans (EAs). We find that lung squamous cell carcinoma tumors from AAs exhibit higher genomic instability—the proportion of non-diploid genome—aggressive molecular features such as chromothripsis and higher homologous recombination deficiency (HRD). In The Cancer Genome Atlas, we demonstrate that high genomic instability, HRD and chromothripsis among tumors from AAs is found across many cancer types. The prevalence of germline HRD (that is, the total number of pathogenic variants in homologous recombination genes) is higher in tumors from AAs, suggesting that the somatic differences observed have genetic ancestry origins. We also identify AA-specific copy-number-based arm-, focal- and gene-level recurrent features in lung cancer, including higher frequencies of PTEN deletion and KRAS amplification. These results highlight the importance of including under-represented populations in genomics research.","container-title":"Nature Cancer","DOI":"10.1038/s43018-019-0009-7","ISSN":"2662-1347","issue":"1","journalAbbreviation":"Nat Cancer","language":"en","note":"Bandiera_abtest: a\nCg_type: Nature Research Journals\nnumber: 1\nPrimary_atype: Research\npublisher: Nature Publishing Group\nSubject_term: Cancer genomics;Non-small-cell lung cancer\nSubject_term_id: cancer-genomics;non-small-cell-lung-cancer","page":"112-121","source":"www.nature.com","title":"Higher prevalence of homologous recombination deficiency in tumors from African Americans versus European Americans","volume":"1","author":[{"family":"Sinha","given":"Sanju"},{"family":"Mitchell","given":"Khadijah A."},{"family":"Zingone","given":"Adriana"},{"family":"Bowman","given":"Elise"},{"family":"Sinha","given":"Neelam"},{"family":"Schäffer","given":"Alejandro A."},{"family":"Lee","given":"Joo Sang"},{"family":"Ruppin","given":"Eytan"},{"family":"Ryan","given":"Bríd M."}],"issued":{"date-parts":[["2020",1]]}}}],"schema":"https://github.com/citation-style-language/schema/raw/master/csl-citation.json"} </w:instrText>
      </w:r>
      <w:r w:rsidRPr="00BC2575">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13,25</w:t>
      </w:r>
      <w:r w:rsidRPr="00BC2575">
        <w:rPr>
          <w:rFonts w:ascii="Times New Roman" w:hAnsi="Times New Roman" w:cs="Times New Roman"/>
          <w:szCs w:val="21"/>
        </w:rPr>
        <w:fldChar w:fldCharType="end"/>
      </w:r>
      <w:r w:rsidRPr="00BC2575">
        <w:rPr>
          <w:rFonts w:ascii="Times New Roman" w:hAnsi="Times New Roman" w:cs="Times New Roman"/>
          <w:szCs w:val="21"/>
        </w:rPr>
        <w:t xml:space="preserve"> containing pan-cancer HRD event analysis on TCGA data were also integrated for HRD frequency statistics.</w:t>
      </w:r>
    </w:p>
    <w:p w14:paraId="083EAFCA" w14:textId="77777777" w:rsidR="00220DA3" w:rsidRPr="00472EBF" w:rsidRDefault="00220DA3" w:rsidP="00220DA3">
      <w:pPr>
        <w:spacing w:line="480" w:lineRule="auto"/>
        <w:rPr>
          <w:rFonts w:ascii="Times New Roman" w:hAnsi="Times New Roman" w:cs="Times New Roman"/>
          <w:b/>
          <w:szCs w:val="21"/>
        </w:rPr>
      </w:pPr>
    </w:p>
    <w:p w14:paraId="67EA7D3F" w14:textId="77777777" w:rsidR="00220DA3" w:rsidRPr="00B118B7" w:rsidRDefault="00220DA3" w:rsidP="00220DA3">
      <w:pPr>
        <w:spacing w:line="480" w:lineRule="auto"/>
        <w:rPr>
          <w:rFonts w:ascii="Times New Roman" w:hAnsi="Times New Roman" w:cs="Times New Roman"/>
          <w:b/>
          <w:szCs w:val="21"/>
        </w:rPr>
      </w:pPr>
      <w:r w:rsidRPr="00B118B7">
        <w:rPr>
          <w:rFonts w:ascii="Times New Roman" w:hAnsi="Times New Roman" w:cs="Times New Roman"/>
          <w:b/>
          <w:szCs w:val="21"/>
        </w:rPr>
        <w:t>Statistical analysis</w:t>
      </w:r>
    </w:p>
    <w:p w14:paraId="29D3C1D0" w14:textId="3BAB1EC9" w:rsidR="00220DA3" w:rsidRPr="00B118B7" w:rsidRDefault="00220DA3" w:rsidP="00220DA3">
      <w:pPr>
        <w:spacing w:line="480" w:lineRule="auto"/>
        <w:ind w:firstLine="420"/>
        <w:rPr>
          <w:rFonts w:ascii="Times New Roman" w:hAnsi="Times New Roman" w:cs="Times New Roman"/>
          <w:color w:val="FF0000"/>
          <w:szCs w:val="21"/>
        </w:rPr>
      </w:pPr>
      <w:r w:rsidRPr="00B118B7">
        <w:rPr>
          <w:rFonts w:ascii="Times New Roman" w:hAnsi="Times New Roman" w:cs="Times New Roman"/>
          <w:szCs w:val="21"/>
        </w:rPr>
        <w:t>Both the two-sided and one-side Wilcoxon rank-sum test</w:t>
      </w:r>
      <w:r>
        <w:rPr>
          <w:rFonts w:ascii="Times New Roman" w:hAnsi="Times New Roman" w:cs="Times New Roman"/>
          <w:szCs w:val="21"/>
        </w:rPr>
        <w:t>s</w:t>
      </w:r>
      <w:r w:rsidRPr="00B118B7">
        <w:rPr>
          <w:rFonts w:ascii="Times New Roman" w:hAnsi="Times New Roman" w:cs="Times New Roman"/>
          <w:szCs w:val="21"/>
        </w:rPr>
        <w:t xml:space="preserve"> were used for evaluating the group-level difference of continuous values including mutation relative contribution, </w:t>
      </w:r>
      <w:r>
        <w:rPr>
          <w:rFonts w:ascii="Times New Roman" w:hAnsi="Times New Roman" w:cs="Times New Roman"/>
          <w:szCs w:val="21"/>
        </w:rPr>
        <w:t>SCNA</w:t>
      </w:r>
      <w:r w:rsidRPr="00B118B7">
        <w:rPr>
          <w:rFonts w:ascii="Times New Roman" w:hAnsi="Times New Roman" w:cs="Times New Roman"/>
          <w:szCs w:val="21"/>
        </w:rPr>
        <w:t xml:space="preserve">, HRD levels, TMB and TNB between MPR and Non-MPR patients. When the group-wise comparisons were conducted on categorical data, Fisher’s exact test was applied. </w:t>
      </w:r>
      <w:r>
        <w:rPr>
          <w:rFonts w:ascii="Times New Roman" w:hAnsi="Times New Roman" w:cs="Times New Roman"/>
          <w:szCs w:val="21"/>
        </w:rPr>
        <w:t>Correlations between gen</w:t>
      </w:r>
      <w:r w:rsidRPr="00B31917">
        <w:rPr>
          <w:rFonts w:ascii="Times New Roman" w:hAnsi="Times New Roman" w:cs="Times New Roman"/>
          <w:szCs w:val="21"/>
        </w:rPr>
        <w:t xml:space="preserve">etic metrics and percentage of viable tumor cells were measured by Spearman's correlation coefficient. As for </w:t>
      </w:r>
      <w:r w:rsidRPr="00B31917">
        <w:rPr>
          <w:rFonts w:ascii="Times New Roman" w:hAnsi="Times New Roman" w:cs="Times New Roman"/>
          <w:szCs w:val="21"/>
        </w:rPr>
        <w:lastRenderedPageBreak/>
        <w:t>survival analysis, the Kaplan-Meier (K-M) survival curves were generated by survminer package</w:t>
      </w:r>
      <w:r w:rsidRPr="00B31917">
        <w:rPr>
          <w:rFonts w:ascii="Times New Roman" w:hAnsi="Times New Roman" w:cs="Times New Roman"/>
          <w:szCs w:val="21"/>
        </w:rPr>
        <w:fldChar w:fldCharType="begin"/>
      </w:r>
      <w:r w:rsidR="00701F54">
        <w:rPr>
          <w:rFonts w:ascii="Times New Roman" w:hAnsi="Times New Roman" w:cs="Times New Roman"/>
          <w:szCs w:val="21"/>
        </w:rPr>
        <w:instrText xml:space="preserve"> ADDIN ZOTERO_ITEM CSL_CITATION {"citationID":"zzw3zA3v","properties":{"formattedCitation":"\\super 26\\nosupersub{}","plainCitation":"26","noteIndex":0},"citationItems":[{"id":2684,"uris":["http://zotero.org/users/6617482/items/RF3ZM45E"],"itemData":{"id":2684,"type":"article-journal","container-title":"Drawing Survival Curves using ‘ggplot2’(R package version 03 1)","title":"Package ‘survminer’","author":[{"family":"Kassambara","given":"Alboukadel"},{"family":"Kosinski","given":"Marcin"},{"family":"Biecek","given":"Przemyslaw"},{"family":"Fabian","given":"S."}],"issued":{"date-parts":[["2017"]]}}}],"schema":"https://github.com/citation-style-language/schema/raw/master/csl-citation.json"} </w:instrText>
      </w:r>
      <w:r w:rsidRPr="00B31917">
        <w:rPr>
          <w:rFonts w:ascii="Times New Roman" w:hAnsi="Times New Roman" w:cs="Times New Roman"/>
          <w:szCs w:val="21"/>
        </w:rPr>
        <w:fldChar w:fldCharType="separate"/>
      </w:r>
      <w:r w:rsidR="00701F54" w:rsidRPr="00701F54">
        <w:rPr>
          <w:rFonts w:ascii="Times New Roman" w:hAnsi="Times New Roman" w:cs="Times New Roman"/>
          <w:kern w:val="0"/>
          <w:vertAlign w:val="superscript"/>
        </w:rPr>
        <w:t>26</w:t>
      </w:r>
      <w:r w:rsidRPr="00B31917">
        <w:rPr>
          <w:rFonts w:ascii="Times New Roman" w:hAnsi="Times New Roman" w:cs="Times New Roman"/>
          <w:szCs w:val="21"/>
        </w:rPr>
        <w:fldChar w:fldCharType="end"/>
      </w:r>
      <w:r w:rsidRPr="00B31917">
        <w:rPr>
          <w:rFonts w:ascii="Times New Roman" w:hAnsi="Times New Roman" w:cs="Times New Roman"/>
          <w:szCs w:val="21"/>
        </w:rPr>
        <w:t xml:space="preserve"> which applied log-rank test for survival time comparisons.</w:t>
      </w:r>
    </w:p>
    <w:p w14:paraId="3BBF1FEE" w14:textId="77777777" w:rsidR="00220DA3" w:rsidRDefault="00220DA3" w:rsidP="00220DA3">
      <w:pPr>
        <w:spacing w:line="480" w:lineRule="auto"/>
        <w:rPr>
          <w:rFonts w:ascii="Times New Roman" w:hAnsi="Times New Roman" w:cs="Times New Roman"/>
          <w:szCs w:val="21"/>
        </w:rPr>
      </w:pPr>
    </w:p>
    <w:p w14:paraId="2E38BF5C" w14:textId="77777777" w:rsidR="00BC2575" w:rsidRPr="00BC2575" w:rsidRDefault="00BC2575" w:rsidP="00220DA3">
      <w:pPr>
        <w:spacing w:line="480" w:lineRule="auto"/>
        <w:rPr>
          <w:rFonts w:ascii="Times New Roman" w:hAnsi="Times New Roman" w:cs="Times New Roman"/>
          <w:b/>
          <w:szCs w:val="21"/>
        </w:rPr>
      </w:pPr>
      <w:r w:rsidRPr="00BC2575">
        <w:rPr>
          <w:rFonts w:ascii="Times New Roman" w:hAnsi="Times New Roman" w:cs="Times New Roman" w:hint="eastAsia"/>
          <w:b/>
          <w:szCs w:val="21"/>
        </w:rPr>
        <w:t>R</w:t>
      </w:r>
      <w:r w:rsidRPr="00BC2575">
        <w:rPr>
          <w:rFonts w:ascii="Times New Roman" w:hAnsi="Times New Roman" w:cs="Times New Roman"/>
          <w:b/>
          <w:szCs w:val="21"/>
        </w:rPr>
        <w:t>eferences</w:t>
      </w:r>
    </w:p>
    <w:p w14:paraId="474A5ED2" w14:textId="77777777" w:rsidR="00701F54" w:rsidRPr="00701F54" w:rsidRDefault="00220DA3" w:rsidP="00701F54">
      <w:pPr>
        <w:pStyle w:val="a3"/>
        <w:rPr>
          <w:rFonts w:ascii="等线" w:eastAsia="等线" w:hAnsi="等线"/>
        </w:rPr>
      </w:pPr>
      <w:r>
        <w:fldChar w:fldCharType="begin"/>
      </w:r>
      <w:r w:rsidR="00701F54">
        <w:instrText xml:space="preserve"> ADDIN ZOTERO_BIBL {"uncited":[],"omitted":[],"custom":[]} CSL_BIBLIOGRAPHY </w:instrText>
      </w:r>
      <w:r>
        <w:fldChar w:fldCharType="separate"/>
      </w:r>
      <w:r w:rsidR="00701F54" w:rsidRPr="00701F54">
        <w:rPr>
          <w:rFonts w:ascii="等线" w:eastAsia="等线" w:hAnsi="等线"/>
        </w:rPr>
        <w:t>1.</w:t>
      </w:r>
      <w:r w:rsidR="00701F54" w:rsidRPr="00701F54">
        <w:rPr>
          <w:rFonts w:ascii="等线" w:eastAsia="等线" w:hAnsi="等线"/>
        </w:rPr>
        <w:tab/>
        <w:t xml:space="preserve">Weissferdt, A. </w:t>
      </w:r>
      <w:r w:rsidR="00701F54" w:rsidRPr="00701F54">
        <w:rPr>
          <w:rFonts w:ascii="等线" w:eastAsia="等线" w:hAnsi="等线"/>
          <w:i/>
          <w:iCs/>
        </w:rPr>
        <w:t>et al.</w:t>
      </w:r>
      <w:r w:rsidR="00701F54" w:rsidRPr="00701F54">
        <w:rPr>
          <w:rFonts w:ascii="等线" w:eastAsia="等线" w:hAnsi="等线"/>
        </w:rPr>
        <w:t xml:space="preserve"> Agreement on Major Pathological Response in NSCLC Patients Receiving Neoadjuvant Chemotherapy. </w:t>
      </w:r>
      <w:r w:rsidR="00701F54" w:rsidRPr="00701F54">
        <w:rPr>
          <w:rFonts w:ascii="等线" w:eastAsia="等线" w:hAnsi="等线"/>
          <w:i/>
          <w:iCs/>
        </w:rPr>
        <w:t>Clinical Lung Cancer</w:t>
      </w:r>
      <w:r w:rsidR="00701F54" w:rsidRPr="00701F54">
        <w:rPr>
          <w:rFonts w:ascii="等线" w:eastAsia="等线" w:hAnsi="等线"/>
        </w:rPr>
        <w:t xml:space="preserve"> </w:t>
      </w:r>
      <w:r w:rsidR="00701F54" w:rsidRPr="00701F54">
        <w:rPr>
          <w:rFonts w:ascii="等线" w:eastAsia="等线" w:hAnsi="等线"/>
          <w:b/>
          <w:bCs/>
        </w:rPr>
        <w:t>21</w:t>
      </w:r>
      <w:r w:rsidR="00701F54" w:rsidRPr="00701F54">
        <w:rPr>
          <w:rFonts w:ascii="等线" w:eastAsia="等线" w:hAnsi="等线"/>
        </w:rPr>
        <w:t>, 341–348 (2020).</w:t>
      </w:r>
    </w:p>
    <w:p w14:paraId="0B247210" w14:textId="77777777" w:rsidR="00701F54" w:rsidRPr="00701F54" w:rsidRDefault="00701F54" w:rsidP="00701F54">
      <w:pPr>
        <w:pStyle w:val="a3"/>
        <w:rPr>
          <w:rFonts w:ascii="等线" w:eastAsia="等线" w:hAnsi="等线"/>
        </w:rPr>
      </w:pPr>
      <w:r w:rsidRPr="00701F54">
        <w:rPr>
          <w:rFonts w:ascii="等线" w:eastAsia="等线" w:hAnsi="等线"/>
        </w:rPr>
        <w:t>2.</w:t>
      </w:r>
      <w:r w:rsidRPr="00701F54">
        <w:rPr>
          <w:rFonts w:ascii="等线" w:eastAsia="等线" w:hAnsi="等线"/>
        </w:rPr>
        <w:tab/>
        <w:t xml:space="preserve">Cottrell, T. R. </w:t>
      </w:r>
      <w:r w:rsidRPr="00701F54">
        <w:rPr>
          <w:rFonts w:ascii="等线" w:eastAsia="等线" w:hAnsi="等线"/>
          <w:i/>
          <w:iCs/>
        </w:rPr>
        <w:t>et al.</w:t>
      </w:r>
      <w:r w:rsidRPr="00701F54">
        <w:rPr>
          <w:rFonts w:ascii="等线" w:eastAsia="等线" w:hAnsi="等线"/>
        </w:rPr>
        <w:t xml:space="preserve"> Pathologic features of response to neoadjuvant anti-PD-1 in resected non-small-cell lung carcinoma: a proposal for quantitative immune-related pathologic response criteria (irPRC). </w:t>
      </w:r>
      <w:r w:rsidRPr="00701F54">
        <w:rPr>
          <w:rFonts w:ascii="等线" w:eastAsia="等线" w:hAnsi="等线"/>
          <w:i/>
          <w:iCs/>
        </w:rPr>
        <w:t>Ann Oncol</w:t>
      </w:r>
      <w:r w:rsidRPr="00701F54">
        <w:rPr>
          <w:rFonts w:ascii="等线" w:eastAsia="等线" w:hAnsi="等线"/>
        </w:rPr>
        <w:t xml:space="preserve"> </w:t>
      </w:r>
      <w:r w:rsidRPr="00701F54">
        <w:rPr>
          <w:rFonts w:ascii="等线" w:eastAsia="等线" w:hAnsi="等线"/>
          <w:b/>
          <w:bCs/>
        </w:rPr>
        <w:t>29</w:t>
      </w:r>
      <w:r w:rsidRPr="00701F54">
        <w:rPr>
          <w:rFonts w:ascii="等线" w:eastAsia="等线" w:hAnsi="等线"/>
        </w:rPr>
        <w:t>, 1853–1860 (2018).</w:t>
      </w:r>
    </w:p>
    <w:p w14:paraId="10388624" w14:textId="77777777" w:rsidR="00701F54" w:rsidRPr="00701F54" w:rsidRDefault="00701F54" w:rsidP="00701F54">
      <w:pPr>
        <w:pStyle w:val="a3"/>
        <w:rPr>
          <w:rFonts w:ascii="等线" w:eastAsia="等线" w:hAnsi="等线"/>
        </w:rPr>
      </w:pPr>
      <w:r w:rsidRPr="00701F54">
        <w:rPr>
          <w:rFonts w:ascii="等线" w:eastAsia="等线" w:hAnsi="等线"/>
        </w:rPr>
        <w:t>3.</w:t>
      </w:r>
      <w:r w:rsidRPr="00701F54">
        <w:rPr>
          <w:rFonts w:ascii="等线" w:eastAsia="等线" w:hAnsi="等线"/>
        </w:rPr>
        <w:tab/>
        <w:t xml:space="preserve">Angus, L. </w:t>
      </w:r>
      <w:r w:rsidRPr="00701F54">
        <w:rPr>
          <w:rFonts w:ascii="等线" w:eastAsia="等线" w:hAnsi="等线"/>
          <w:i/>
          <w:iCs/>
        </w:rPr>
        <w:t>et al.</w:t>
      </w:r>
      <w:r w:rsidRPr="00701F54">
        <w:rPr>
          <w:rFonts w:ascii="等线" w:eastAsia="等线" w:hAnsi="等线"/>
        </w:rPr>
        <w:t xml:space="preserve"> Genomic landscape of metastatic breast cancer and its clinical implications. </w:t>
      </w:r>
      <w:r w:rsidRPr="00701F54">
        <w:rPr>
          <w:rFonts w:ascii="等线" w:eastAsia="等线" w:hAnsi="等线"/>
          <w:i/>
          <w:iCs/>
        </w:rPr>
        <w:t>Nat Genet</w:t>
      </w:r>
      <w:r w:rsidRPr="00701F54">
        <w:rPr>
          <w:rFonts w:ascii="等线" w:eastAsia="等线" w:hAnsi="等线"/>
        </w:rPr>
        <w:t xml:space="preserve"> </w:t>
      </w:r>
      <w:r w:rsidRPr="00701F54">
        <w:rPr>
          <w:rFonts w:ascii="等线" w:eastAsia="等线" w:hAnsi="等线"/>
          <w:b/>
          <w:bCs/>
        </w:rPr>
        <w:t>51</w:t>
      </w:r>
      <w:r w:rsidRPr="00701F54">
        <w:rPr>
          <w:rFonts w:ascii="等线" w:eastAsia="等线" w:hAnsi="等线"/>
        </w:rPr>
        <w:t>, 1450–1458 (2019).</w:t>
      </w:r>
    </w:p>
    <w:p w14:paraId="637EBAA3" w14:textId="77777777" w:rsidR="00701F54" w:rsidRPr="00701F54" w:rsidRDefault="00701F54" w:rsidP="00701F54">
      <w:pPr>
        <w:pStyle w:val="a3"/>
        <w:rPr>
          <w:rFonts w:ascii="等线" w:eastAsia="等线" w:hAnsi="等线"/>
        </w:rPr>
      </w:pPr>
      <w:r w:rsidRPr="00701F54">
        <w:rPr>
          <w:rFonts w:ascii="等线" w:eastAsia="等线" w:hAnsi="等线"/>
        </w:rPr>
        <w:t>4.</w:t>
      </w:r>
      <w:r w:rsidRPr="00701F54">
        <w:rPr>
          <w:rFonts w:ascii="等线" w:eastAsia="等线" w:hAnsi="等线"/>
        </w:rPr>
        <w:tab/>
        <w:t xml:space="preserve">McLaren, W. </w:t>
      </w:r>
      <w:r w:rsidRPr="00701F54">
        <w:rPr>
          <w:rFonts w:ascii="等线" w:eastAsia="等线" w:hAnsi="等线"/>
          <w:i/>
          <w:iCs/>
        </w:rPr>
        <w:t>et al.</w:t>
      </w:r>
      <w:r w:rsidRPr="00701F54">
        <w:rPr>
          <w:rFonts w:ascii="等线" w:eastAsia="等线" w:hAnsi="等线"/>
        </w:rPr>
        <w:t xml:space="preserve"> The Ensembl Variant Effect Predictor. </w:t>
      </w:r>
      <w:r w:rsidRPr="00701F54">
        <w:rPr>
          <w:rFonts w:ascii="等线" w:eastAsia="等线" w:hAnsi="等线"/>
          <w:i/>
          <w:iCs/>
        </w:rPr>
        <w:t>Genome Biology</w:t>
      </w:r>
      <w:r w:rsidRPr="00701F54">
        <w:rPr>
          <w:rFonts w:ascii="等线" w:eastAsia="等线" w:hAnsi="等线"/>
        </w:rPr>
        <w:t xml:space="preserve"> </w:t>
      </w:r>
      <w:r w:rsidRPr="00701F54">
        <w:rPr>
          <w:rFonts w:ascii="等线" w:eastAsia="等线" w:hAnsi="等线"/>
          <w:b/>
          <w:bCs/>
        </w:rPr>
        <w:t>17</w:t>
      </w:r>
      <w:r w:rsidRPr="00701F54">
        <w:rPr>
          <w:rFonts w:ascii="等线" w:eastAsia="等线" w:hAnsi="等线"/>
        </w:rPr>
        <w:t>, 122 (2016).</w:t>
      </w:r>
    </w:p>
    <w:p w14:paraId="0FCAFBD3" w14:textId="77777777" w:rsidR="00701F54" w:rsidRPr="00701F54" w:rsidRDefault="00701F54" w:rsidP="00701F54">
      <w:pPr>
        <w:pStyle w:val="a3"/>
        <w:rPr>
          <w:rFonts w:ascii="等线" w:eastAsia="等线" w:hAnsi="等线"/>
        </w:rPr>
      </w:pPr>
      <w:r w:rsidRPr="00701F54">
        <w:rPr>
          <w:rFonts w:ascii="等线" w:eastAsia="等线" w:hAnsi="等线"/>
        </w:rPr>
        <w:t>5.</w:t>
      </w:r>
      <w:r w:rsidRPr="00701F54">
        <w:rPr>
          <w:rFonts w:ascii="等线" w:eastAsia="等线" w:hAnsi="等线"/>
        </w:rPr>
        <w:tab/>
        <w:t xml:space="preserve">Adzhubei, I., Jordan, D. M. &amp; Sunyaev, S. R. Predicting Functional Effect of Human Missense Mutations Using PolyPhen-2. </w:t>
      </w:r>
      <w:r w:rsidRPr="00701F54">
        <w:rPr>
          <w:rFonts w:ascii="等线" w:eastAsia="等线" w:hAnsi="等线"/>
          <w:i/>
          <w:iCs/>
        </w:rPr>
        <w:t>Curr Protoc Hum Genet</w:t>
      </w:r>
      <w:r w:rsidRPr="00701F54">
        <w:rPr>
          <w:rFonts w:ascii="等线" w:eastAsia="等线" w:hAnsi="等线"/>
        </w:rPr>
        <w:t xml:space="preserve"> </w:t>
      </w:r>
      <w:r w:rsidRPr="00701F54">
        <w:rPr>
          <w:rFonts w:ascii="等线" w:eastAsia="等线" w:hAnsi="等线"/>
          <w:b/>
          <w:bCs/>
        </w:rPr>
        <w:t>0 7</w:t>
      </w:r>
      <w:r w:rsidRPr="00701F54">
        <w:rPr>
          <w:rFonts w:ascii="等线" w:eastAsia="等线" w:hAnsi="等线"/>
        </w:rPr>
        <w:t>, Unit7.20 (2013).</w:t>
      </w:r>
    </w:p>
    <w:p w14:paraId="792B83BF" w14:textId="77777777" w:rsidR="00701F54" w:rsidRPr="00701F54" w:rsidRDefault="00701F54" w:rsidP="00701F54">
      <w:pPr>
        <w:pStyle w:val="a3"/>
        <w:rPr>
          <w:rFonts w:ascii="等线" w:eastAsia="等线" w:hAnsi="等线"/>
        </w:rPr>
      </w:pPr>
      <w:r w:rsidRPr="00701F54">
        <w:rPr>
          <w:rFonts w:ascii="等线" w:eastAsia="等线" w:hAnsi="等线"/>
        </w:rPr>
        <w:t>6.</w:t>
      </w:r>
      <w:r w:rsidRPr="00701F54">
        <w:rPr>
          <w:rFonts w:ascii="等线" w:eastAsia="等线" w:hAnsi="等线"/>
        </w:rPr>
        <w:tab/>
        <w:t xml:space="preserve">Ng, P. C. &amp; Henikoff, S. SIFT: predicting amino acid changes that affect protein function. </w:t>
      </w:r>
      <w:r w:rsidRPr="00701F54">
        <w:rPr>
          <w:rFonts w:ascii="等线" w:eastAsia="等线" w:hAnsi="等线"/>
          <w:i/>
          <w:iCs/>
        </w:rPr>
        <w:t>Nucleic Acids Res</w:t>
      </w:r>
      <w:r w:rsidRPr="00701F54">
        <w:rPr>
          <w:rFonts w:ascii="等线" w:eastAsia="等线" w:hAnsi="等线"/>
        </w:rPr>
        <w:t xml:space="preserve"> </w:t>
      </w:r>
      <w:r w:rsidRPr="00701F54">
        <w:rPr>
          <w:rFonts w:ascii="等线" w:eastAsia="等线" w:hAnsi="等线"/>
          <w:b/>
          <w:bCs/>
        </w:rPr>
        <w:t>31</w:t>
      </w:r>
      <w:r w:rsidRPr="00701F54">
        <w:rPr>
          <w:rFonts w:ascii="等线" w:eastAsia="等线" w:hAnsi="等线"/>
        </w:rPr>
        <w:t>, 3812–3814 (2003).</w:t>
      </w:r>
    </w:p>
    <w:p w14:paraId="156A3C23" w14:textId="77777777" w:rsidR="00701F54" w:rsidRPr="00701F54" w:rsidRDefault="00701F54" w:rsidP="00701F54">
      <w:pPr>
        <w:pStyle w:val="a3"/>
        <w:rPr>
          <w:rFonts w:ascii="等线" w:eastAsia="等线" w:hAnsi="等线"/>
        </w:rPr>
      </w:pPr>
      <w:r w:rsidRPr="00701F54">
        <w:rPr>
          <w:rFonts w:ascii="等线" w:eastAsia="等线" w:hAnsi="等线"/>
        </w:rPr>
        <w:t>7.</w:t>
      </w:r>
      <w:r w:rsidRPr="00701F54">
        <w:rPr>
          <w:rFonts w:ascii="等线" w:eastAsia="等线" w:hAnsi="等线"/>
        </w:rPr>
        <w:tab/>
        <w:t xml:space="preserve">Blokzijl, F., Janssen, R., van Boxtel, R. &amp; Cuppen, E. MutationalPatterns: comprehensive genome-wide analysis of mutational processes. </w:t>
      </w:r>
      <w:r w:rsidRPr="00701F54">
        <w:rPr>
          <w:rFonts w:ascii="等线" w:eastAsia="等线" w:hAnsi="等线"/>
          <w:i/>
          <w:iCs/>
        </w:rPr>
        <w:t>Genome Medicine</w:t>
      </w:r>
      <w:r w:rsidRPr="00701F54">
        <w:rPr>
          <w:rFonts w:ascii="等线" w:eastAsia="等线" w:hAnsi="等线"/>
        </w:rPr>
        <w:t xml:space="preserve"> </w:t>
      </w:r>
      <w:r w:rsidRPr="00701F54">
        <w:rPr>
          <w:rFonts w:ascii="等线" w:eastAsia="等线" w:hAnsi="等线"/>
          <w:b/>
          <w:bCs/>
        </w:rPr>
        <w:t>10</w:t>
      </w:r>
      <w:r w:rsidRPr="00701F54">
        <w:rPr>
          <w:rFonts w:ascii="等线" w:eastAsia="等线" w:hAnsi="等线"/>
        </w:rPr>
        <w:t>, 33 (2018).</w:t>
      </w:r>
    </w:p>
    <w:p w14:paraId="2791C709" w14:textId="77777777" w:rsidR="00701F54" w:rsidRPr="00701F54" w:rsidRDefault="00701F54" w:rsidP="00701F54">
      <w:pPr>
        <w:pStyle w:val="a3"/>
        <w:rPr>
          <w:rFonts w:ascii="等线" w:eastAsia="等线" w:hAnsi="等线"/>
        </w:rPr>
      </w:pPr>
      <w:r w:rsidRPr="00701F54">
        <w:rPr>
          <w:rFonts w:ascii="等线" w:eastAsia="等线" w:hAnsi="等线"/>
        </w:rPr>
        <w:t>8.</w:t>
      </w:r>
      <w:r w:rsidRPr="00701F54">
        <w:rPr>
          <w:rFonts w:ascii="等线" w:eastAsia="等线" w:hAnsi="等线"/>
        </w:rPr>
        <w:tab/>
        <w:t xml:space="preserve">Wang, S., Tao, Z., Wu, T. &amp; Liu, X.-S. Sigflow: an automated and comprehensive pipeline for cancer genome mutational signature analysis. </w:t>
      </w:r>
      <w:r w:rsidRPr="00701F54">
        <w:rPr>
          <w:rFonts w:ascii="等线" w:eastAsia="等线" w:hAnsi="等线"/>
          <w:i/>
          <w:iCs/>
        </w:rPr>
        <w:t>Bioinformatics</w:t>
      </w:r>
      <w:r w:rsidRPr="00701F54">
        <w:rPr>
          <w:rFonts w:ascii="等线" w:eastAsia="等线" w:hAnsi="等线"/>
        </w:rPr>
        <w:t xml:space="preserve"> (2020) doi:10.1093/bioinformatics/btaa895.</w:t>
      </w:r>
    </w:p>
    <w:p w14:paraId="1E8D6037" w14:textId="77777777" w:rsidR="00701F54" w:rsidRPr="00701F54" w:rsidRDefault="00701F54" w:rsidP="00701F54">
      <w:pPr>
        <w:pStyle w:val="a3"/>
        <w:rPr>
          <w:rFonts w:ascii="等线" w:eastAsia="等线" w:hAnsi="等线"/>
        </w:rPr>
      </w:pPr>
      <w:r w:rsidRPr="00701F54">
        <w:rPr>
          <w:rFonts w:ascii="等线" w:eastAsia="等线" w:hAnsi="等线"/>
        </w:rPr>
        <w:t>9.</w:t>
      </w:r>
      <w:r w:rsidRPr="00701F54">
        <w:rPr>
          <w:rFonts w:ascii="等线" w:eastAsia="等线" w:hAnsi="等线"/>
        </w:rPr>
        <w:tab/>
        <w:t xml:space="preserve">Macintyre, G. </w:t>
      </w:r>
      <w:r w:rsidRPr="00701F54">
        <w:rPr>
          <w:rFonts w:ascii="等线" w:eastAsia="等线" w:hAnsi="等线"/>
          <w:i/>
          <w:iCs/>
        </w:rPr>
        <w:t>et al.</w:t>
      </w:r>
      <w:r w:rsidRPr="00701F54">
        <w:rPr>
          <w:rFonts w:ascii="等线" w:eastAsia="等线" w:hAnsi="等线"/>
        </w:rPr>
        <w:t xml:space="preserve"> Copy-number signatures and mutational processes in ovarian </w:t>
      </w:r>
      <w:r w:rsidRPr="00701F54">
        <w:rPr>
          <w:rFonts w:ascii="等线" w:eastAsia="等线" w:hAnsi="等线"/>
        </w:rPr>
        <w:lastRenderedPageBreak/>
        <w:t xml:space="preserve">carcinoma. </w:t>
      </w:r>
      <w:r w:rsidRPr="00701F54">
        <w:rPr>
          <w:rFonts w:ascii="等线" w:eastAsia="等线" w:hAnsi="等线"/>
          <w:i/>
          <w:iCs/>
        </w:rPr>
        <w:t>Nat Genet</w:t>
      </w:r>
      <w:r w:rsidRPr="00701F54">
        <w:rPr>
          <w:rFonts w:ascii="等线" w:eastAsia="等线" w:hAnsi="等线"/>
        </w:rPr>
        <w:t xml:space="preserve"> </w:t>
      </w:r>
      <w:r w:rsidRPr="00701F54">
        <w:rPr>
          <w:rFonts w:ascii="等线" w:eastAsia="等线" w:hAnsi="等线"/>
          <w:b/>
          <w:bCs/>
        </w:rPr>
        <w:t>50</w:t>
      </w:r>
      <w:r w:rsidRPr="00701F54">
        <w:rPr>
          <w:rFonts w:ascii="等线" w:eastAsia="等线" w:hAnsi="等线"/>
        </w:rPr>
        <w:t>, 1262–1270 (2018).</w:t>
      </w:r>
    </w:p>
    <w:p w14:paraId="30B0DD72" w14:textId="77777777" w:rsidR="00701F54" w:rsidRPr="00701F54" w:rsidRDefault="00701F54" w:rsidP="00701F54">
      <w:pPr>
        <w:pStyle w:val="a3"/>
        <w:rPr>
          <w:rFonts w:ascii="等线" w:eastAsia="等线" w:hAnsi="等线"/>
        </w:rPr>
      </w:pPr>
      <w:r w:rsidRPr="00701F54">
        <w:rPr>
          <w:rFonts w:ascii="等线" w:eastAsia="等线" w:hAnsi="等线"/>
        </w:rPr>
        <w:t>10.</w:t>
      </w:r>
      <w:r w:rsidRPr="00701F54">
        <w:rPr>
          <w:rFonts w:ascii="等线" w:eastAsia="等线" w:hAnsi="等线"/>
        </w:rPr>
        <w:tab/>
        <w:t xml:space="preserve">Mroz, E. A. &amp; Rocco, J. W. MATH, a novel measure of intratumor genetic heterogeneity, is high in poor-outcome classes of head and neck squamous cell carcinoma. </w:t>
      </w:r>
      <w:r w:rsidRPr="00701F54">
        <w:rPr>
          <w:rFonts w:ascii="等线" w:eastAsia="等线" w:hAnsi="等线"/>
          <w:i/>
          <w:iCs/>
        </w:rPr>
        <w:t>Oral Oncol</w:t>
      </w:r>
      <w:r w:rsidRPr="00701F54">
        <w:rPr>
          <w:rFonts w:ascii="等线" w:eastAsia="等线" w:hAnsi="等线"/>
        </w:rPr>
        <w:t xml:space="preserve"> </w:t>
      </w:r>
      <w:r w:rsidRPr="00701F54">
        <w:rPr>
          <w:rFonts w:ascii="等线" w:eastAsia="等线" w:hAnsi="等线"/>
          <w:b/>
          <w:bCs/>
        </w:rPr>
        <w:t>49</w:t>
      </w:r>
      <w:r w:rsidRPr="00701F54">
        <w:rPr>
          <w:rFonts w:ascii="等线" w:eastAsia="等线" w:hAnsi="等线"/>
        </w:rPr>
        <w:t>, 211–215 (2013).</w:t>
      </w:r>
    </w:p>
    <w:p w14:paraId="0C2C327D" w14:textId="77777777" w:rsidR="00701F54" w:rsidRPr="00701F54" w:rsidRDefault="00701F54" w:rsidP="00701F54">
      <w:pPr>
        <w:pStyle w:val="a3"/>
        <w:rPr>
          <w:rFonts w:ascii="等线" w:eastAsia="等线" w:hAnsi="等线"/>
        </w:rPr>
      </w:pPr>
      <w:r w:rsidRPr="00701F54">
        <w:rPr>
          <w:rFonts w:ascii="等线" w:eastAsia="等线" w:hAnsi="等线"/>
        </w:rPr>
        <w:t>11.</w:t>
      </w:r>
      <w:r w:rsidRPr="00701F54">
        <w:rPr>
          <w:rFonts w:ascii="等线" w:eastAsia="等线" w:hAnsi="等线"/>
        </w:rPr>
        <w:tab/>
        <w:t xml:space="preserve">Carter, S. L. </w:t>
      </w:r>
      <w:r w:rsidRPr="00701F54">
        <w:rPr>
          <w:rFonts w:ascii="等线" w:eastAsia="等线" w:hAnsi="等线"/>
          <w:i/>
          <w:iCs/>
        </w:rPr>
        <w:t>et al.</w:t>
      </w:r>
      <w:r w:rsidRPr="00701F54">
        <w:rPr>
          <w:rFonts w:ascii="等线" w:eastAsia="等线" w:hAnsi="等线"/>
        </w:rPr>
        <w:t xml:space="preserve"> Absolute quantification of somatic DNA alterations in human cancer. </w:t>
      </w:r>
      <w:r w:rsidRPr="00701F54">
        <w:rPr>
          <w:rFonts w:ascii="等线" w:eastAsia="等线" w:hAnsi="等线"/>
          <w:i/>
          <w:iCs/>
        </w:rPr>
        <w:t>Nature Biotechnology</w:t>
      </w:r>
      <w:r w:rsidRPr="00701F54">
        <w:rPr>
          <w:rFonts w:ascii="等线" w:eastAsia="等线" w:hAnsi="等线"/>
        </w:rPr>
        <w:t xml:space="preserve"> </w:t>
      </w:r>
      <w:r w:rsidRPr="00701F54">
        <w:rPr>
          <w:rFonts w:ascii="等线" w:eastAsia="等线" w:hAnsi="等线"/>
          <w:b/>
          <w:bCs/>
        </w:rPr>
        <w:t>30</w:t>
      </w:r>
      <w:r w:rsidRPr="00701F54">
        <w:rPr>
          <w:rFonts w:ascii="等线" w:eastAsia="等线" w:hAnsi="等线"/>
        </w:rPr>
        <w:t>, 413–421 (2012).</w:t>
      </w:r>
    </w:p>
    <w:p w14:paraId="1699913F" w14:textId="77777777" w:rsidR="00701F54" w:rsidRPr="00701F54" w:rsidRDefault="00701F54" w:rsidP="00701F54">
      <w:pPr>
        <w:pStyle w:val="a3"/>
        <w:rPr>
          <w:rFonts w:ascii="等线" w:eastAsia="等线" w:hAnsi="等线"/>
        </w:rPr>
      </w:pPr>
      <w:r w:rsidRPr="00701F54">
        <w:rPr>
          <w:rFonts w:ascii="等线" w:eastAsia="等线" w:hAnsi="等线"/>
        </w:rPr>
        <w:t>12.</w:t>
      </w:r>
      <w:r w:rsidRPr="00701F54">
        <w:rPr>
          <w:rFonts w:ascii="等线" w:eastAsia="等线" w:hAnsi="等线"/>
        </w:rPr>
        <w:tab/>
        <w:t xml:space="preserve">Sztupinszki, Z. </w:t>
      </w:r>
      <w:r w:rsidRPr="00701F54">
        <w:rPr>
          <w:rFonts w:ascii="等线" w:eastAsia="等线" w:hAnsi="等线"/>
          <w:i/>
          <w:iCs/>
        </w:rPr>
        <w:t>et al.</w:t>
      </w:r>
      <w:r w:rsidRPr="00701F54">
        <w:rPr>
          <w:rFonts w:ascii="等线" w:eastAsia="等线" w:hAnsi="等线"/>
        </w:rPr>
        <w:t xml:space="preserve"> Migrating the SNP array-based homologous recombination deficiency measures to next generation sequencing data of breast cancer. </w:t>
      </w:r>
      <w:r w:rsidRPr="00701F54">
        <w:rPr>
          <w:rFonts w:ascii="等线" w:eastAsia="等线" w:hAnsi="等线"/>
          <w:i/>
          <w:iCs/>
        </w:rPr>
        <w:t>npj Breast Cancer</w:t>
      </w:r>
      <w:r w:rsidRPr="00701F54">
        <w:rPr>
          <w:rFonts w:ascii="等线" w:eastAsia="等线" w:hAnsi="等线"/>
        </w:rPr>
        <w:t xml:space="preserve"> </w:t>
      </w:r>
      <w:r w:rsidRPr="00701F54">
        <w:rPr>
          <w:rFonts w:ascii="等线" w:eastAsia="等线" w:hAnsi="等线"/>
          <w:b/>
          <w:bCs/>
        </w:rPr>
        <w:t>4</w:t>
      </w:r>
      <w:r w:rsidRPr="00701F54">
        <w:rPr>
          <w:rFonts w:ascii="等线" w:eastAsia="等线" w:hAnsi="等线"/>
        </w:rPr>
        <w:t>, 1–4 (2018).</w:t>
      </w:r>
    </w:p>
    <w:p w14:paraId="1C65DB55" w14:textId="77777777" w:rsidR="00701F54" w:rsidRPr="00701F54" w:rsidRDefault="00701F54" w:rsidP="00701F54">
      <w:pPr>
        <w:pStyle w:val="a3"/>
        <w:rPr>
          <w:rFonts w:ascii="等线" w:eastAsia="等线" w:hAnsi="等线"/>
        </w:rPr>
      </w:pPr>
      <w:r w:rsidRPr="00701F54">
        <w:rPr>
          <w:rFonts w:ascii="等线" w:eastAsia="等线" w:hAnsi="等线"/>
        </w:rPr>
        <w:t>13.</w:t>
      </w:r>
      <w:r w:rsidRPr="00701F54">
        <w:rPr>
          <w:rFonts w:ascii="等线" w:eastAsia="等线" w:hAnsi="等线"/>
        </w:rPr>
        <w:tab/>
        <w:t xml:space="preserve">Knijnenburg, T. A. </w:t>
      </w:r>
      <w:r w:rsidRPr="00701F54">
        <w:rPr>
          <w:rFonts w:ascii="等线" w:eastAsia="等线" w:hAnsi="等线"/>
          <w:i/>
          <w:iCs/>
        </w:rPr>
        <w:t>et al.</w:t>
      </w:r>
      <w:r w:rsidRPr="00701F54">
        <w:rPr>
          <w:rFonts w:ascii="等线" w:eastAsia="等线" w:hAnsi="等线"/>
        </w:rPr>
        <w:t xml:space="preserve"> Genomic and Molecular Landscape of DNA Damage Repair Deficiency across The Cancer Genome Atlas. </w:t>
      </w:r>
      <w:r w:rsidRPr="00701F54">
        <w:rPr>
          <w:rFonts w:ascii="等线" w:eastAsia="等线" w:hAnsi="等线"/>
          <w:i/>
          <w:iCs/>
        </w:rPr>
        <w:t>Cell Rep</w:t>
      </w:r>
      <w:r w:rsidRPr="00701F54">
        <w:rPr>
          <w:rFonts w:ascii="等线" w:eastAsia="等线" w:hAnsi="等线"/>
        </w:rPr>
        <w:t xml:space="preserve"> </w:t>
      </w:r>
      <w:r w:rsidRPr="00701F54">
        <w:rPr>
          <w:rFonts w:ascii="等线" w:eastAsia="等线" w:hAnsi="等线"/>
          <w:b/>
          <w:bCs/>
        </w:rPr>
        <w:t>23</w:t>
      </w:r>
      <w:r w:rsidRPr="00701F54">
        <w:rPr>
          <w:rFonts w:ascii="等线" w:eastAsia="等线" w:hAnsi="等线"/>
        </w:rPr>
        <w:t>, 239-254.e6 (2018).</w:t>
      </w:r>
    </w:p>
    <w:p w14:paraId="0A9BFD43" w14:textId="77777777" w:rsidR="00701F54" w:rsidRPr="00701F54" w:rsidRDefault="00701F54" w:rsidP="00701F54">
      <w:pPr>
        <w:pStyle w:val="a3"/>
        <w:rPr>
          <w:rFonts w:ascii="等线" w:eastAsia="等线" w:hAnsi="等线"/>
        </w:rPr>
      </w:pPr>
      <w:r w:rsidRPr="00701F54">
        <w:rPr>
          <w:rFonts w:ascii="等线" w:eastAsia="等线" w:hAnsi="等线"/>
        </w:rPr>
        <w:t>14.</w:t>
      </w:r>
      <w:r w:rsidRPr="00701F54">
        <w:rPr>
          <w:rFonts w:ascii="等线" w:eastAsia="等线" w:hAnsi="等线"/>
        </w:rPr>
        <w:tab/>
        <w:t xml:space="preserve">Hundal, J. </w:t>
      </w:r>
      <w:r w:rsidRPr="00701F54">
        <w:rPr>
          <w:rFonts w:ascii="等线" w:eastAsia="等线" w:hAnsi="等线"/>
          <w:i/>
          <w:iCs/>
        </w:rPr>
        <w:t>et al.</w:t>
      </w:r>
      <w:r w:rsidRPr="00701F54">
        <w:rPr>
          <w:rFonts w:ascii="等线" w:eastAsia="等线" w:hAnsi="等线"/>
        </w:rPr>
        <w:t xml:space="preserve"> pVAC-Seq: A genome-guided in silico approach to identifying tumor neoantigens. </w:t>
      </w:r>
      <w:r w:rsidRPr="00701F54">
        <w:rPr>
          <w:rFonts w:ascii="等线" w:eastAsia="等线" w:hAnsi="等线"/>
          <w:i/>
          <w:iCs/>
        </w:rPr>
        <w:t>Genome Med</w:t>
      </w:r>
      <w:r w:rsidRPr="00701F54">
        <w:rPr>
          <w:rFonts w:ascii="等线" w:eastAsia="等线" w:hAnsi="等线"/>
        </w:rPr>
        <w:t xml:space="preserve"> </w:t>
      </w:r>
      <w:r w:rsidRPr="00701F54">
        <w:rPr>
          <w:rFonts w:ascii="等线" w:eastAsia="等线" w:hAnsi="等线"/>
          <w:b/>
          <w:bCs/>
        </w:rPr>
        <w:t>8</w:t>
      </w:r>
      <w:r w:rsidRPr="00701F54">
        <w:rPr>
          <w:rFonts w:ascii="等线" w:eastAsia="等线" w:hAnsi="等线"/>
        </w:rPr>
        <w:t>, (2016).</w:t>
      </w:r>
    </w:p>
    <w:p w14:paraId="1D4F9B5B" w14:textId="77777777" w:rsidR="00701F54" w:rsidRPr="00701F54" w:rsidRDefault="00701F54" w:rsidP="00701F54">
      <w:pPr>
        <w:pStyle w:val="a3"/>
        <w:rPr>
          <w:rFonts w:ascii="等线" w:eastAsia="等线" w:hAnsi="等线"/>
        </w:rPr>
      </w:pPr>
      <w:r w:rsidRPr="00701F54">
        <w:rPr>
          <w:rFonts w:ascii="等线" w:eastAsia="等线" w:hAnsi="等线"/>
        </w:rPr>
        <w:t>15.</w:t>
      </w:r>
      <w:r w:rsidRPr="00701F54">
        <w:rPr>
          <w:rFonts w:ascii="等线" w:eastAsia="等线" w:hAnsi="等线"/>
        </w:rPr>
        <w:tab/>
        <w:t xml:space="preserve">McGranahan, N. </w:t>
      </w:r>
      <w:r w:rsidRPr="00701F54">
        <w:rPr>
          <w:rFonts w:ascii="等线" w:eastAsia="等线" w:hAnsi="等线"/>
          <w:i/>
          <w:iCs/>
        </w:rPr>
        <w:t>et al.</w:t>
      </w:r>
      <w:r w:rsidRPr="00701F54">
        <w:rPr>
          <w:rFonts w:ascii="等线" w:eastAsia="等线" w:hAnsi="等线"/>
        </w:rPr>
        <w:t xml:space="preserve"> Allele-Specific HLA Loss and Immune Escape in Lung Cancer Evolution. </w:t>
      </w:r>
      <w:r w:rsidRPr="00701F54">
        <w:rPr>
          <w:rFonts w:ascii="等线" w:eastAsia="等线" w:hAnsi="等线"/>
          <w:i/>
          <w:iCs/>
        </w:rPr>
        <w:t>Cell</w:t>
      </w:r>
      <w:r w:rsidRPr="00701F54">
        <w:rPr>
          <w:rFonts w:ascii="等线" w:eastAsia="等线" w:hAnsi="等线"/>
        </w:rPr>
        <w:t xml:space="preserve"> </w:t>
      </w:r>
      <w:r w:rsidRPr="00701F54">
        <w:rPr>
          <w:rFonts w:ascii="等线" w:eastAsia="等线" w:hAnsi="等线"/>
          <w:b/>
          <w:bCs/>
        </w:rPr>
        <w:t>171</w:t>
      </w:r>
      <w:r w:rsidRPr="00701F54">
        <w:rPr>
          <w:rFonts w:ascii="等线" w:eastAsia="等线" w:hAnsi="等线"/>
        </w:rPr>
        <w:t>, 1259-1271.e11 (2017).</w:t>
      </w:r>
    </w:p>
    <w:p w14:paraId="1207A563" w14:textId="77777777" w:rsidR="00701F54" w:rsidRPr="00701F54" w:rsidRDefault="00701F54" w:rsidP="00701F54">
      <w:pPr>
        <w:pStyle w:val="a3"/>
        <w:rPr>
          <w:rFonts w:ascii="等线" w:eastAsia="等线" w:hAnsi="等线"/>
        </w:rPr>
      </w:pPr>
      <w:r w:rsidRPr="00701F54">
        <w:rPr>
          <w:rFonts w:ascii="等线" w:eastAsia="等线" w:hAnsi="等线"/>
        </w:rPr>
        <w:t>16.</w:t>
      </w:r>
      <w:r w:rsidRPr="00701F54">
        <w:rPr>
          <w:rFonts w:ascii="等线" w:eastAsia="等线" w:hAnsi="等线"/>
        </w:rPr>
        <w:tab/>
        <w:t xml:space="preserve">Forde, P. M. </w:t>
      </w:r>
      <w:r w:rsidRPr="00701F54">
        <w:rPr>
          <w:rFonts w:ascii="等线" w:eastAsia="等线" w:hAnsi="等线"/>
          <w:i/>
          <w:iCs/>
        </w:rPr>
        <w:t>et al.</w:t>
      </w:r>
      <w:r w:rsidRPr="00701F54">
        <w:rPr>
          <w:rFonts w:ascii="等线" w:eastAsia="等线" w:hAnsi="等线"/>
        </w:rPr>
        <w:t xml:space="preserve"> Neoadjuvant PD-1 Blockade in Resectable Lung Cancer. </w:t>
      </w:r>
      <w:r w:rsidRPr="00701F54">
        <w:rPr>
          <w:rFonts w:ascii="等线" w:eastAsia="等线" w:hAnsi="等线"/>
          <w:i/>
          <w:iCs/>
        </w:rPr>
        <w:t>New England Journal of Medicine</w:t>
      </w:r>
      <w:r w:rsidRPr="00701F54">
        <w:rPr>
          <w:rFonts w:ascii="等线" w:eastAsia="等线" w:hAnsi="等线"/>
        </w:rPr>
        <w:t xml:space="preserve"> </w:t>
      </w:r>
      <w:r w:rsidRPr="00701F54">
        <w:rPr>
          <w:rFonts w:ascii="等线" w:eastAsia="等线" w:hAnsi="等线"/>
          <w:b/>
          <w:bCs/>
        </w:rPr>
        <w:t>378</w:t>
      </w:r>
      <w:r w:rsidRPr="00701F54">
        <w:rPr>
          <w:rFonts w:ascii="等线" w:eastAsia="等线" w:hAnsi="等线"/>
        </w:rPr>
        <w:t>, 1976–1986 (2018).</w:t>
      </w:r>
    </w:p>
    <w:p w14:paraId="4A608AB3" w14:textId="77777777" w:rsidR="00701F54" w:rsidRPr="00701F54" w:rsidRDefault="00701F54" w:rsidP="00701F54">
      <w:pPr>
        <w:pStyle w:val="a3"/>
        <w:rPr>
          <w:rFonts w:ascii="等线" w:eastAsia="等线" w:hAnsi="等线"/>
        </w:rPr>
      </w:pPr>
      <w:r w:rsidRPr="00701F54">
        <w:rPr>
          <w:rFonts w:ascii="等线" w:eastAsia="等线" w:hAnsi="等线"/>
        </w:rPr>
        <w:t>17.</w:t>
      </w:r>
      <w:r w:rsidRPr="00701F54">
        <w:rPr>
          <w:rFonts w:ascii="等线" w:eastAsia="等线" w:hAnsi="等线"/>
        </w:rPr>
        <w:tab/>
        <w:t xml:space="preserve">Reuss, J. E. </w:t>
      </w:r>
      <w:r w:rsidRPr="00701F54">
        <w:rPr>
          <w:rFonts w:ascii="等线" w:eastAsia="等线" w:hAnsi="等线"/>
          <w:i/>
          <w:iCs/>
        </w:rPr>
        <w:t>et al.</w:t>
      </w:r>
      <w:r w:rsidRPr="00701F54">
        <w:rPr>
          <w:rFonts w:ascii="等线" w:eastAsia="等线" w:hAnsi="等线"/>
        </w:rPr>
        <w:t xml:space="preserve"> Neoadjuvant nivolumab plus ipilimumab in resectable non-small cell lung cancer. </w:t>
      </w:r>
      <w:r w:rsidRPr="00701F54">
        <w:rPr>
          <w:rFonts w:ascii="等线" w:eastAsia="等线" w:hAnsi="等线"/>
          <w:i/>
          <w:iCs/>
        </w:rPr>
        <w:t>J Immunother Cancer</w:t>
      </w:r>
      <w:r w:rsidRPr="00701F54">
        <w:rPr>
          <w:rFonts w:ascii="等线" w:eastAsia="等线" w:hAnsi="等线"/>
        </w:rPr>
        <w:t xml:space="preserve"> </w:t>
      </w:r>
      <w:r w:rsidRPr="00701F54">
        <w:rPr>
          <w:rFonts w:ascii="等线" w:eastAsia="等线" w:hAnsi="等线"/>
          <w:b/>
          <w:bCs/>
        </w:rPr>
        <w:t>8</w:t>
      </w:r>
      <w:r w:rsidRPr="00701F54">
        <w:rPr>
          <w:rFonts w:ascii="等线" w:eastAsia="等线" w:hAnsi="等线"/>
        </w:rPr>
        <w:t>, e001282 (2020).</w:t>
      </w:r>
    </w:p>
    <w:p w14:paraId="74B5D6A8" w14:textId="77777777" w:rsidR="00701F54" w:rsidRPr="00701F54" w:rsidRDefault="00701F54" w:rsidP="00701F54">
      <w:pPr>
        <w:pStyle w:val="a3"/>
        <w:rPr>
          <w:rFonts w:ascii="等线" w:eastAsia="等线" w:hAnsi="等线"/>
        </w:rPr>
      </w:pPr>
      <w:r w:rsidRPr="00701F54">
        <w:rPr>
          <w:rFonts w:ascii="等线" w:eastAsia="等线" w:hAnsi="等线"/>
        </w:rPr>
        <w:t>18.</w:t>
      </w:r>
      <w:r w:rsidRPr="00701F54">
        <w:rPr>
          <w:rFonts w:ascii="等线" w:eastAsia="等线" w:hAnsi="等线"/>
        </w:rPr>
        <w:tab/>
        <w:t xml:space="preserve">Miao, D. </w:t>
      </w:r>
      <w:r w:rsidRPr="00701F54">
        <w:rPr>
          <w:rFonts w:ascii="等线" w:eastAsia="等线" w:hAnsi="等线"/>
          <w:i/>
          <w:iCs/>
        </w:rPr>
        <w:t>et al.</w:t>
      </w:r>
      <w:r w:rsidRPr="00701F54">
        <w:rPr>
          <w:rFonts w:ascii="等线" w:eastAsia="等线" w:hAnsi="等线"/>
        </w:rPr>
        <w:t xml:space="preserve"> Genomic correlates of response to immune checkpoint blockade in microsatellite-stable solid tumors. </w:t>
      </w:r>
      <w:r w:rsidRPr="00701F54">
        <w:rPr>
          <w:rFonts w:ascii="等线" w:eastAsia="等线" w:hAnsi="等线"/>
          <w:i/>
          <w:iCs/>
        </w:rPr>
        <w:t>Nature Genetics</w:t>
      </w:r>
      <w:r w:rsidRPr="00701F54">
        <w:rPr>
          <w:rFonts w:ascii="等线" w:eastAsia="等线" w:hAnsi="等线"/>
        </w:rPr>
        <w:t xml:space="preserve"> </w:t>
      </w:r>
      <w:r w:rsidRPr="00701F54">
        <w:rPr>
          <w:rFonts w:ascii="等线" w:eastAsia="等线" w:hAnsi="等线"/>
          <w:b/>
          <w:bCs/>
        </w:rPr>
        <w:t>50</w:t>
      </w:r>
      <w:r w:rsidRPr="00701F54">
        <w:rPr>
          <w:rFonts w:ascii="等线" w:eastAsia="等线" w:hAnsi="等线"/>
        </w:rPr>
        <w:t>, 1271–1281 (2018).</w:t>
      </w:r>
    </w:p>
    <w:p w14:paraId="7EF8DEDE" w14:textId="77777777" w:rsidR="00701F54" w:rsidRPr="00701F54" w:rsidRDefault="00701F54" w:rsidP="00701F54">
      <w:pPr>
        <w:pStyle w:val="a3"/>
        <w:rPr>
          <w:rFonts w:ascii="等线" w:eastAsia="等线" w:hAnsi="等线"/>
        </w:rPr>
      </w:pPr>
      <w:r w:rsidRPr="00701F54">
        <w:rPr>
          <w:rFonts w:ascii="等线" w:eastAsia="等线" w:hAnsi="等线"/>
        </w:rPr>
        <w:t>19.</w:t>
      </w:r>
      <w:r w:rsidRPr="00701F54">
        <w:rPr>
          <w:rFonts w:ascii="等线" w:eastAsia="等线" w:hAnsi="等线"/>
        </w:rPr>
        <w:tab/>
        <w:t xml:space="preserve">Rizvi, H. </w:t>
      </w:r>
      <w:r w:rsidRPr="00701F54">
        <w:rPr>
          <w:rFonts w:ascii="等线" w:eastAsia="等线" w:hAnsi="等线"/>
          <w:i/>
          <w:iCs/>
        </w:rPr>
        <w:t>et al.</w:t>
      </w:r>
      <w:r w:rsidRPr="00701F54">
        <w:rPr>
          <w:rFonts w:ascii="等线" w:eastAsia="等线" w:hAnsi="等线"/>
        </w:rPr>
        <w:t xml:space="preserve"> Molecular Determinants of Response to Anti-Programmed Cell Death (PD)-</w:t>
      </w:r>
      <w:r w:rsidRPr="00701F54">
        <w:rPr>
          <w:rFonts w:ascii="等线" w:eastAsia="等线" w:hAnsi="等线"/>
        </w:rPr>
        <w:lastRenderedPageBreak/>
        <w:t xml:space="preserve">1 and Anti-Programmed Death-Ligand 1 (PD-L1) Blockade in Patients With Non-Small-Cell Lung Cancer Profiled With Targeted Next-Generation Sequencing. </w:t>
      </w:r>
      <w:r w:rsidRPr="00701F54">
        <w:rPr>
          <w:rFonts w:ascii="等线" w:eastAsia="等线" w:hAnsi="等线"/>
          <w:i/>
          <w:iCs/>
        </w:rPr>
        <w:t>J Clin Oncol</w:t>
      </w:r>
      <w:r w:rsidRPr="00701F54">
        <w:rPr>
          <w:rFonts w:ascii="等线" w:eastAsia="等线" w:hAnsi="等线"/>
        </w:rPr>
        <w:t xml:space="preserve"> </w:t>
      </w:r>
      <w:r w:rsidRPr="00701F54">
        <w:rPr>
          <w:rFonts w:ascii="等线" w:eastAsia="等线" w:hAnsi="等线"/>
          <w:b/>
          <w:bCs/>
        </w:rPr>
        <w:t>36</w:t>
      </w:r>
      <w:r w:rsidRPr="00701F54">
        <w:rPr>
          <w:rFonts w:ascii="等线" w:eastAsia="等线" w:hAnsi="等线"/>
        </w:rPr>
        <w:t>, 633–641 (2018).</w:t>
      </w:r>
    </w:p>
    <w:p w14:paraId="2C8AE3F5" w14:textId="77777777" w:rsidR="00701F54" w:rsidRPr="00701F54" w:rsidRDefault="00701F54" w:rsidP="00701F54">
      <w:pPr>
        <w:pStyle w:val="a3"/>
        <w:rPr>
          <w:rFonts w:ascii="等线" w:eastAsia="等线" w:hAnsi="等线"/>
        </w:rPr>
      </w:pPr>
      <w:r w:rsidRPr="00701F54">
        <w:rPr>
          <w:rFonts w:ascii="等线" w:eastAsia="等线" w:hAnsi="等线"/>
        </w:rPr>
        <w:t>20.</w:t>
      </w:r>
      <w:r w:rsidRPr="00701F54">
        <w:rPr>
          <w:rFonts w:ascii="等线" w:eastAsia="等线" w:hAnsi="等线"/>
        </w:rPr>
        <w:tab/>
        <w:t xml:space="preserve">Jordan, E. J. </w:t>
      </w:r>
      <w:r w:rsidRPr="00701F54">
        <w:rPr>
          <w:rFonts w:ascii="等线" w:eastAsia="等线" w:hAnsi="等线"/>
          <w:i/>
          <w:iCs/>
        </w:rPr>
        <w:t>et al.</w:t>
      </w:r>
      <w:r w:rsidRPr="00701F54">
        <w:rPr>
          <w:rFonts w:ascii="等线" w:eastAsia="等线" w:hAnsi="等线"/>
        </w:rPr>
        <w:t xml:space="preserve"> Prospective Comprehensive Molecular Characterization of Lung Adenocarcinomas for Efficient Patient Matching to Approved and Emerging Therapies. </w:t>
      </w:r>
      <w:r w:rsidRPr="00701F54">
        <w:rPr>
          <w:rFonts w:ascii="等线" w:eastAsia="等线" w:hAnsi="等线"/>
          <w:i/>
          <w:iCs/>
        </w:rPr>
        <w:t>Cancer Discov</w:t>
      </w:r>
      <w:r w:rsidRPr="00701F54">
        <w:rPr>
          <w:rFonts w:ascii="等线" w:eastAsia="等线" w:hAnsi="等线"/>
        </w:rPr>
        <w:t xml:space="preserve"> </w:t>
      </w:r>
      <w:r w:rsidRPr="00701F54">
        <w:rPr>
          <w:rFonts w:ascii="等线" w:eastAsia="等线" w:hAnsi="等线"/>
          <w:b/>
          <w:bCs/>
        </w:rPr>
        <w:t>7</w:t>
      </w:r>
      <w:r w:rsidRPr="00701F54">
        <w:rPr>
          <w:rFonts w:ascii="等线" w:eastAsia="等线" w:hAnsi="等线"/>
        </w:rPr>
        <w:t>, 596–609 (2017).</w:t>
      </w:r>
    </w:p>
    <w:p w14:paraId="67580AD7" w14:textId="77777777" w:rsidR="00701F54" w:rsidRPr="00701F54" w:rsidRDefault="00701F54" w:rsidP="00701F54">
      <w:pPr>
        <w:pStyle w:val="a3"/>
        <w:rPr>
          <w:rFonts w:ascii="等线" w:eastAsia="等线" w:hAnsi="等线"/>
        </w:rPr>
      </w:pPr>
      <w:r w:rsidRPr="00701F54">
        <w:rPr>
          <w:rFonts w:ascii="等线" w:eastAsia="等线" w:hAnsi="等线"/>
        </w:rPr>
        <w:t>21.</w:t>
      </w:r>
      <w:r w:rsidRPr="00701F54">
        <w:rPr>
          <w:rFonts w:ascii="等线" w:eastAsia="等线" w:hAnsi="等线"/>
        </w:rPr>
        <w:tab/>
        <w:t xml:space="preserve">Gandara, D. R. </w:t>
      </w:r>
      <w:r w:rsidRPr="00701F54">
        <w:rPr>
          <w:rFonts w:ascii="等线" w:eastAsia="等线" w:hAnsi="等线"/>
          <w:i/>
          <w:iCs/>
        </w:rPr>
        <w:t>et al.</w:t>
      </w:r>
      <w:r w:rsidRPr="00701F54">
        <w:rPr>
          <w:rFonts w:ascii="等线" w:eastAsia="等线" w:hAnsi="等线"/>
        </w:rPr>
        <w:t xml:space="preserve"> Blood-based tumor mutational burden as a predictor of clinical benefit in non-small-cell lung cancer patients treated with atezolizumab. </w:t>
      </w:r>
      <w:r w:rsidRPr="00701F54">
        <w:rPr>
          <w:rFonts w:ascii="等线" w:eastAsia="等线" w:hAnsi="等线"/>
          <w:i/>
          <w:iCs/>
        </w:rPr>
        <w:t>Nat Med</w:t>
      </w:r>
      <w:r w:rsidRPr="00701F54">
        <w:rPr>
          <w:rFonts w:ascii="等线" w:eastAsia="等线" w:hAnsi="等线"/>
        </w:rPr>
        <w:t xml:space="preserve"> </w:t>
      </w:r>
      <w:r w:rsidRPr="00701F54">
        <w:rPr>
          <w:rFonts w:ascii="等线" w:eastAsia="等线" w:hAnsi="等线"/>
          <w:b/>
          <w:bCs/>
        </w:rPr>
        <w:t>24</w:t>
      </w:r>
      <w:r w:rsidRPr="00701F54">
        <w:rPr>
          <w:rFonts w:ascii="等线" w:eastAsia="等线" w:hAnsi="等线"/>
        </w:rPr>
        <w:t>, 1441–1448 (2018).</w:t>
      </w:r>
    </w:p>
    <w:p w14:paraId="37A4B5F8" w14:textId="77777777" w:rsidR="00701F54" w:rsidRPr="00701F54" w:rsidRDefault="00701F54" w:rsidP="00701F54">
      <w:pPr>
        <w:pStyle w:val="a3"/>
        <w:rPr>
          <w:rFonts w:ascii="等线" w:eastAsia="等线" w:hAnsi="等线"/>
        </w:rPr>
      </w:pPr>
      <w:r w:rsidRPr="00701F54">
        <w:rPr>
          <w:rFonts w:ascii="等线" w:eastAsia="等线" w:hAnsi="等线"/>
        </w:rPr>
        <w:t>22.</w:t>
      </w:r>
      <w:r w:rsidRPr="00701F54">
        <w:rPr>
          <w:rFonts w:ascii="等线" w:eastAsia="等线" w:hAnsi="等线"/>
        </w:rPr>
        <w:tab/>
        <w:t xml:space="preserve">Li, C. </w:t>
      </w:r>
      <w:r w:rsidRPr="00701F54">
        <w:rPr>
          <w:rFonts w:ascii="等线" w:eastAsia="等线" w:hAnsi="等线"/>
          <w:i/>
          <w:iCs/>
        </w:rPr>
        <w:t>et al.</w:t>
      </w:r>
      <w:r w:rsidRPr="00701F54">
        <w:rPr>
          <w:rFonts w:ascii="等线" w:eastAsia="等线" w:hAnsi="等线"/>
        </w:rPr>
        <w:t xml:space="preserve"> Whole Exome Sequencing Identifies Frequent Somatic Mutations in Cell-Cell Adhesion Genes in Chinese Patients with Lung Squamous Cell Carcinoma. </w:t>
      </w:r>
      <w:r w:rsidRPr="00701F54">
        <w:rPr>
          <w:rFonts w:ascii="等线" w:eastAsia="等线" w:hAnsi="等线"/>
          <w:i/>
          <w:iCs/>
        </w:rPr>
        <w:t>Sci Rep</w:t>
      </w:r>
      <w:r w:rsidRPr="00701F54">
        <w:rPr>
          <w:rFonts w:ascii="等线" w:eastAsia="等线" w:hAnsi="等线"/>
        </w:rPr>
        <w:t xml:space="preserve"> </w:t>
      </w:r>
      <w:r w:rsidRPr="00701F54">
        <w:rPr>
          <w:rFonts w:ascii="等线" w:eastAsia="等线" w:hAnsi="等线"/>
          <w:b/>
          <w:bCs/>
        </w:rPr>
        <w:t>5</w:t>
      </w:r>
      <w:r w:rsidRPr="00701F54">
        <w:rPr>
          <w:rFonts w:ascii="等线" w:eastAsia="等线" w:hAnsi="等线"/>
        </w:rPr>
        <w:t>, 14237 (2015).</w:t>
      </w:r>
    </w:p>
    <w:p w14:paraId="44E5B918" w14:textId="77777777" w:rsidR="00701F54" w:rsidRPr="00701F54" w:rsidRDefault="00701F54" w:rsidP="00701F54">
      <w:pPr>
        <w:pStyle w:val="a3"/>
        <w:rPr>
          <w:rFonts w:ascii="等线" w:eastAsia="等线" w:hAnsi="等线"/>
        </w:rPr>
      </w:pPr>
      <w:r w:rsidRPr="00701F54">
        <w:rPr>
          <w:rFonts w:ascii="等线" w:eastAsia="等线" w:hAnsi="等线"/>
        </w:rPr>
        <w:t>23.</w:t>
      </w:r>
      <w:r w:rsidRPr="00701F54">
        <w:rPr>
          <w:rFonts w:ascii="等线" w:eastAsia="等线" w:hAnsi="等线"/>
        </w:rPr>
        <w:tab/>
        <w:t xml:space="preserve">Arauz, R. F. </w:t>
      </w:r>
      <w:r w:rsidRPr="00701F54">
        <w:rPr>
          <w:rFonts w:ascii="等线" w:eastAsia="等线" w:hAnsi="等线"/>
          <w:i/>
          <w:iCs/>
        </w:rPr>
        <w:t>et al.</w:t>
      </w:r>
      <w:r w:rsidRPr="00701F54">
        <w:rPr>
          <w:rFonts w:ascii="等线" w:eastAsia="等线" w:hAnsi="等线"/>
        </w:rPr>
        <w:t xml:space="preserve"> Whole-Exome Profiling of NSCLC Among African Americans. </w:t>
      </w:r>
      <w:r w:rsidRPr="00701F54">
        <w:rPr>
          <w:rFonts w:ascii="等线" w:eastAsia="等线" w:hAnsi="等线"/>
          <w:i/>
          <w:iCs/>
        </w:rPr>
        <w:t>J Thorac Oncol</w:t>
      </w:r>
      <w:r w:rsidRPr="00701F54">
        <w:rPr>
          <w:rFonts w:ascii="等线" w:eastAsia="等线" w:hAnsi="等线"/>
        </w:rPr>
        <w:t xml:space="preserve"> </w:t>
      </w:r>
      <w:r w:rsidRPr="00701F54">
        <w:rPr>
          <w:rFonts w:ascii="等线" w:eastAsia="等线" w:hAnsi="等线"/>
          <w:b/>
          <w:bCs/>
        </w:rPr>
        <w:t>15</w:t>
      </w:r>
      <w:r w:rsidRPr="00701F54">
        <w:rPr>
          <w:rFonts w:ascii="等线" w:eastAsia="等线" w:hAnsi="等线"/>
        </w:rPr>
        <w:t>, 1880–1892 (2020).</w:t>
      </w:r>
    </w:p>
    <w:p w14:paraId="3BFAAAEE" w14:textId="77777777" w:rsidR="00701F54" w:rsidRPr="00701F54" w:rsidRDefault="00701F54" w:rsidP="00701F54">
      <w:pPr>
        <w:pStyle w:val="a3"/>
        <w:rPr>
          <w:rFonts w:ascii="等线" w:eastAsia="等线" w:hAnsi="等线"/>
        </w:rPr>
      </w:pPr>
      <w:r w:rsidRPr="00701F54">
        <w:rPr>
          <w:rFonts w:ascii="等线" w:eastAsia="等线" w:hAnsi="等线"/>
        </w:rPr>
        <w:t>24.</w:t>
      </w:r>
      <w:r w:rsidRPr="00701F54">
        <w:rPr>
          <w:rFonts w:ascii="等线" w:eastAsia="等线" w:hAnsi="等线"/>
        </w:rPr>
        <w:tab/>
        <w:t xml:space="preserve">Gao, J. </w:t>
      </w:r>
      <w:r w:rsidRPr="00701F54">
        <w:rPr>
          <w:rFonts w:ascii="等线" w:eastAsia="等线" w:hAnsi="等线"/>
          <w:i/>
          <w:iCs/>
        </w:rPr>
        <w:t>et al.</w:t>
      </w:r>
      <w:r w:rsidRPr="00701F54">
        <w:rPr>
          <w:rFonts w:ascii="等线" w:eastAsia="等线" w:hAnsi="等线"/>
        </w:rPr>
        <w:t xml:space="preserve"> Integrative analysis of complex cancer genomics and clinical profiles using the cBioPortal. </w:t>
      </w:r>
      <w:r w:rsidRPr="00701F54">
        <w:rPr>
          <w:rFonts w:ascii="等线" w:eastAsia="等线" w:hAnsi="等线"/>
          <w:i/>
          <w:iCs/>
        </w:rPr>
        <w:t>Science signaling</w:t>
      </w:r>
      <w:r w:rsidRPr="00701F54">
        <w:rPr>
          <w:rFonts w:ascii="等线" w:eastAsia="等线" w:hAnsi="等线"/>
        </w:rPr>
        <w:t xml:space="preserve"> </w:t>
      </w:r>
      <w:r w:rsidRPr="00701F54">
        <w:rPr>
          <w:rFonts w:ascii="等线" w:eastAsia="等线" w:hAnsi="等线"/>
          <w:b/>
          <w:bCs/>
        </w:rPr>
        <w:t>6</w:t>
      </w:r>
      <w:r w:rsidRPr="00701F54">
        <w:rPr>
          <w:rFonts w:ascii="等线" w:eastAsia="等线" w:hAnsi="等线"/>
        </w:rPr>
        <w:t>, pl1–pl1 (2013).</w:t>
      </w:r>
    </w:p>
    <w:p w14:paraId="1A7C44CE" w14:textId="77777777" w:rsidR="00701F54" w:rsidRPr="00701F54" w:rsidRDefault="00701F54" w:rsidP="00701F54">
      <w:pPr>
        <w:pStyle w:val="a3"/>
        <w:rPr>
          <w:rFonts w:ascii="等线" w:eastAsia="等线" w:hAnsi="等线"/>
        </w:rPr>
      </w:pPr>
      <w:r w:rsidRPr="00701F54">
        <w:rPr>
          <w:rFonts w:ascii="等线" w:eastAsia="等线" w:hAnsi="等线"/>
        </w:rPr>
        <w:t>25.</w:t>
      </w:r>
      <w:r w:rsidRPr="00701F54">
        <w:rPr>
          <w:rFonts w:ascii="等线" w:eastAsia="等线" w:hAnsi="等线"/>
        </w:rPr>
        <w:tab/>
        <w:t xml:space="preserve">Sinha, S. </w:t>
      </w:r>
      <w:r w:rsidRPr="00701F54">
        <w:rPr>
          <w:rFonts w:ascii="等线" w:eastAsia="等线" w:hAnsi="等线"/>
          <w:i/>
          <w:iCs/>
        </w:rPr>
        <w:t>et al.</w:t>
      </w:r>
      <w:r w:rsidRPr="00701F54">
        <w:rPr>
          <w:rFonts w:ascii="等线" w:eastAsia="等线" w:hAnsi="等线"/>
        </w:rPr>
        <w:t xml:space="preserve"> Higher prevalence of homologous recombination deficiency in tumors from African Americans versus European Americans. </w:t>
      </w:r>
      <w:r w:rsidRPr="00701F54">
        <w:rPr>
          <w:rFonts w:ascii="等线" w:eastAsia="等线" w:hAnsi="等线"/>
          <w:i/>
          <w:iCs/>
        </w:rPr>
        <w:t>Nat Cancer</w:t>
      </w:r>
      <w:r w:rsidRPr="00701F54">
        <w:rPr>
          <w:rFonts w:ascii="等线" w:eastAsia="等线" w:hAnsi="等线"/>
        </w:rPr>
        <w:t xml:space="preserve"> </w:t>
      </w:r>
      <w:r w:rsidRPr="00701F54">
        <w:rPr>
          <w:rFonts w:ascii="等线" w:eastAsia="等线" w:hAnsi="等线"/>
          <w:b/>
          <w:bCs/>
        </w:rPr>
        <w:t>1</w:t>
      </w:r>
      <w:r w:rsidRPr="00701F54">
        <w:rPr>
          <w:rFonts w:ascii="等线" w:eastAsia="等线" w:hAnsi="等线"/>
        </w:rPr>
        <w:t>, 112–121 (2020).</w:t>
      </w:r>
    </w:p>
    <w:p w14:paraId="2C684C3C" w14:textId="77777777" w:rsidR="00701F54" w:rsidRPr="00701F54" w:rsidRDefault="00701F54" w:rsidP="00701F54">
      <w:pPr>
        <w:pStyle w:val="a3"/>
        <w:rPr>
          <w:rFonts w:ascii="等线" w:eastAsia="等线" w:hAnsi="等线"/>
        </w:rPr>
      </w:pPr>
      <w:r w:rsidRPr="00701F54">
        <w:rPr>
          <w:rFonts w:ascii="等线" w:eastAsia="等线" w:hAnsi="等线"/>
        </w:rPr>
        <w:t>26.</w:t>
      </w:r>
      <w:r w:rsidRPr="00701F54">
        <w:rPr>
          <w:rFonts w:ascii="等线" w:eastAsia="等线" w:hAnsi="等线"/>
        </w:rPr>
        <w:tab/>
        <w:t xml:space="preserve">Kassambara, A., Kosinski, M., Biecek, P. &amp; Fabian, S. Package ‘survminer’. </w:t>
      </w:r>
      <w:r w:rsidRPr="00701F54">
        <w:rPr>
          <w:rFonts w:ascii="等线" w:eastAsia="等线" w:hAnsi="等线"/>
          <w:i/>
          <w:iCs/>
        </w:rPr>
        <w:t>Drawing Survival Curves using ‘ggplot2’(R package version 03 1)</w:t>
      </w:r>
      <w:r w:rsidRPr="00701F54">
        <w:rPr>
          <w:rFonts w:ascii="等线" w:eastAsia="等线" w:hAnsi="等线"/>
        </w:rPr>
        <w:t xml:space="preserve"> (2017).</w:t>
      </w:r>
    </w:p>
    <w:p w14:paraId="5E7B58DA" w14:textId="38415285" w:rsidR="004A300D" w:rsidRPr="00220DA3" w:rsidRDefault="00220DA3">
      <w:r>
        <w:fldChar w:fldCharType="end"/>
      </w:r>
    </w:p>
    <w:sectPr w:rsidR="004A300D" w:rsidRPr="00220D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B9EA2" w14:textId="77777777" w:rsidR="00155B66" w:rsidRDefault="00155B66" w:rsidP="00BC2575">
      <w:r>
        <w:separator/>
      </w:r>
    </w:p>
  </w:endnote>
  <w:endnote w:type="continuationSeparator" w:id="0">
    <w:p w14:paraId="1BD12F5C" w14:textId="77777777" w:rsidR="00155B66" w:rsidRDefault="00155B66" w:rsidP="00BC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98BD7" w14:textId="77777777" w:rsidR="00155B66" w:rsidRDefault="00155B66" w:rsidP="00BC2575">
      <w:r>
        <w:separator/>
      </w:r>
    </w:p>
  </w:footnote>
  <w:footnote w:type="continuationSeparator" w:id="0">
    <w:p w14:paraId="2E300F7D" w14:textId="77777777" w:rsidR="00155B66" w:rsidRDefault="00155B66" w:rsidP="00BC2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A3"/>
    <w:rsid w:val="00155B66"/>
    <w:rsid w:val="00193D87"/>
    <w:rsid w:val="00220DA3"/>
    <w:rsid w:val="00227CB4"/>
    <w:rsid w:val="002B2270"/>
    <w:rsid w:val="002F23E8"/>
    <w:rsid w:val="003C2B3E"/>
    <w:rsid w:val="00471D09"/>
    <w:rsid w:val="00472EBF"/>
    <w:rsid w:val="004A300D"/>
    <w:rsid w:val="004E5DE0"/>
    <w:rsid w:val="005633B3"/>
    <w:rsid w:val="005C692A"/>
    <w:rsid w:val="006150E3"/>
    <w:rsid w:val="00701F54"/>
    <w:rsid w:val="007719D7"/>
    <w:rsid w:val="007B75B8"/>
    <w:rsid w:val="007E11DF"/>
    <w:rsid w:val="008C39DB"/>
    <w:rsid w:val="00927E67"/>
    <w:rsid w:val="00A9238A"/>
    <w:rsid w:val="00B0465A"/>
    <w:rsid w:val="00B31917"/>
    <w:rsid w:val="00B93E8F"/>
    <w:rsid w:val="00B97F25"/>
    <w:rsid w:val="00BB1AB8"/>
    <w:rsid w:val="00BC2575"/>
    <w:rsid w:val="00C2069C"/>
    <w:rsid w:val="00DC2EFE"/>
    <w:rsid w:val="00DE3D74"/>
    <w:rsid w:val="00E42587"/>
    <w:rsid w:val="00F36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BA6C"/>
  <w15:chartTrackingRefBased/>
  <w15:docId w15:val="{5342802A-82BC-438A-927A-81B1B5C4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DA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220DA3"/>
    <w:pPr>
      <w:tabs>
        <w:tab w:val="left" w:pos="384"/>
      </w:tabs>
      <w:spacing w:line="480" w:lineRule="auto"/>
      <w:ind w:left="384" w:hanging="384"/>
    </w:pPr>
  </w:style>
  <w:style w:type="paragraph" w:styleId="a4">
    <w:name w:val="header"/>
    <w:basedOn w:val="a"/>
    <w:link w:val="a5"/>
    <w:uiPriority w:val="99"/>
    <w:unhideWhenUsed/>
    <w:rsid w:val="00BC257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C2575"/>
    <w:rPr>
      <w:sz w:val="18"/>
      <w:szCs w:val="18"/>
    </w:rPr>
  </w:style>
  <w:style w:type="paragraph" w:styleId="a6">
    <w:name w:val="footer"/>
    <w:basedOn w:val="a"/>
    <w:link w:val="a7"/>
    <w:uiPriority w:val="99"/>
    <w:unhideWhenUsed/>
    <w:rsid w:val="00BC2575"/>
    <w:pPr>
      <w:tabs>
        <w:tab w:val="center" w:pos="4153"/>
        <w:tab w:val="right" w:pos="8306"/>
      </w:tabs>
      <w:snapToGrid w:val="0"/>
      <w:jc w:val="left"/>
    </w:pPr>
    <w:rPr>
      <w:sz w:val="18"/>
      <w:szCs w:val="18"/>
    </w:rPr>
  </w:style>
  <w:style w:type="character" w:customStyle="1" w:styleId="a7">
    <w:name w:val="页脚 字符"/>
    <w:basedOn w:val="a0"/>
    <w:link w:val="a6"/>
    <w:uiPriority w:val="99"/>
    <w:rsid w:val="00BC2575"/>
    <w:rPr>
      <w:sz w:val="18"/>
      <w:szCs w:val="18"/>
    </w:rPr>
  </w:style>
  <w:style w:type="paragraph" w:styleId="a8">
    <w:name w:val="Balloon Text"/>
    <w:basedOn w:val="a"/>
    <w:link w:val="a9"/>
    <w:uiPriority w:val="99"/>
    <w:semiHidden/>
    <w:unhideWhenUsed/>
    <w:rsid w:val="00701F54"/>
    <w:rPr>
      <w:sz w:val="18"/>
      <w:szCs w:val="18"/>
    </w:rPr>
  </w:style>
  <w:style w:type="character" w:customStyle="1" w:styleId="a9">
    <w:name w:val="批注框文本 字符"/>
    <w:basedOn w:val="a0"/>
    <w:link w:val="a8"/>
    <w:uiPriority w:val="99"/>
    <w:semiHidden/>
    <w:rsid w:val="00701F54"/>
    <w:rPr>
      <w:sz w:val="18"/>
      <w:szCs w:val="18"/>
    </w:rPr>
  </w:style>
  <w:style w:type="paragraph" w:styleId="aa">
    <w:name w:val="Revision"/>
    <w:hidden/>
    <w:uiPriority w:val="99"/>
    <w:semiHidden/>
    <w:rsid w:val="00701F5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5463D-AC8D-4708-9E0C-2729948C2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12376</Words>
  <Characters>70544</Characters>
  <Application>Microsoft Office Word</Application>
  <DocSecurity>0</DocSecurity>
  <Lines>587</Lines>
  <Paragraphs>165</Paragraphs>
  <ScaleCrop>false</ScaleCrop>
  <Company/>
  <LinksUpToDate>false</LinksUpToDate>
  <CharactersWithSpaces>82755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2022-05-10T06:58:00Z</dcterms:created>
  <dcterms:modified xsi:type="dcterms:W3CDTF">2022-05-10T08:14:00Z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zotero-version="6.0.5"&gt;&lt;session id="op1BLKJ9"/&gt;&lt;style id="http://www.zotero.org/styles/nature" hasBibliography="1" bibliographyStyleHasBeenSet="1"/&gt;&lt;prefs&gt;&lt;pref name="fieldType" value="Field"/&gt;&lt;/prefs&gt;&lt;/data&gt;</vt:lpwstr>
  </property>
</Properties>
</file>