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039EB" w14:textId="2FE51451" w:rsidR="009C4773" w:rsidRPr="00126A9A" w:rsidRDefault="00167F3C" w:rsidP="00167F3C">
      <w:pPr>
        <w:widowControl/>
        <w:adjustRightInd w:val="0"/>
        <w:snapToGrid w:val="0"/>
        <w:spacing w:line="480" w:lineRule="auto"/>
        <w:jc w:val="left"/>
        <w:rPr>
          <w:rFonts w:ascii="Times New Roman" w:hAnsi="Times New Roman" w:cs="Times New Roman"/>
          <w:b/>
          <w:bCs/>
          <w:sz w:val="24"/>
        </w:rPr>
      </w:pPr>
      <w:r w:rsidRPr="00126A9A">
        <w:rPr>
          <w:rFonts w:ascii="Times New Roman" w:hAnsi="Times New Roman" w:cs="Times New Roman"/>
          <w:b/>
          <w:bCs/>
          <w:sz w:val="24"/>
        </w:rPr>
        <w:t xml:space="preserve">Supplementary </w:t>
      </w:r>
      <w:r w:rsidR="009C4773" w:rsidRPr="00126A9A">
        <w:rPr>
          <w:rFonts w:ascii="Times New Roman" w:hAnsi="Times New Roman" w:cs="Times New Roman"/>
          <w:b/>
          <w:bCs/>
          <w:sz w:val="24"/>
        </w:rPr>
        <w:t>Materials and methods</w:t>
      </w:r>
    </w:p>
    <w:p w14:paraId="1ADAC16B" w14:textId="77777777" w:rsidR="009C4773" w:rsidRPr="00126A9A" w:rsidRDefault="009C4773" w:rsidP="00167F3C">
      <w:pPr>
        <w:adjustRightInd w:val="0"/>
        <w:snapToGrid w:val="0"/>
        <w:spacing w:line="480" w:lineRule="auto"/>
        <w:rPr>
          <w:rFonts w:ascii="Times New Roman" w:hAnsi="Times New Roman" w:cs="Times New Roman"/>
          <w:b/>
          <w:bCs/>
          <w:sz w:val="24"/>
        </w:rPr>
      </w:pPr>
      <w:r w:rsidRPr="00126A9A">
        <w:rPr>
          <w:rFonts w:ascii="Times New Roman" w:hAnsi="Times New Roman" w:cs="Times New Roman"/>
          <w:b/>
          <w:bCs/>
          <w:sz w:val="24"/>
        </w:rPr>
        <w:t>Study Design</w:t>
      </w:r>
    </w:p>
    <w:p w14:paraId="553ADF91" w14:textId="36006B92" w:rsidR="009C4773" w:rsidRPr="00126A9A" w:rsidRDefault="009C4773" w:rsidP="00167F3C">
      <w:pPr>
        <w:adjustRightInd w:val="0"/>
        <w:snapToGrid w:val="0"/>
        <w:spacing w:line="480" w:lineRule="auto"/>
        <w:rPr>
          <w:rFonts w:ascii="Times New Roman" w:hAnsi="Times New Roman" w:cs="Times New Roman"/>
          <w:sz w:val="24"/>
        </w:rPr>
      </w:pPr>
      <w:r w:rsidRPr="00126A9A">
        <w:rPr>
          <w:rFonts w:ascii="Times New Roman" w:hAnsi="Times New Roman" w:cs="Times New Roman"/>
          <w:sz w:val="24"/>
        </w:rPr>
        <w:t xml:space="preserve">This prospective cohort study was conducted at a tertiary medical center. It was registered at the www.clinicaltrials.gov (identifier: </w:t>
      </w:r>
      <w:bookmarkStart w:id="0" w:name="OLE_LINK2"/>
      <w:bookmarkStart w:id="1" w:name="OLE_LINK1"/>
      <w:r w:rsidRPr="00126A9A">
        <w:rPr>
          <w:rFonts w:ascii="Times New Roman" w:hAnsi="Times New Roman" w:cs="Times New Roman"/>
          <w:sz w:val="24"/>
        </w:rPr>
        <w:t>NCT04365049</w:t>
      </w:r>
      <w:bookmarkEnd w:id="0"/>
      <w:bookmarkEnd w:id="1"/>
      <w:r w:rsidRPr="00126A9A">
        <w:rPr>
          <w:rFonts w:ascii="Times New Roman" w:hAnsi="Times New Roman" w:cs="Times New Roman"/>
          <w:sz w:val="24"/>
        </w:rPr>
        <w:t xml:space="preserve">), and approved by the Institution’s Ethics Committee (approval number: [2020]247). The study was conformed to the standards of the Declaration of Helsinki and all the participants provided written informed consent before enrollment. The inclusion criteria were as follows: (1) aged </w:t>
      </w:r>
      <w:r w:rsidRPr="00126A9A">
        <w:rPr>
          <w:rFonts w:ascii="Times New Roman" w:eastAsia="微软雅黑" w:hAnsi="Times New Roman" w:cs="Times New Roman"/>
          <w:sz w:val="24"/>
        </w:rPr>
        <w:t xml:space="preserve">≥ </w:t>
      </w:r>
      <w:r w:rsidRPr="00126A9A">
        <w:rPr>
          <w:rFonts w:ascii="Times New Roman" w:hAnsi="Times New Roman" w:cs="Times New Roman"/>
          <w:sz w:val="24"/>
        </w:rPr>
        <w:t xml:space="preserve">18 years and </w:t>
      </w:r>
      <w:r w:rsidRPr="00126A9A">
        <w:rPr>
          <w:rFonts w:ascii="Times New Roman" w:eastAsia="微软雅黑" w:hAnsi="Times New Roman" w:cs="Times New Roman"/>
          <w:sz w:val="24"/>
        </w:rPr>
        <w:t xml:space="preserve">≤ </w:t>
      </w:r>
      <w:r w:rsidRPr="00126A9A">
        <w:rPr>
          <w:rFonts w:ascii="Times New Roman" w:hAnsi="Times New Roman" w:cs="Times New Roman"/>
          <w:sz w:val="24"/>
        </w:rPr>
        <w:t xml:space="preserve">75 years; (2) histologically or cytologically proven diagnosis of pancreatic adenocarcinoma; (3) treatment-naive locally advanced pancreatic cancer (locally advanced status was determined by our multidisciplinary team based on the National Comprehensive Cancer Network definitions </w:t>
      </w:r>
      <w:r w:rsidRPr="003E3BD3">
        <w:rPr>
          <w:rFonts w:ascii="Times New Roman" w:hAnsi="Times New Roman" w:cs="Times New Roman"/>
          <w:sz w:val="24"/>
        </w:rPr>
        <w:t>[</w:t>
      </w:r>
      <w:r w:rsidR="00126A9A" w:rsidRPr="003E3BD3">
        <w:rPr>
          <w:rFonts w:ascii="Times New Roman" w:hAnsi="Times New Roman" w:cs="Times New Roman"/>
          <w:sz w:val="24"/>
        </w:rPr>
        <w:t>1</w:t>
      </w:r>
      <w:r w:rsidRPr="003E3BD3">
        <w:rPr>
          <w:rFonts w:ascii="Times New Roman" w:hAnsi="Times New Roman" w:cs="Times New Roman"/>
          <w:sz w:val="24"/>
        </w:rPr>
        <w:t>])</w:t>
      </w:r>
      <w:r w:rsidRPr="00126A9A">
        <w:rPr>
          <w:rFonts w:ascii="Times New Roman" w:hAnsi="Times New Roman" w:cs="Times New Roman"/>
          <w:sz w:val="24"/>
        </w:rPr>
        <w:t>; (4) no distant metastasis as defined by CT or MRI of the chest, abdomen and pelvis; (5) at least 1 measurable lesion based on the Response Evaluation Criteria in Solid Tumors criteria (RECIST) 1.1; (6) an Eastern Cooperative Oncology Group (ECOG) performance status score of 0 to 1; (7) life expectancy of at least 3 months; (8) adequate hematological function (absolute neutrophil count</w:t>
      </w:r>
      <w:r w:rsidRPr="00126A9A">
        <w:rPr>
          <w:rFonts w:ascii="Times New Roman" w:eastAsia="微软雅黑" w:hAnsi="Times New Roman" w:cs="Times New Roman"/>
          <w:sz w:val="24"/>
        </w:rPr>
        <w:t xml:space="preserve">≥ </w:t>
      </w:r>
      <w:r w:rsidRPr="00126A9A">
        <w:rPr>
          <w:rFonts w:ascii="Times New Roman" w:hAnsi="Times New Roman" w:cs="Times New Roman"/>
          <w:sz w:val="24"/>
        </w:rPr>
        <w:t>1500 cell/mm</w:t>
      </w:r>
      <w:r w:rsidRPr="00126A9A">
        <w:rPr>
          <w:rFonts w:ascii="Times New Roman" w:hAnsi="Times New Roman" w:cs="Times New Roman"/>
          <w:sz w:val="24"/>
          <w:vertAlign w:val="superscript"/>
        </w:rPr>
        <w:t>3</w:t>
      </w:r>
      <w:r w:rsidRPr="00126A9A">
        <w:rPr>
          <w:rFonts w:ascii="Times New Roman" w:hAnsi="Times New Roman" w:cs="Times New Roman"/>
          <w:sz w:val="24"/>
        </w:rPr>
        <w:t>, platelet count≥ 100×10</w:t>
      </w:r>
      <w:r w:rsidRPr="00126A9A">
        <w:rPr>
          <w:rFonts w:ascii="Times New Roman" w:hAnsi="Times New Roman" w:cs="Times New Roman"/>
          <w:sz w:val="24"/>
          <w:vertAlign w:val="superscript"/>
        </w:rPr>
        <w:t>9</w:t>
      </w:r>
      <w:r w:rsidRPr="00126A9A">
        <w:rPr>
          <w:rFonts w:ascii="Times New Roman" w:hAnsi="Times New Roman" w:cs="Times New Roman"/>
          <w:sz w:val="24"/>
        </w:rPr>
        <w:t>/L, hemoglobin concentration&gt; 90 g/L); (9) adequate liver function (total bilirubin&lt; 1.5 times the upper limit of normal; alanine aminotransferase and aspartate aminotransferase≤ 3 times the upper limit of normal; albumin≥ 30 g/L); and (10) adequate renal function (serum creatinine concentration&lt; 1.5 times the upper limit of the normal range or less; creatinine clearance rate≥ 45 mL/min).</w:t>
      </w:r>
    </w:p>
    <w:p w14:paraId="4E9F9245" w14:textId="77777777" w:rsidR="009C4773" w:rsidRPr="00126A9A" w:rsidRDefault="009C4773" w:rsidP="00126A9A">
      <w:pPr>
        <w:adjustRightInd w:val="0"/>
        <w:snapToGrid w:val="0"/>
        <w:spacing w:line="480" w:lineRule="auto"/>
        <w:ind w:firstLineChars="100" w:firstLine="240"/>
        <w:rPr>
          <w:rFonts w:ascii="Times New Roman" w:hAnsi="Times New Roman" w:cs="Times New Roman"/>
          <w:sz w:val="24"/>
        </w:rPr>
      </w:pPr>
      <w:r w:rsidRPr="00126A9A">
        <w:rPr>
          <w:rFonts w:ascii="Times New Roman" w:hAnsi="Times New Roman" w:cs="Times New Roman"/>
          <w:sz w:val="24"/>
        </w:rPr>
        <w:t xml:space="preserve">The exclusion criteria were as follows: (1) with any other malignancy within the 5 years before enrolment; (2) with active infections (bacterial, viral, or fungal) requiring systematic treatment, with hepatitis B or C infection, or a history of HIV infection, or receiving immunosuppressive therapy; (3) with peripheral sensory neuropathy at a </w:t>
      </w:r>
      <w:r w:rsidRPr="00126A9A">
        <w:rPr>
          <w:rFonts w:ascii="Times New Roman" w:hAnsi="Times New Roman" w:cs="Times New Roman"/>
          <w:sz w:val="24"/>
        </w:rPr>
        <w:lastRenderedPageBreak/>
        <w:t>grade&gt; 1; (4) with a history of allergy or hypersensitivity to the study drugs; (5) pregnant or breast feeding women, reproductive aged women who refused to take adequate contraceptive measures during the study; (6) enrolled in other clinical trials within 30 days prior to our study. All patients were informed of the advantages and disadvantages of the two treatment options, including potential treatment outcomes, treatment-related morbidities and costs, and the final treatment decision was generally made by the patients.</w:t>
      </w:r>
    </w:p>
    <w:p w14:paraId="5ABB3DAD" w14:textId="77777777" w:rsidR="009C4773" w:rsidRPr="00126A9A" w:rsidRDefault="009C4773" w:rsidP="00126A9A">
      <w:pPr>
        <w:adjustRightInd w:val="0"/>
        <w:snapToGrid w:val="0"/>
        <w:spacing w:line="480" w:lineRule="auto"/>
        <w:ind w:firstLineChars="200" w:firstLine="480"/>
        <w:rPr>
          <w:rFonts w:ascii="Times New Roman" w:hAnsi="Times New Roman" w:cs="Times New Roman"/>
          <w:sz w:val="24"/>
        </w:rPr>
      </w:pPr>
    </w:p>
    <w:p w14:paraId="5C3A032B" w14:textId="77777777" w:rsidR="009C4773" w:rsidRPr="00126A9A" w:rsidRDefault="009C4773" w:rsidP="00126A9A">
      <w:pPr>
        <w:adjustRightInd w:val="0"/>
        <w:snapToGrid w:val="0"/>
        <w:spacing w:line="480" w:lineRule="auto"/>
        <w:rPr>
          <w:rFonts w:ascii="Times New Roman" w:hAnsi="Times New Roman" w:cs="Times New Roman"/>
          <w:b/>
          <w:bCs/>
          <w:sz w:val="24"/>
        </w:rPr>
      </w:pPr>
      <w:r w:rsidRPr="00126A9A">
        <w:rPr>
          <w:rFonts w:ascii="Times New Roman" w:hAnsi="Times New Roman" w:cs="Times New Roman"/>
          <w:b/>
          <w:bCs/>
          <w:sz w:val="24"/>
        </w:rPr>
        <w:t xml:space="preserve">Treatment Interventions </w:t>
      </w:r>
    </w:p>
    <w:p w14:paraId="389862FC" w14:textId="77777777" w:rsidR="009C4773" w:rsidRPr="00126A9A" w:rsidRDefault="009C4773" w:rsidP="00126A9A">
      <w:pPr>
        <w:adjustRightInd w:val="0"/>
        <w:snapToGrid w:val="0"/>
        <w:spacing w:line="480" w:lineRule="auto"/>
        <w:rPr>
          <w:rFonts w:ascii="Times New Roman" w:hAnsi="Times New Roman" w:cs="Times New Roman"/>
          <w:b/>
          <w:i/>
          <w:sz w:val="24"/>
        </w:rPr>
      </w:pPr>
      <w:r w:rsidRPr="00126A9A">
        <w:rPr>
          <w:rFonts w:ascii="Times New Roman" w:hAnsi="Times New Roman" w:cs="Times New Roman"/>
          <w:b/>
          <w:i/>
          <w:sz w:val="24"/>
        </w:rPr>
        <w:t>Combining Radiotherapy with Immunotherapy and Chemotherapy</w:t>
      </w:r>
    </w:p>
    <w:p w14:paraId="491A39A2" w14:textId="3927E140" w:rsidR="009C4773" w:rsidRPr="00126A9A" w:rsidRDefault="005B35F9" w:rsidP="00126A9A">
      <w:pPr>
        <w:adjustRightInd w:val="0"/>
        <w:snapToGrid w:val="0"/>
        <w:spacing w:line="480" w:lineRule="auto"/>
        <w:rPr>
          <w:rFonts w:ascii="Times New Roman" w:hAnsi="Times New Roman" w:cs="Times New Roman"/>
          <w:sz w:val="24"/>
        </w:rPr>
      </w:pPr>
      <w:r>
        <w:rPr>
          <w:rFonts w:ascii="Times New Roman" w:hAnsi="Times New Roman" w:cs="Times New Roman"/>
          <w:sz w:val="24"/>
        </w:rPr>
        <w:t>Figure 1</w:t>
      </w:r>
      <w:r w:rsidR="00DB4E71">
        <w:rPr>
          <w:rFonts w:ascii="Times New Roman" w:hAnsi="Times New Roman" w:cs="Times New Roman"/>
          <w:sz w:val="24"/>
        </w:rPr>
        <w:t>a</w:t>
      </w:r>
      <w:r>
        <w:rPr>
          <w:rFonts w:ascii="Times New Roman" w:hAnsi="Times New Roman" w:cs="Times New Roman"/>
          <w:sz w:val="24"/>
        </w:rPr>
        <w:t xml:space="preserve"> shows a </w:t>
      </w:r>
      <w:r w:rsidRPr="005B35F9">
        <w:rPr>
          <w:rFonts w:ascii="Times New Roman" w:hAnsi="Times New Roman" w:cs="Times New Roman"/>
          <w:sz w:val="24"/>
        </w:rPr>
        <w:t>schematic diagram of the two treatment options</w:t>
      </w:r>
      <w:r>
        <w:rPr>
          <w:rFonts w:ascii="Times New Roman" w:hAnsi="Times New Roman" w:cs="Times New Roman"/>
          <w:sz w:val="24"/>
        </w:rPr>
        <w:t xml:space="preserve">. </w:t>
      </w:r>
      <w:r w:rsidR="009C4773" w:rsidRPr="00126A9A">
        <w:rPr>
          <w:rFonts w:ascii="Times New Roman" w:hAnsi="Times New Roman" w:cs="Times New Roman"/>
          <w:sz w:val="24"/>
        </w:rPr>
        <w:t>Chemotherapy consisted of eight 21-day cycles of nab-paclitaxel plus gemcitabine (nab-paclitaxel 125 mg/m² by intravenous infusion for approximately 30–45 min, followed by gemcitabine 1000 mg/m² intravenous infusion for approximately 30 min on days 1 and 8). Up to two dose reductions for nab-paclitaxel (to 100 mg/m² and 75 mg/m²) and gemcitabine (to 800 mg/m² and 600 mg/m²) were allowed. Chemotherapy was continued until disease progression, death or unacceptable toxicity during the eight treatment cycles. Anti-PD-1 antibody (</w:t>
      </w:r>
      <w:proofErr w:type="spellStart"/>
      <w:r w:rsidR="009C4773" w:rsidRPr="00126A9A">
        <w:rPr>
          <w:rFonts w:ascii="Times New Roman" w:hAnsi="Times New Roman" w:cs="Times New Roman"/>
          <w:sz w:val="24"/>
        </w:rPr>
        <w:t>camrelizumab</w:t>
      </w:r>
      <w:proofErr w:type="spellEnd"/>
      <w:r w:rsidR="009C4773" w:rsidRPr="00126A9A">
        <w:rPr>
          <w:rFonts w:ascii="Times New Roman" w:hAnsi="Times New Roman" w:cs="Times New Roman"/>
          <w:sz w:val="24"/>
        </w:rPr>
        <w:t xml:space="preserve">, </w:t>
      </w:r>
      <w:proofErr w:type="spellStart"/>
      <w:r w:rsidR="009C4773" w:rsidRPr="00126A9A">
        <w:rPr>
          <w:rFonts w:ascii="Times New Roman" w:hAnsi="Times New Roman" w:cs="Times New Roman"/>
          <w:sz w:val="24"/>
        </w:rPr>
        <w:t>Hengrui</w:t>
      </w:r>
      <w:proofErr w:type="spellEnd"/>
      <w:r w:rsidR="009C4773" w:rsidRPr="00126A9A">
        <w:rPr>
          <w:rFonts w:ascii="Times New Roman" w:hAnsi="Times New Roman" w:cs="Times New Roman"/>
          <w:sz w:val="24"/>
        </w:rPr>
        <w:t xml:space="preserve"> Medicine Co., Ltd) 200 mg was administered intravenously for 30 min every three weeks until disease progression, death or unacceptable toxicity. During the chemotherapy-treated period, </w:t>
      </w:r>
      <w:proofErr w:type="spellStart"/>
      <w:r w:rsidR="009C4773" w:rsidRPr="00126A9A">
        <w:rPr>
          <w:rFonts w:ascii="Times New Roman" w:hAnsi="Times New Roman" w:cs="Times New Roman"/>
          <w:sz w:val="24"/>
        </w:rPr>
        <w:t>camrelizumab</w:t>
      </w:r>
      <w:proofErr w:type="spellEnd"/>
      <w:r w:rsidR="009C4773" w:rsidRPr="00126A9A">
        <w:rPr>
          <w:rFonts w:ascii="Times New Roman" w:hAnsi="Times New Roman" w:cs="Times New Roman"/>
          <w:sz w:val="24"/>
        </w:rPr>
        <w:t xml:space="preserve"> was administered on day 1 of each 21-day cycle before the infusion of chemotherapy. At treating physician’s discretion, the </w:t>
      </w:r>
      <w:proofErr w:type="spellStart"/>
      <w:r w:rsidR="009C4773" w:rsidRPr="00126A9A">
        <w:rPr>
          <w:rFonts w:ascii="Times New Roman" w:hAnsi="Times New Roman" w:cs="Times New Roman"/>
          <w:sz w:val="24"/>
        </w:rPr>
        <w:t>camrelizumab</w:t>
      </w:r>
      <w:proofErr w:type="spellEnd"/>
      <w:r w:rsidR="009C4773" w:rsidRPr="00126A9A">
        <w:rPr>
          <w:rFonts w:ascii="Times New Roman" w:hAnsi="Times New Roman" w:cs="Times New Roman"/>
          <w:sz w:val="24"/>
        </w:rPr>
        <w:t xml:space="preserve"> could be temporarily interrupted due to the toxicity, but dose reduction was not allowed. If one of the pharmacological treatment</w:t>
      </w:r>
      <w:r w:rsidR="009C4773" w:rsidRPr="00126A9A">
        <w:rPr>
          <w:rFonts w:ascii="Times New Roman" w:hAnsi="Times New Roman" w:cs="Times New Roman" w:hint="eastAsia"/>
          <w:sz w:val="24"/>
        </w:rPr>
        <w:t>s</w:t>
      </w:r>
      <w:r w:rsidR="009C4773" w:rsidRPr="00126A9A">
        <w:rPr>
          <w:rFonts w:ascii="Times New Roman" w:hAnsi="Times New Roman" w:cs="Times New Roman"/>
          <w:sz w:val="24"/>
        </w:rPr>
        <w:t xml:space="preserve"> (chemotherapy or </w:t>
      </w:r>
      <w:proofErr w:type="spellStart"/>
      <w:r w:rsidR="009C4773" w:rsidRPr="00126A9A">
        <w:rPr>
          <w:rFonts w:ascii="Times New Roman" w:hAnsi="Times New Roman" w:cs="Times New Roman"/>
          <w:sz w:val="24"/>
        </w:rPr>
        <w:t>camrelizumab</w:t>
      </w:r>
      <w:proofErr w:type="spellEnd"/>
      <w:r w:rsidR="009C4773" w:rsidRPr="00126A9A">
        <w:rPr>
          <w:rFonts w:ascii="Times New Roman" w:hAnsi="Times New Roman" w:cs="Times New Roman"/>
          <w:sz w:val="24"/>
        </w:rPr>
        <w:t xml:space="preserve">) was withheld, the other treatment could be continued. </w:t>
      </w:r>
    </w:p>
    <w:p w14:paraId="0E21DEC3" w14:textId="77777777" w:rsidR="009C4773" w:rsidRPr="00126A9A" w:rsidRDefault="009C4773" w:rsidP="00126A9A">
      <w:pPr>
        <w:adjustRightInd w:val="0"/>
        <w:snapToGrid w:val="0"/>
        <w:spacing w:line="480" w:lineRule="auto"/>
        <w:ind w:firstLineChars="100" w:firstLine="240"/>
        <w:rPr>
          <w:rFonts w:ascii="Times New Roman" w:hAnsi="Times New Roman" w:cs="Times New Roman"/>
          <w:sz w:val="24"/>
        </w:rPr>
      </w:pPr>
      <w:r w:rsidRPr="00126A9A">
        <w:rPr>
          <w:rFonts w:ascii="Times New Roman" w:hAnsi="Times New Roman" w:cs="Times New Roman"/>
          <w:sz w:val="24"/>
        </w:rPr>
        <w:lastRenderedPageBreak/>
        <w:t xml:space="preserve">Radiotherapy started after two cycles of chemotherapy, and was continued until completion or unacceptable toxicity. If the participant did not develop distant metastasis during the first two cycles of chemotherapy, they should receive radiotherapy even they developed local progression. External beam radiation therapy was performed using an intensity modulated radiation therapy technique. The gross target volume included the gross primary tumor and positive regional lymph nodes as defined by the multiphasic imaging, including 4-dimensional computed tomography (CT) and diagnostic magnetic resonance imaging (MRI). The clinical target volume was generated with a 5-mm expansion on the gross target volume with an additional 5 mm for the planning target volume. A total radiation dose greater than 50 </w:t>
      </w:r>
      <w:proofErr w:type="spellStart"/>
      <w:r w:rsidRPr="00126A9A">
        <w:rPr>
          <w:rFonts w:ascii="Times New Roman" w:hAnsi="Times New Roman" w:cs="Times New Roman"/>
          <w:sz w:val="24"/>
        </w:rPr>
        <w:t>Gy</w:t>
      </w:r>
      <w:proofErr w:type="spellEnd"/>
      <w:r w:rsidRPr="00126A9A">
        <w:rPr>
          <w:rFonts w:ascii="Times New Roman" w:hAnsi="Times New Roman" w:cs="Times New Roman"/>
          <w:sz w:val="24"/>
        </w:rPr>
        <w:t xml:space="preserve"> without damaging organ function was the essential requirement in the research protocol. The median dose/fraction was 60 </w:t>
      </w:r>
      <w:proofErr w:type="spellStart"/>
      <w:r w:rsidRPr="00126A9A">
        <w:rPr>
          <w:rFonts w:ascii="Times New Roman" w:hAnsi="Times New Roman" w:cs="Times New Roman"/>
          <w:sz w:val="24"/>
        </w:rPr>
        <w:t>Gy</w:t>
      </w:r>
      <w:proofErr w:type="spellEnd"/>
      <w:r w:rsidRPr="00126A9A">
        <w:rPr>
          <w:rFonts w:ascii="Times New Roman" w:hAnsi="Times New Roman" w:cs="Times New Roman"/>
          <w:sz w:val="24"/>
        </w:rPr>
        <w:t xml:space="preserve">/28 fractions (range, 54-63 </w:t>
      </w:r>
      <w:proofErr w:type="spellStart"/>
      <w:r w:rsidRPr="00126A9A">
        <w:rPr>
          <w:rFonts w:ascii="Times New Roman" w:hAnsi="Times New Roman" w:cs="Times New Roman"/>
          <w:sz w:val="24"/>
        </w:rPr>
        <w:t>Gy</w:t>
      </w:r>
      <w:proofErr w:type="spellEnd"/>
      <w:r w:rsidRPr="00126A9A">
        <w:rPr>
          <w:rFonts w:ascii="Times New Roman" w:hAnsi="Times New Roman" w:cs="Times New Roman"/>
          <w:sz w:val="24"/>
        </w:rPr>
        <w:t xml:space="preserve">/28 fractions). The prescription dose was adjusted based on the proximity to the at-risk organ. </w:t>
      </w:r>
    </w:p>
    <w:p w14:paraId="446B8953" w14:textId="77777777" w:rsidR="009C4773" w:rsidRPr="00126A9A" w:rsidRDefault="009C4773" w:rsidP="00126A9A">
      <w:pPr>
        <w:adjustRightInd w:val="0"/>
        <w:snapToGrid w:val="0"/>
        <w:spacing w:line="480" w:lineRule="auto"/>
        <w:rPr>
          <w:rFonts w:ascii="Times New Roman" w:hAnsi="Times New Roman" w:cs="Times New Roman"/>
          <w:b/>
          <w:i/>
          <w:sz w:val="24"/>
        </w:rPr>
      </w:pPr>
      <w:r w:rsidRPr="00126A9A">
        <w:rPr>
          <w:rFonts w:ascii="Times New Roman" w:hAnsi="Times New Roman" w:cs="Times New Roman"/>
          <w:b/>
          <w:i/>
          <w:sz w:val="24"/>
        </w:rPr>
        <w:t>Chemotherapy Alone</w:t>
      </w:r>
    </w:p>
    <w:p w14:paraId="6C800E9D" w14:textId="77777777" w:rsidR="009C4773" w:rsidRPr="00126A9A" w:rsidRDefault="009C4773" w:rsidP="00126A9A">
      <w:pPr>
        <w:adjustRightInd w:val="0"/>
        <w:snapToGrid w:val="0"/>
        <w:spacing w:line="480" w:lineRule="auto"/>
        <w:ind w:firstLineChars="100" w:firstLine="240"/>
        <w:rPr>
          <w:rFonts w:ascii="Times New Roman" w:hAnsi="Times New Roman" w:cs="Times New Roman"/>
          <w:b/>
          <w:sz w:val="24"/>
        </w:rPr>
      </w:pPr>
      <w:r w:rsidRPr="00126A9A">
        <w:rPr>
          <w:rFonts w:ascii="Times New Roman" w:hAnsi="Times New Roman" w:cs="Times New Roman"/>
          <w:sz w:val="24"/>
        </w:rPr>
        <w:t xml:space="preserve">Nab-paclitaxel and gemcitabine were administered intravenously on day 1 and 8 of each 21-day cycle for eight cycles. Specifically, nab-paclitaxel 125 mg/m² was intravenously infused for approximately 30–45 min, followed by the gemcitabine 1000 mg/m² intravenous infusion for approximately 30 min. Dose modification was permitted depending on the grade of AEs, and the dose of gemcitabine could be reduced to 800 mg/m² or 600 mg/m². For severe toxicity (i.e., grade 3 or higher), chemotherapy was delayed until AEs had been reduced to grade 2 or less. Chemotherapy was continued until disease progression, death or unacceptable toxicity occurred during the eight treatment cycles. </w:t>
      </w:r>
    </w:p>
    <w:p w14:paraId="07BD9898" w14:textId="1609033E" w:rsidR="009C4773" w:rsidRDefault="009C4773" w:rsidP="00126A9A">
      <w:pPr>
        <w:adjustRightInd w:val="0"/>
        <w:snapToGrid w:val="0"/>
        <w:spacing w:before="240" w:line="480" w:lineRule="auto"/>
        <w:rPr>
          <w:rFonts w:ascii="Times New Roman" w:hAnsi="Times New Roman" w:cs="Times New Roman"/>
          <w:b/>
          <w:sz w:val="24"/>
        </w:rPr>
      </w:pPr>
      <w:r w:rsidRPr="00126A9A">
        <w:rPr>
          <w:rFonts w:ascii="Times New Roman" w:hAnsi="Times New Roman" w:cs="Times New Roman"/>
          <w:b/>
          <w:sz w:val="24"/>
        </w:rPr>
        <w:t>Study Evaluation</w:t>
      </w:r>
    </w:p>
    <w:p w14:paraId="72CE1E70" w14:textId="10CC281A" w:rsidR="00957C97" w:rsidRPr="00957C97" w:rsidRDefault="00957C97" w:rsidP="00957C97">
      <w:pPr>
        <w:adjustRightInd w:val="0"/>
        <w:snapToGrid w:val="0"/>
        <w:spacing w:line="480" w:lineRule="auto"/>
        <w:ind w:firstLineChars="100" w:firstLine="240"/>
        <w:rPr>
          <w:rFonts w:ascii="Times New Roman" w:hAnsi="Times New Roman" w:cs="Times New Roman" w:hint="eastAsia"/>
          <w:sz w:val="24"/>
        </w:rPr>
      </w:pPr>
      <w:r w:rsidRPr="00126A9A">
        <w:rPr>
          <w:rFonts w:ascii="Times New Roman" w:hAnsi="Times New Roman" w:cs="Times New Roman"/>
          <w:b/>
          <w:i/>
          <w:sz w:val="24"/>
        </w:rPr>
        <w:t>Survival Outcome.</w:t>
      </w:r>
      <w:r w:rsidRPr="00126A9A">
        <w:rPr>
          <w:rFonts w:ascii="Times New Roman" w:hAnsi="Times New Roman" w:cs="Times New Roman"/>
          <w:sz w:val="24"/>
        </w:rPr>
        <w:t xml:space="preserve"> Patients were followed up after every 2 cycles of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w:t>
      </w:r>
      <w:r w:rsidRPr="00126A9A">
        <w:rPr>
          <w:rFonts w:ascii="Times New Roman" w:hAnsi="Times New Roman" w:cs="Times New Roman"/>
          <w:sz w:val="24"/>
        </w:rPr>
        <w:lastRenderedPageBreak/>
        <w:t>or chemotherapy during the treatment period, and then every 2-month from the end of treatment, or earlier if clinically indicated. OS was defined as the interval between the date of LAPC diagnosis and the date of death or the last follow-up. Progression-free survival (PFS) was defined as the time from the date of LAPC diagnosis to radiologic tumor progression, death or the last follow-up. The follow-up was censored on 30</w:t>
      </w:r>
      <w:r w:rsidRPr="00126A9A">
        <w:rPr>
          <w:rFonts w:ascii="Times New Roman" w:hAnsi="Times New Roman" w:cs="Times New Roman"/>
          <w:sz w:val="24"/>
          <w:vertAlign w:val="superscript"/>
        </w:rPr>
        <w:t>th</w:t>
      </w:r>
      <w:r w:rsidRPr="00126A9A">
        <w:rPr>
          <w:rFonts w:ascii="Times New Roman" w:hAnsi="Times New Roman" w:cs="Times New Roman"/>
          <w:sz w:val="24"/>
        </w:rPr>
        <w:t xml:space="preserve"> July, 2022.  </w:t>
      </w:r>
      <w:bookmarkStart w:id="2" w:name="_GoBack"/>
      <w:bookmarkEnd w:id="2"/>
    </w:p>
    <w:p w14:paraId="3343456B" w14:textId="5346ED77" w:rsidR="009C4773" w:rsidRPr="00126A9A" w:rsidRDefault="009C4773" w:rsidP="00126A9A">
      <w:pPr>
        <w:adjustRightInd w:val="0"/>
        <w:snapToGrid w:val="0"/>
        <w:spacing w:line="480" w:lineRule="auto"/>
        <w:ind w:firstLineChars="100" w:firstLine="240"/>
        <w:rPr>
          <w:rFonts w:ascii="Times New Roman" w:hAnsi="Times New Roman" w:cs="Times New Roman"/>
          <w:sz w:val="24"/>
        </w:rPr>
      </w:pPr>
      <w:r w:rsidRPr="00126A9A">
        <w:rPr>
          <w:rFonts w:ascii="Times New Roman" w:hAnsi="Times New Roman" w:cs="Times New Roman"/>
          <w:b/>
          <w:i/>
          <w:sz w:val="24"/>
        </w:rPr>
        <w:t>Tumor Response.</w:t>
      </w:r>
      <w:r w:rsidRPr="00126A9A">
        <w:rPr>
          <w:rFonts w:ascii="Times New Roman" w:hAnsi="Times New Roman" w:cs="Times New Roman"/>
          <w:sz w:val="24"/>
        </w:rPr>
        <w:t xml:space="preserve"> Evaluation of tumor response by contrast-enhanced dynamic CT or MRI was performed at baseline, before the beginning of radiotherapy, after every 2 cycles of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or chemotherapy during the treatment period, and then every 2-month follow-up visit after the last treatment, or earlier if clinically indicated. The RECIST 1.1 was used for treatment response evaluation </w:t>
      </w:r>
      <w:r w:rsidRPr="003E3BD3">
        <w:rPr>
          <w:rFonts w:ascii="Times New Roman" w:hAnsi="Times New Roman" w:cs="Times New Roman"/>
          <w:sz w:val="24"/>
        </w:rPr>
        <w:t>[2]</w:t>
      </w:r>
      <w:r w:rsidRPr="00126A9A">
        <w:rPr>
          <w:rFonts w:ascii="Times New Roman" w:hAnsi="Times New Roman" w:cs="Times New Roman"/>
          <w:sz w:val="24"/>
        </w:rPr>
        <w:t xml:space="preserve">. Assessment of tumor response was performed on the target lesions by two experienced radiologists (S.T.F, Z.P.P, 20 years’ experience in liver imaging;) independently, who were blinded to the patients’ clinical information. Any inconsistency of assessment results was resolved by consensus. The objective response rate (ORR) was defined as the percentage of participants achieving complete response (CR) or partial response (PR), and the disease control rate (DCR) as the percentage of participants achieving CR, PR, or stable disease (SD). The best overall response during treatment was categorized as the final response. Considering the possibility of </w:t>
      </w:r>
      <w:proofErr w:type="spellStart"/>
      <w:r w:rsidRPr="00126A9A">
        <w:rPr>
          <w:rFonts w:ascii="Times New Roman" w:hAnsi="Times New Roman" w:cs="Times New Roman"/>
          <w:sz w:val="24"/>
        </w:rPr>
        <w:t>pseudoprogression</w:t>
      </w:r>
      <w:proofErr w:type="spellEnd"/>
      <w:r w:rsidRPr="00126A9A">
        <w:rPr>
          <w:rFonts w:ascii="Times New Roman" w:hAnsi="Times New Roman" w:cs="Times New Roman"/>
          <w:sz w:val="24"/>
        </w:rPr>
        <w:t xml:space="preserve"> with immunotherapy, when progressive disease (PD) was detected by RECIST 1.1 criteria for patients in the combination group, another 200 mg of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would be given and repeated imaging evaluation was performed 4 weeks later to confirm whether true progression occurred. If true progression was noted, the first date of progression was applied.</w:t>
      </w:r>
    </w:p>
    <w:p w14:paraId="0C3734F0" w14:textId="580B759A" w:rsidR="00CC39C1" w:rsidRPr="00CC39C1" w:rsidRDefault="00CC39C1" w:rsidP="00CC39C1">
      <w:pPr>
        <w:adjustRightInd w:val="0"/>
        <w:snapToGrid w:val="0"/>
        <w:spacing w:line="480" w:lineRule="auto"/>
        <w:ind w:firstLineChars="100" w:firstLine="240"/>
        <w:rPr>
          <w:rFonts w:ascii="Times New Roman" w:hAnsi="Times New Roman" w:cs="Times New Roman"/>
          <w:sz w:val="24"/>
        </w:rPr>
      </w:pPr>
      <w:r w:rsidRPr="00126A9A">
        <w:rPr>
          <w:rFonts w:ascii="Times New Roman" w:hAnsi="Times New Roman" w:cs="Times New Roman"/>
          <w:b/>
          <w:i/>
          <w:sz w:val="24"/>
        </w:rPr>
        <w:t>Safety.</w:t>
      </w:r>
      <w:r w:rsidRPr="00126A9A">
        <w:rPr>
          <w:rFonts w:ascii="Times New Roman" w:hAnsi="Times New Roman" w:cs="Times New Roman"/>
          <w:sz w:val="24"/>
        </w:rPr>
        <w:t xml:space="preserve"> The participants were monitored by vital signs, physical examination findings, clinical and laboratory tests, and AEs throughout the whole study period (i.e., during </w:t>
      </w:r>
      <w:r w:rsidRPr="00126A9A">
        <w:rPr>
          <w:rFonts w:ascii="Times New Roman" w:hAnsi="Times New Roman" w:cs="Times New Roman"/>
          <w:sz w:val="24"/>
        </w:rPr>
        <w:lastRenderedPageBreak/>
        <w:t xml:space="preserve">each cycle of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or chemotherapy, weekly during radiation therapy, and at each follow-up visit). AE was evaluated using the Common Terminology Criteria for Adverse Events (version 4.0). Grade 3 or 4 AEs were defined as severe AEs. The percentage of drug (chemotherapy or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discontinuation and dose reduction due to AEs and the duration of drug administration was also evaluated.</w:t>
      </w:r>
    </w:p>
    <w:p w14:paraId="22DD5FD3" w14:textId="77777777" w:rsidR="009C4773" w:rsidRPr="00126A9A" w:rsidRDefault="009C4773" w:rsidP="00126A9A">
      <w:pPr>
        <w:adjustRightInd w:val="0"/>
        <w:snapToGrid w:val="0"/>
        <w:spacing w:line="480" w:lineRule="auto"/>
        <w:rPr>
          <w:rFonts w:ascii="Times New Roman" w:hAnsi="Times New Roman" w:cs="Times New Roman"/>
          <w:sz w:val="24"/>
        </w:rPr>
      </w:pPr>
    </w:p>
    <w:p w14:paraId="21B1F5A6" w14:textId="77777777" w:rsidR="009C4773" w:rsidRPr="00126A9A" w:rsidRDefault="009C4773" w:rsidP="00126A9A">
      <w:pPr>
        <w:autoSpaceDE w:val="0"/>
        <w:autoSpaceDN w:val="0"/>
        <w:adjustRightInd w:val="0"/>
        <w:snapToGrid w:val="0"/>
        <w:spacing w:line="480" w:lineRule="auto"/>
        <w:outlineLvl w:val="0"/>
        <w:rPr>
          <w:rFonts w:ascii="Times New Roman" w:hAnsi="Times New Roman" w:cs="Times New Roman"/>
          <w:b/>
          <w:sz w:val="24"/>
        </w:rPr>
      </w:pPr>
      <w:r w:rsidRPr="00126A9A">
        <w:rPr>
          <w:rFonts w:ascii="Times New Roman" w:hAnsi="Times New Roman" w:cs="Times New Roman"/>
          <w:b/>
          <w:sz w:val="24"/>
        </w:rPr>
        <w:t>Statistical Analysis</w:t>
      </w:r>
    </w:p>
    <w:p w14:paraId="745E388E" w14:textId="467BF9F0" w:rsidR="001F3E91" w:rsidRPr="00126A9A" w:rsidRDefault="009C4773" w:rsidP="00126A9A">
      <w:pPr>
        <w:autoSpaceDE w:val="0"/>
        <w:autoSpaceDN w:val="0"/>
        <w:adjustRightInd w:val="0"/>
        <w:snapToGrid w:val="0"/>
        <w:spacing w:line="480" w:lineRule="auto"/>
        <w:rPr>
          <w:rFonts w:ascii="Times New Roman" w:hAnsi="Times New Roman" w:cs="Times New Roman"/>
          <w:sz w:val="24"/>
        </w:rPr>
      </w:pPr>
      <w:r w:rsidRPr="00126A9A">
        <w:rPr>
          <w:rFonts w:ascii="Times New Roman" w:hAnsi="Times New Roman" w:cs="Times New Roman"/>
          <w:sz w:val="24"/>
        </w:rPr>
        <w:t xml:space="preserve">Continuous variables were presented as means ± standard deviation and categorical variables as numbers and percentages. Differences between the combination group and chemotherapy group were compared with the t-test for continuous variables and χ2 test for categorical variables. Survival curves were generated by the Kaplan–Meier method and compared by the log-rank test. The prognostic relevance of potential survival predictors was analyzed by the univariable and multivariable Cox proportional hazard regression models. Subgroups were stratified by sex, age (&lt; 65 years </w:t>
      </w:r>
      <w:r w:rsidRPr="002512E6">
        <w:rPr>
          <w:rFonts w:ascii="Times New Roman" w:hAnsi="Times New Roman" w:cs="Times New Roman"/>
          <w:i/>
          <w:iCs/>
          <w:sz w:val="24"/>
        </w:rPr>
        <w:t>vs</w:t>
      </w:r>
      <w:r w:rsidR="002512E6">
        <w:rPr>
          <w:rFonts w:ascii="Times New Roman" w:hAnsi="Times New Roman" w:cs="Times New Roman"/>
          <w:i/>
          <w:iCs/>
          <w:sz w:val="24"/>
        </w:rPr>
        <w:t>.</w:t>
      </w:r>
      <w:r w:rsidRPr="00126A9A">
        <w:rPr>
          <w:rFonts w:ascii="Times New Roman" w:hAnsi="Times New Roman" w:cs="Times New Roman"/>
          <w:sz w:val="24"/>
        </w:rPr>
        <w:t xml:space="preserve"> ≥ 65 years), ECOG performance status (0 </w:t>
      </w:r>
      <w:r w:rsidRPr="00126A9A">
        <w:rPr>
          <w:rFonts w:ascii="Times New Roman" w:hAnsi="Times New Roman" w:cs="Times New Roman"/>
          <w:i/>
          <w:iCs/>
          <w:sz w:val="24"/>
        </w:rPr>
        <w:t>vs</w:t>
      </w:r>
      <w:r w:rsidRPr="00126A9A">
        <w:rPr>
          <w:rFonts w:ascii="Times New Roman" w:hAnsi="Times New Roman" w:cs="Times New Roman" w:hint="eastAsia"/>
          <w:i/>
          <w:iCs/>
          <w:sz w:val="24"/>
        </w:rPr>
        <w:t>.</w:t>
      </w:r>
      <w:r w:rsidRPr="00126A9A">
        <w:rPr>
          <w:rFonts w:ascii="Times New Roman" w:hAnsi="Times New Roman" w:cs="Times New Roman"/>
          <w:i/>
          <w:iCs/>
          <w:sz w:val="24"/>
        </w:rPr>
        <w:t xml:space="preserve"> </w:t>
      </w:r>
      <w:r w:rsidRPr="00126A9A">
        <w:rPr>
          <w:rFonts w:ascii="Times New Roman" w:hAnsi="Times New Roman" w:cs="Times New Roman"/>
          <w:sz w:val="24"/>
        </w:rPr>
        <w:t xml:space="preserve">1), CA19-9 concentrations (&lt; 500U/mL </w:t>
      </w:r>
      <w:r w:rsidRPr="002512E6">
        <w:rPr>
          <w:rFonts w:ascii="Times New Roman" w:hAnsi="Times New Roman" w:cs="Times New Roman"/>
          <w:i/>
          <w:iCs/>
          <w:sz w:val="24"/>
        </w:rPr>
        <w:t>vs</w:t>
      </w:r>
      <w:r w:rsidR="002512E6">
        <w:rPr>
          <w:rFonts w:ascii="Times New Roman" w:hAnsi="Times New Roman" w:cs="Times New Roman"/>
          <w:i/>
          <w:iCs/>
          <w:sz w:val="24"/>
        </w:rPr>
        <w:t>.</w:t>
      </w:r>
      <w:r w:rsidRPr="00126A9A">
        <w:rPr>
          <w:rFonts w:ascii="Times New Roman" w:hAnsi="Times New Roman" w:cs="Times New Roman"/>
          <w:sz w:val="24"/>
        </w:rPr>
        <w:t xml:space="preserve"> ≥ 500U/mL)</w:t>
      </w:r>
      <w:r w:rsidR="002512E6">
        <w:rPr>
          <w:rFonts w:ascii="Times New Roman" w:hAnsi="Times New Roman" w:cs="Times New Roman"/>
          <w:sz w:val="24"/>
        </w:rPr>
        <w:t xml:space="preserve">, lymph node status (positive </w:t>
      </w:r>
      <w:r w:rsidR="002512E6" w:rsidRPr="002512E6">
        <w:rPr>
          <w:rFonts w:ascii="Times New Roman" w:hAnsi="Times New Roman" w:cs="Times New Roman"/>
          <w:i/>
          <w:iCs/>
          <w:sz w:val="24"/>
        </w:rPr>
        <w:t>vs</w:t>
      </w:r>
      <w:r w:rsidR="002512E6">
        <w:rPr>
          <w:rFonts w:ascii="Times New Roman" w:hAnsi="Times New Roman" w:cs="Times New Roman"/>
          <w:i/>
          <w:iCs/>
          <w:sz w:val="24"/>
        </w:rPr>
        <w:t>.</w:t>
      </w:r>
      <w:r w:rsidR="002512E6">
        <w:rPr>
          <w:rFonts w:ascii="Times New Roman" w:hAnsi="Times New Roman" w:cs="Times New Roman"/>
          <w:sz w:val="24"/>
        </w:rPr>
        <w:t xml:space="preserve"> </w:t>
      </w:r>
      <w:proofErr w:type="spellStart"/>
      <w:r w:rsidR="002512E6">
        <w:rPr>
          <w:rFonts w:ascii="Times New Roman" w:hAnsi="Times New Roman" w:cs="Times New Roman"/>
          <w:sz w:val="24"/>
        </w:rPr>
        <w:t>neagative</w:t>
      </w:r>
      <w:proofErr w:type="spellEnd"/>
      <w:r w:rsidR="002512E6">
        <w:rPr>
          <w:rFonts w:ascii="Times New Roman" w:hAnsi="Times New Roman" w:cs="Times New Roman"/>
          <w:sz w:val="24"/>
        </w:rPr>
        <w:t>)</w:t>
      </w:r>
      <w:r w:rsidRPr="00126A9A">
        <w:rPr>
          <w:rFonts w:ascii="Times New Roman" w:hAnsi="Times New Roman" w:cs="Times New Roman"/>
          <w:sz w:val="24"/>
        </w:rPr>
        <w:t xml:space="preserve"> and biliary stent (yes or no). Then, the forest plot of subgroup analysis was drawn with estimated hazard ratios (HRs) and 95% confidence interval (CIs). Statistical significance was considered as a two-sided </w:t>
      </w:r>
      <w:r w:rsidRPr="00126A9A">
        <w:rPr>
          <w:rFonts w:ascii="Times New Roman" w:hAnsi="Times New Roman" w:cs="Times New Roman"/>
          <w:i/>
          <w:sz w:val="24"/>
        </w:rPr>
        <w:t>P</w:t>
      </w:r>
      <w:r w:rsidRPr="00126A9A">
        <w:rPr>
          <w:rFonts w:ascii="Times New Roman" w:hAnsi="Times New Roman" w:cs="Times New Roman"/>
          <w:sz w:val="24"/>
        </w:rPr>
        <w:t xml:space="preserve"> value of less than 0.05. The above statistical analysis was performed with the open-source SPSS 20.0 (SPSS Inc., Chicago, IL) and R version 4.0.2 (Stanford University, CA, USA).</w:t>
      </w:r>
    </w:p>
    <w:p w14:paraId="6381A0A3" w14:textId="77777777" w:rsidR="001F3E91" w:rsidRPr="00126A9A" w:rsidRDefault="001F3E91" w:rsidP="00126A9A">
      <w:pPr>
        <w:widowControl/>
        <w:adjustRightInd w:val="0"/>
        <w:snapToGrid w:val="0"/>
        <w:spacing w:line="480" w:lineRule="auto"/>
        <w:jc w:val="left"/>
        <w:rPr>
          <w:rFonts w:ascii="Times New Roman" w:hAnsi="Times New Roman" w:cs="Times New Roman"/>
          <w:b/>
          <w:bCs/>
          <w:sz w:val="24"/>
        </w:rPr>
      </w:pPr>
      <w:r w:rsidRPr="00126A9A">
        <w:rPr>
          <w:rFonts w:ascii="Times New Roman" w:hAnsi="Times New Roman" w:cs="Times New Roman"/>
          <w:sz w:val="24"/>
        </w:rPr>
        <w:br w:type="page"/>
      </w:r>
      <w:r w:rsidRPr="00126A9A">
        <w:rPr>
          <w:rFonts w:ascii="Times New Roman" w:hAnsi="Times New Roman" w:cs="Times New Roman"/>
          <w:b/>
          <w:bCs/>
          <w:sz w:val="24"/>
        </w:rPr>
        <w:lastRenderedPageBreak/>
        <w:t>Supplementary R</w:t>
      </w:r>
      <w:r w:rsidRPr="00126A9A">
        <w:rPr>
          <w:rFonts w:ascii="Times New Roman" w:hAnsi="Times New Roman" w:cs="Times New Roman" w:hint="eastAsia"/>
          <w:b/>
          <w:bCs/>
          <w:sz w:val="24"/>
        </w:rPr>
        <w:t>esults</w:t>
      </w:r>
    </w:p>
    <w:p w14:paraId="1223E5FE" w14:textId="77777777" w:rsidR="001F3E91" w:rsidRPr="00126A9A" w:rsidRDefault="001F3E91" w:rsidP="00150A22">
      <w:pPr>
        <w:widowControl/>
        <w:adjustRightInd w:val="0"/>
        <w:snapToGrid w:val="0"/>
        <w:spacing w:line="480" w:lineRule="auto"/>
        <w:rPr>
          <w:rFonts w:ascii="Times New Roman" w:hAnsi="Times New Roman" w:cs="Times New Roman"/>
          <w:sz w:val="24"/>
        </w:rPr>
      </w:pPr>
    </w:p>
    <w:p w14:paraId="063AFB32" w14:textId="77777777" w:rsidR="001F3E91" w:rsidRPr="00126A9A" w:rsidRDefault="001F3E91" w:rsidP="00126A9A">
      <w:pPr>
        <w:widowControl/>
        <w:adjustRightInd w:val="0"/>
        <w:snapToGrid w:val="0"/>
        <w:spacing w:line="480" w:lineRule="auto"/>
        <w:rPr>
          <w:rFonts w:ascii="Times New Roman" w:hAnsi="Times New Roman" w:cs="Times New Roman"/>
          <w:b/>
          <w:sz w:val="24"/>
        </w:rPr>
      </w:pPr>
      <w:r w:rsidRPr="00126A9A">
        <w:rPr>
          <w:rFonts w:ascii="Times New Roman" w:hAnsi="Times New Roman" w:cs="Times New Roman"/>
          <w:b/>
          <w:sz w:val="24"/>
        </w:rPr>
        <w:t>Efficacy Analysis</w:t>
      </w:r>
    </w:p>
    <w:p w14:paraId="27B80A39" w14:textId="75D866ED" w:rsidR="001F3E91" w:rsidRPr="00126A9A" w:rsidRDefault="001F3E91" w:rsidP="00126A9A">
      <w:pPr>
        <w:widowControl/>
        <w:adjustRightInd w:val="0"/>
        <w:snapToGrid w:val="0"/>
        <w:spacing w:line="480" w:lineRule="auto"/>
        <w:rPr>
          <w:rFonts w:ascii="Times New Roman" w:hAnsi="Times New Roman" w:cs="Times New Roman"/>
          <w:sz w:val="24"/>
        </w:rPr>
      </w:pPr>
      <w:r w:rsidRPr="00126A9A">
        <w:rPr>
          <w:rFonts w:ascii="Times New Roman" w:hAnsi="Times New Roman" w:cs="Times New Roman"/>
          <w:sz w:val="24"/>
        </w:rPr>
        <w:t>Subgroup analyses showed that patients with ECOG score of 0 could achieve a significantly longer OS time from the combination treatment (HR= 0.26, 95% CI: 0.08-0.87) (</w:t>
      </w:r>
      <w:r w:rsidRPr="00126A9A">
        <w:rPr>
          <w:rFonts w:ascii="Times New Roman" w:hAnsi="Times New Roman" w:cs="Times New Roman"/>
          <w:bCs/>
          <w:sz w:val="24"/>
        </w:rPr>
        <w:t>A</w:t>
      </w:r>
      <w:r w:rsidRPr="00126A9A">
        <w:rPr>
          <w:rFonts w:ascii="Times New Roman" w:hAnsi="Times New Roman" w:cs="Times New Roman" w:hint="eastAsia"/>
          <w:bCs/>
          <w:sz w:val="24"/>
        </w:rPr>
        <w:t>dditional</w:t>
      </w:r>
      <w:r w:rsidRPr="00126A9A">
        <w:rPr>
          <w:rFonts w:ascii="Times New Roman" w:hAnsi="Times New Roman" w:cs="Times New Roman"/>
          <w:bCs/>
          <w:sz w:val="24"/>
        </w:rPr>
        <w:t xml:space="preserve"> </w:t>
      </w:r>
      <w:r w:rsidRPr="00126A9A">
        <w:rPr>
          <w:rFonts w:ascii="Times New Roman" w:hAnsi="Times New Roman" w:cs="Times New Roman" w:hint="eastAsia"/>
          <w:bCs/>
          <w:sz w:val="24"/>
        </w:rPr>
        <w:t>file</w:t>
      </w:r>
      <w:r w:rsidRPr="00126A9A">
        <w:rPr>
          <w:rFonts w:ascii="Times New Roman" w:hAnsi="Times New Roman" w:cs="Times New Roman"/>
          <w:bCs/>
          <w:sz w:val="24"/>
        </w:rPr>
        <w:t xml:space="preserve"> 2</w:t>
      </w:r>
      <w:r w:rsidRPr="00126A9A">
        <w:rPr>
          <w:rFonts w:ascii="Times New Roman" w:hAnsi="Times New Roman" w:cs="Times New Roman" w:hint="eastAsia"/>
          <w:bCs/>
          <w:sz w:val="24"/>
        </w:rPr>
        <w:t>:</w:t>
      </w:r>
      <w:r w:rsidRPr="00126A9A">
        <w:rPr>
          <w:rFonts w:ascii="Times New Roman" w:hAnsi="Times New Roman" w:cs="Times New Roman"/>
          <w:bCs/>
          <w:sz w:val="24"/>
        </w:rPr>
        <w:t xml:space="preserve"> Fig. S2</w:t>
      </w:r>
      <w:r w:rsidRPr="00126A9A">
        <w:rPr>
          <w:rFonts w:ascii="Times New Roman" w:hAnsi="Times New Roman" w:cs="Times New Roman"/>
          <w:sz w:val="24"/>
        </w:rPr>
        <w:t>). Regarding PFS, subgroups of patients aged older than 60 years (HR= 0.42, 95% CI: 0.19-0.94), male patients (HR= 0.51, 95% CI:0.27-0.99), patients with tumor size≤ 5 cm (HR= 0.39, 95% CI: 0.17-0.92), patients with CA19-9 level&lt; 500U/mL (HR= 0.47, 95% CI: 0.22-1.00) and patients without biliary stent (HR= 0.43, 95% CI: 0.20-0.91) could yield significantly longer PFS time from the combination treatment (</w:t>
      </w:r>
      <w:r w:rsidRPr="00126A9A">
        <w:rPr>
          <w:rFonts w:ascii="Times New Roman" w:hAnsi="Times New Roman" w:cs="Times New Roman"/>
          <w:bCs/>
          <w:sz w:val="24"/>
        </w:rPr>
        <w:t>A</w:t>
      </w:r>
      <w:r w:rsidRPr="00126A9A">
        <w:rPr>
          <w:rFonts w:ascii="Times New Roman" w:hAnsi="Times New Roman" w:cs="Times New Roman" w:hint="eastAsia"/>
          <w:bCs/>
          <w:sz w:val="24"/>
        </w:rPr>
        <w:t>dditional</w:t>
      </w:r>
      <w:r w:rsidRPr="00126A9A">
        <w:rPr>
          <w:rFonts w:ascii="Times New Roman" w:hAnsi="Times New Roman" w:cs="Times New Roman"/>
          <w:bCs/>
          <w:sz w:val="24"/>
        </w:rPr>
        <w:t xml:space="preserve"> </w:t>
      </w:r>
      <w:r w:rsidRPr="00126A9A">
        <w:rPr>
          <w:rFonts w:ascii="Times New Roman" w:hAnsi="Times New Roman" w:cs="Times New Roman" w:hint="eastAsia"/>
          <w:bCs/>
          <w:sz w:val="24"/>
        </w:rPr>
        <w:t>file</w:t>
      </w:r>
      <w:r w:rsidRPr="00126A9A">
        <w:rPr>
          <w:rFonts w:ascii="Times New Roman" w:hAnsi="Times New Roman" w:cs="Times New Roman"/>
          <w:bCs/>
          <w:sz w:val="24"/>
        </w:rPr>
        <w:t xml:space="preserve"> 2</w:t>
      </w:r>
      <w:r w:rsidRPr="00126A9A">
        <w:rPr>
          <w:rFonts w:ascii="Times New Roman" w:hAnsi="Times New Roman" w:cs="Times New Roman" w:hint="eastAsia"/>
          <w:bCs/>
          <w:sz w:val="24"/>
        </w:rPr>
        <w:t>:</w:t>
      </w:r>
      <w:r w:rsidRPr="00126A9A">
        <w:rPr>
          <w:rFonts w:ascii="Times New Roman" w:hAnsi="Times New Roman" w:cs="Times New Roman"/>
          <w:bCs/>
          <w:sz w:val="24"/>
        </w:rPr>
        <w:t xml:space="preserve"> Fig. S2</w:t>
      </w:r>
      <w:r w:rsidRPr="00126A9A">
        <w:rPr>
          <w:rFonts w:ascii="Times New Roman" w:hAnsi="Times New Roman" w:cs="Times New Roman"/>
          <w:sz w:val="24"/>
        </w:rPr>
        <w:t xml:space="preserve">). </w:t>
      </w:r>
    </w:p>
    <w:p w14:paraId="09F18BC9" w14:textId="77777777" w:rsidR="001F3E91" w:rsidRPr="00126A9A" w:rsidRDefault="001F3E91" w:rsidP="00126A9A">
      <w:pPr>
        <w:widowControl/>
        <w:adjustRightInd w:val="0"/>
        <w:snapToGrid w:val="0"/>
        <w:spacing w:line="480" w:lineRule="auto"/>
        <w:ind w:firstLineChars="300" w:firstLine="720"/>
        <w:rPr>
          <w:rFonts w:ascii="Times New Roman" w:hAnsi="Times New Roman" w:cs="Times New Roman"/>
          <w:sz w:val="24"/>
        </w:rPr>
      </w:pPr>
    </w:p>
    <w:p w14:paraId="5A6CF4C9" w14:textId="77777777" w:rsidR="001F3E91" w:rsidRPr="00126A9A" w:rsidRDefault="001F3E91" w:rsidP="00126A9A">
      <w:pPr>
        <w:widowControl/>
        <w:adjustRightInd w:val="0"/>
        <w:snapToGrid w:val="0"/>
        <w:spacing w:line="480" w:lineRule="auto"/>
        <w:rPr>
          <w:rFonts w:ascii="Times New Roman" w:hAnsi="Times New Roman" w:cs="Times New Roman"/>
          <w:b/>
          <w:sz w:val="24"/>
        </w:rPr>
      </w:pPr>
      <w:r w:rsidRPr="00126A9A">
        <w:rPr>
          <w:rFonts w:ascii="Times New Roman" w:hAnsi="Times New Roman" w:cs="Times New Roman"/>
          <w:b/>
          <w:sz w:val="24"/>
        </w:rPr>
        <w:t>Patterns of Treatment Failure and Post-protocol Intervention</w:t>
      </w:r>
    </w:p>
    <w:p w14:paraId="75CFB56B" w14:textId="06317A03" w:rsidR="003E3BD3" w:rsidRDefault="001F3E91" w:rsidP="003E3BD3">
      <w:pPr>
        <w:widowControl/>
        <w:adjustRightInd w:val="0"/>
        <w:snapToGrid w:val="0"/>
        <w:spacing w:line="480" w:lineRule="auto"/>
        <w:rPr>
          <w:rFonts w:ascii="Times New Roman" w:hAnsi="Times New Roman" w:cs="Times New Roman"/>
          <w:sz w:val="24"/>
        </w:rPr>
      </w:pPr>
      <w:r w:rsidRPr="00126A9A">
        <w:rPr>
          <w:rFonts w:ascii="Times New Roman" w:hAnsi="Times New Roman" w:cs="Times New Roman"/>
          <w:sz w:val="24"/>
        </w:rPr>
        <w:t>During the follow-up, in the combination group, disease progression appeared in 19 patients, including ten with local failure and nine with distant metastasis; while in the chemotherapy group, disease progression occurred in 51 patients, including 22 with local failure and 29 with distant metastasis. There was no significant difference in the pattern of treatment failure between the two groups (</w:t>
      </w:r>
      <w:r w:rsidRPr="00126A9A">
        <w:rPr>
          <w:rFonts w:ascii="Times New Roman" w:hAnsi="Times New Roman" w:cs="Times New Roman"/>
          <w:i/>
          <w:sz w:val="24"/>
        </w:rPr>
        <w:t>P</w:t>
      </w:r>
      <w:r w:rsidRPr="00126A9A">
        <w:rPr>
          <w:rFonts w:ascii="Times New Roman" w:hAnsi="Times New Roman" w:cs="Times New Roman"/>
          <w:sz w:val="24"/>
        </w:rPr>
        <w:t xml:space="preserve">= 0.759, </w:t>
      </w:r>
      <w:r w:rsidRPr="00126A9A">
        <w:rPr>
          <w:rFonts w:ascii="Times New Roman" w:hAnsi="Times New Roman" w:cs="Times New Roman"/>
          <w:i/>
          <w:sz w:val="24"/>
        </w:rPr>
        <w:t>P</w:t>
      </w:r>
      <w:r w:rsidRPr="00126A9A">
        <w:rPr>
          <w:rFonts w:ascii="Times New Roman" w:hAnsi="Times New Roman" w:cs="Times New Roman"/>
          <w:sz w:val="24"/>
        </w:rPr>
        <w:t xml:space="preserve">= 0.125). In terms of post- protocol interventions for patients with progression, patients in the combination group achieved a higher conversion rate than patients in the chemotherapy group (2/32, 6.3% </w:t>
      </w:r>
      <w:r w:rsidRPr="00126A9A">
        <w:rPr>
          <w:rFonts w:ascii="Times New Roman" w:hAnsi="Times New Roman" w:cs="Times New Roman"/>
          <w:i/>
          <w:iCs/>
          <w:sz w:val="24"/>
        </w:rPr>
        <w:t xml:space="preserve">vs. </w:t>
      </w:r>
      <w:r w:rsidRPr="00126A9A">
        <w:rPr>
          <w:rFonts w:ascii="Times New Roman" w:hAnsi="Times New Roman" w:cs="Times New Roman"/>
          <w:sz w:val="24"/>
        </w:rPr>
        <w:t xml:space="preserve">0/64, 0.0%, </w:t>
      </w:r>
      <w:r w:rsidRPr="00126A9A">
        <w:rPr>
          <w:rFonts w:ascii="Times New Roman" w:hAnsi="Times New Roman" w:cs="Times New Roman"/>
          <w:i/>
          <w:sz w:val="24"/>
        </w:rPr>
        <w:t>P</w:t>
      </w:r>
      <w:r w:rsidRPr="00126A9A">
        <w:rPr>
          <w:rFonts w:ascii="Times New Roman" w:hAnsi="Times New Roman" w:cs="Times New Roman"/>
          <w:sz w:val="24"/>
        </w:rPr>
        <w:t>= 0.118). Among these two patients, one had R0 resection and one had R1 resection. On the other hand, there was no significant difference in the non-curative therapies between the combination versus chemotherapy groups (</w:t>
      </w:r>
      <w:r w:rsidRPr="003E3BD3">
        <w:rPr>
          <w:rFonts w:ascii="Times New Roman" w:hAnsi="Times New Roman" w:cs="Times New Roman"/>
          <w:bCs/>
          <w:sz w:val="24"/>
        </w:rPr>
        <w:t>A</w:t>
      </w:r>
      <w:r w:rsidRPr="003E3BD3">
        <w:rPr>
          <w:rFonts w:ascii="Times New Roman" w:hAnsi="Times New Roman" w:cs="Times New Roman" w:hint="eastAsia"/>
          <w:bCs/>
          <w:sz w:val="24"/>
        </w:rPr>
        <w:t>dditional</w:t>
      </w:r>
      <w:r w:rsidRPr="003E3BD3">
        <w:rPr>
          <w:rFonts w:ascii="Times New Roman" w:hAnsi="Times New Roman" w:cs="Times New Roman"/>
          <w:bCs/>
          <w:sz w:val="24"/>
        </w:rPr>
        <w:t xml:space="preserve"> </w:t>
      </w:r>
      <w:r w:rsidRPr="003E3BD3">
        <w:rPr>
          <w:rFonts w:ascii="Times New Roman" w:hAnsi="Times New Roman" w:cs="Times New Roman" w:hint="eastAsia"/>
          <w:bCs/>
          <w:sz w:val="24"/>
        </w:rPr>
        <w:t>file</w:t>
      </w:r>
      <w:r w:rsidRPr="003E3BD3">
        <w:rPr>
          <w:rFonts w:ascii="Times New Roman" w:hAnsi="Times New Roman" w:cs="Times New Roman"/>
          <w:bCs/>
          <w:sz w:val="24"/>
        </w:rPr>
        <w:t xml:space="preserve"> 3: Table S4</w:t>
      </w:r>
      <w:r w:rsidRPr="00126A9A">
        <w:rPr>
          <w:rFonts w:ascii="Times New Roman" w:hAnsi="Times New Roman" w:cs="Times New Roman"/>
          <w:sz w:val="24"/>
        </w:rPr>
        <w:t xml:space="preserve">). Second-line and subsequent chemotherapy </w:t>
      </w:r>
      <w:r w:rsidR="005B35F9">
        <w:rPr>
          <w:rFonts w:ascii="Times New Roman" w:hAnsi="Times New Roman" w:cs="Times New Roman"/>
          <w:sz w:val="24"/>
        </w:rPr>
        <w:t xml:space="preserve">including </w:t>
      </w:r>
      <w:r w:rsidR="005B35F9" w:rsidRPr="005B35F9">
        <w:rPr>
          <w:rFonts w:ascii="Times New Roman" w:hAnsi="Times New Roman" w:cs="Times New Roman"/>
          <w:sz w:val="24"/>
        </w:rPr>
        <w:t>FOLFIRINOX and S-1</w:t>
      </w:r>
      <w:r w:rsidR="005B35F9">
        <w:rPr>
          <w:rFonts w:ascii="Times New Roman" w:hAnsi="Times New Roman" w:cs="Times New Roman"/>
          <w:sz w:val="24"/>
        </w:rPr>
        <w:t xml:space="preserve"> </w:t>
      </w:r>
      <w:r w:rsidRPr="00126A9A">
        <w:rPr>
          <w:rFonts w:ascii="Times New Roman" w:hAnsi="Times New Roman" w:cs="Times New Roman"/>
          <w:sz w:val="24"/>
        </w:rPr>
        <w:t xml:space="preserve">was given to 16 (84.2%) patients in the combination group and 41 (80.4%) </w:t>
      </w:r>
      <w:r w:rsidRPr="00126A9A">
        <w:rPr>
          <w:rFonts w:ascii="Times New Roman" w:hAnsi="Times New Roman" w:cs="Times New Roman"/>
          <w:sz w:val="24"/>
        </w:rPr>
        <w:lastRenderedPageBreak/>
        <w:t>patients in the chemotherapy group (</w:t>
      </w:r>
      <w:r w:rsidRPr="00126A9A">
        <w:rPr>
          <w:rFonts w:ascii="Times New Roman" w:hAnsi="Times New Roman" w:cs="Times New Roman"/>
          <w:i/>
          <w:sz w:val="24"/>
        </w:rPr>
        <w:t>P</w:t>
      </w:r>
      <w:r w:rsidRPr="00126A9A">
        <w:rPr>
          <w:rFonts w:ascii="Times New Roman" w:hAnsi="Times New Roman" w:cs="Times New Roman"/>
          <w:sz w:val="24"/>
        </w:rPr>
        <w:t xml:space="preserve">= 1.000). Targeted therapy </w:t>
      </w:r>
      <w:r w:rsidR="005B35F9">
        <w:rPr>
          <w:rFonts w:ascii="Times New Roman" w:hAnsi="Times New Roman" w:cs="Times New Roman"/>
          <w:sz w:val="24"/>
        </w:rPr>
        <w:t>(</w:t>
      </w:r>
      <w:proofErr w:type="spellStart"/>
      <w:r w:rsidR="005B35F9" w:rsidRPr="005B35F9">
        <w:rPr>
          <w:rFonts w:ascii="Times New Roman" w:hAnsi="Times New Roman" w:cs="Times New Roman"/>
          <w:sz w:val="24"/>
        </w:rPr>
        <w:t>Parp</w:t>
      </w:r>
      <w:proofErr w:type="spellEnd"/>
      <w:r w:rsidR="005B35F9" w:rsidRPr="005B35F9">
        <w:rPr>
          <w:rFonts w:ascii="Times New Roman" w:hAnsi="Times New Roman" w:cs="Times New Roman"/>
          <w:sz w:val="24"/>
        </w:rPr>
        <w:t xml:space="preserve"> inhibitor</w:t>
      </w:r>
      <w:r w:rsidR="005B35F9">
        <w:rPr>
          <w:rFonts w:ascii="Times New Roman" w:hAnsi="Times New Roman" w:cs="Times New Roman"/>
          <w:sz w:val="24"/>
        </w:rPr>
        <w:t>)</w:t>
      </w:r>
      <w:r w:rsidR="005B35F9" w:rsidRPr="005B35F9">
        <w:rPr>
          <w:rFonts w:ascii="Times New Roman" w:hAnsi="Times New Roman" w:cs="Times New Roman"/>
          <w:sz w:val="24"/>
        </w:rPr>
        <w:t xml:space="preserve"> </w:t>
      </w:r>
      <w:r w:rsidRPr="00126A9A">
        <w:rPr>
          <w:rFonts w:ascii="Times New Roman" w:hAnsi="Times New Roman" w:cs="Times New Roman"/>
          <w:sz w:val="24"/>
        </w:rPr>
        <w:t xml:space="preserve">was given to 1 (5.3%) </w:t>
      </w:r>
      <w:r w:rsidR="003E3BD3" w:rsidRPr="00126A9A">
        <w:rPr>
          <w:rFonts w:ascii="Times New Roman" w:hAnsi="Times New Roman" w:cs="Times New Roman"/>
          <w:sz w:val="24"/>
        </w:rPr>
        <w:t>patient</w:t>
      </w:r>
      <w:r w:rsidRPr="00126A9A">
        <w:rPr>
          <w:rFonts w:ascii="Times New Roman" w:hAnsi="Times New Roman" w:cs="Times New Roman"/>
          <w:sz w:val="24"/>
        </w:rPr>
        <w:t xml:space="preserve"> in the combination group and 2 (3.9%) patients in the chemotherapy group (</w:t>
      </w:r>
      <w:r w:rsidRPr="00126A9A">
        <w:rPr>
          <w:rFonts w:ascii="Times New Roman" w:hAnsi="Times New Roman" w:cs="Times New Roman"/>
          <w:i/>
          <w:sz w:val="24"/>
        </w:rPr>
        <w:t>P</w:t>
      </w:r>
      <w:r w:rsidRPr="00126A9A">
        <w:rPr>
          <w:rFonts w:ascii="Times New Roman" w:hAnsi="Times New Roman" w:cs="Times New Roman"/>
          <w:sz w:val="24"/>
        </w:rPr>
        <w:t xml:space="preserve">= 1.000). Best supportive care was the other alternative treatment (2, 10.5% </w:t>
      </w:r>
      <w:r w:rsidRPr="00126A9A">
        <w:rPr>
          <w:rFonts w:ascii="Times New Roman" w:hAnsi="Times New Roman" w:cs="Times New Roman"/>
          <w:i/>
          <w:iCs/>
          <w:sz w:val="24"/>
        </w:rPr>
        <w:t>vs.</w:t>
      </w:r>
      <w:r w:rsidRPr="00126A9A">
        <w:rPr>
          <w:rFonts w:ascii="Times New Roman" w:hAnsi="Times New Roman" w:cs="Times New Roman"/>
          <w:sz w:val="24"/>
        </w:rPr>
        <w:t xml:space="preserve"> 5, 9.8%, </w:t>
      </w:r>
      <w:r w:rsidRPr="00126A9A">
        <w:rPr>
          <w:rFonts w:ascii="Times New Roman" w:hAnsi="Times New Roman" w:cs="Times New Roman"/>
          <w:i/>
          <w:sz w:val="24"/>
        </w:rPr>
        <w:t>P</w:t>
      </w:r>
      <w:r w:rsidRPr="00126A9A">
        <w:rPr>
          <w:rFonts w:ascii="Times New Roman" w:hAnsi="Times New Roman" w:cs="Times New Roman"/>
          <w:sz w:val="24"/>
        </w:rPr>
        <w:t>= 1.000).</w:t>
      </w:r>
    </w:p>
    <w:p w14:paraId="3322696E" w14:textId="4A337E79" w:rsidR="00150A22" w:rsidRDefault="00150A22" w:rsidP="003E3BD3">
      <w:pPr>
        <w:widowControl/>
        <w:adjustRightInd w:val="0"/>
        <w:snapToGrid w:val="0"/>
        <w:spacing w:line="480" w:lineRule="auto"/>
        <w:rPr>
          <w:rFonts w:ascii="Times New Roman" w:hAnsi="Times New Roman" w:cs="Times New Roman"/>
          <w:sz w:val="24"/>
        </w:rPr>
      </w:pPr>
    </w:p>
    <w:p w14:paraId="55569579" w14:textId="77777777" w:rsidR="00150A22" w:rsidRPr="00126A9A" w:rsidRDefault="00150A22" w:rsidP="00150A22">
      <w:pPr>
        <w:widowControl/>
        <w:adjustRightInd w:val="0"/>
        <w:snapToGrid w:val="0"/>
        <w:spacing w:line="480" w:lineRule="auto"/>
        <w:rPr>
          <w:rFonts w:ascii="Times New Roman" w:hAnsi="Times New Roman" w:cs="Times New Roman"/>
          <w:b/>
          <w:sz w:val="24"/>
        </w:rPr>
      </w:pPr>
      <w:r w:rsidRPr="00126A9A">
        <w:rPr>
          <w:rFonts w:ascii="Times New Roman" w:hAnsi="Times New Roman" w:cs="Times New Roman"/>
          <w:b/>
          <w:sz w:val="24"/>
        </w:rPr>
        <w:t>Safety Outcomes</w:t>
      </w:r>
    </w:p>
    <w:p w14:paraId="75B12389" w14:textId="77777777" w:rsidR="00150A22" w:rsidRPr="00126A9A" w:rsidRDefault="00150A22" w:rsidP="00150A22">
      <w:pPr>
        <w:widowControl/>
        <w:adjustRightInd w:val="0"/>
        <w:snapToGrid w:val="0"/>
        <w:spacing w:line="480" w:lineRule="auto"/>
        <w:rPr>
          <w:rFonts w:ascii="Times New Roman" w:hAnsi="Times New Roman" w:cs="Times New Roman"/>
          <w:sz w:val="24"/>
        </w:rPr>
      </w:pPr>
      <w:r w:rsidRPr="00126A9A">
        <w:rPr>
          <w:rFonts w:ascii="Times New Roman" w:hAnsi="Times New Roman" w:cs="Times New Roman"/>
          <w:sz w:val="24"/>
        </w:rPr>
        <w:t>Twenty-five (78.1%) patients completed all the treatments in the combination group, and 51 (79.7%) patients did in the chemotherapy group (</w:t>
      </w:r>
      <w:r w:rsidRPr="00126A9A">
        <w:rPr>
          <w:rFonts w:ascii="Times New Roman" w:hAnsi="Times New Roman" w:cs="Times New Roman"/>
          <w:i/>
          <w:sz w:val="24"/>
        </w:rPr>
        <w:t>P</w:t>
      </w:r>
      <w:r w:rsidRPr="00126A9A">
        <w:rPr>
          <w:rFonts w:ascii="Times New Roman" w:hAnsi="Times New Roman" w:cs="Times New Roman"/>
          <w:sz w:val="24"/>
        </w:rPr>
        <w:t xml:space="preserve">= 0.859). The main reasons for discontinuing the treatments were AEs (4 [12.5%] </w:t>
      </w:r>
      <w:r w:rsidRPr="00126A9A">
        <w:rPr>
          <w:rFonts w:ascii="Times New Roman" w:hAnsi="Times New Roman" w:cs="Times New Roman"/>
          <w:i/>
          <w:iCs/>
          <w:sz w:val="24"/>
        </w:rPr>
        <w:t>vs.</w:t>
      </w:r>
      <w:r w:rsidRPr="00126A9A">
        <w:rPr>
          <w:rFonts w:ascii="Times New Roman" w:hAnsi="Times New Roman" w:cs="Times New Roman"/>
          <w:sz w:val="24"/>
        </w:rPr>
        <w:t xml:space="preserve"> 8 [12.5%], </w:t>
      </w:r>
      <w:r w:rsidRPr="00126A9A">
        <w:rPr>
          <w:rFonts w:ascii="Times New Roman" w:hAnsi="Times New Roman" w:cs="Times New Roman"/>
          <w:i/>
          <w:sz w:val="24"/>
        </w:rPr>
        <w:t>P</w:t>
      </w:r>
      <w:r w:rsidRPr="00126A9A">
        <w:rPr>
          <w:rFonts w:ascii="Times New Roman" w:hAnsi="Times New Roman" w:cs="Times New Roman"/>
          <w:sz w:val="24"/>
        </w:rPr>
        <w:t xml:space="preserve">= 1.000) and progressive disease (3 [9.3%] </w:t>
      </w:r>
      <w:r w:rsidRPr="00126A9A">
        <w:rPr>
          <w:rFonts w:ascii="Times New Roman" w:hAnsi="Times New Roman" w:cs="Times New Roman"/>
          <w:i/>
          <w:iCs/>
          <w:sz w:val="24"/>
        </w:rPr>
        <w:t xml:space="preserve">vs. </w:t>
      </w:r>
      <w:r w:rsidRPr="00126A9A">
        <w:rPr>
          <w:rFonts w:ascii="Times New Roman" w:hAnsi="Times New Roman" w:cs="Times New Roman"/>
          <w:sz w:val="24"/>
        </w:rPr>
        <w:t xml:space="preserve">55 [7.8%], </w:t>
      </w:r>
      <w:r w:rsidRPr="00126A9A">
        <w:rPr>
          <w:rFonts w:ascii="Times New Roman" w:hAnsi="Times New Roman" w:cs="Times New Roman"/>
          <w:i/>
          <w:sz w:val="24"/>
        </w:rPr>
        <w:t>P</w:t>
      </w:r>
      <w:r w:rsidRPr="00126A9A">
        <w:rPr>
          <w:rFonts w:ascii="Times New Roman" w:hAnsi="Times New Roman" w:cs="Times New Roman"/>
          <w:sz w:val="24"/>
        </w:rPr>
        <w:t>= 1.000) in the combination group and chemotherapy group, respectively. The median number of chemotherapy cycles that each patient received overall was 6 (range, 3-8) in the combination group, and 6 (range, 2-8) in the chemotherapy group (</w:t>
      </w:r>
      <w:r w:rsidRPr="00126A9A">
        <w:rPr>
          <w:rFonts w:ascii="Times New Roman" w:hAnsi="Times New Roman" w:cs="Times New Roman"/>
          <w:i/>
          <w:sz w:val="24"/>
        </w:rPr>
        <w:t>P</w:t>
      </w:r>
      <w:r w:rsidRPr="00126A9A">
        <w:rPr>
          <w:rFonts w:ascii="Times New Roman" w:hAnsi="Times New Roman" w:cs="Times New Roman"/>
          <w:sz w:val="24"/>
        </w:rPr>
        <w:t>= 0.745). For the immunotherapy in the combination group, the median number of cycles that each participant received overall was seven (range, 5-38). For radiotherapy, 90.6% (29/32) of participants finished the full planned radiotherapy course, and only three patients did not due to severe AEs for whom a total dose of 18~45Gy was administered.</w:t>
      </w:r>
    </w:p>
    <w:p w14:paraId="27AD4425" w14:textId="77777777" w:rsidR="00150A22" w:rsidRPr="00126A9A" w:rsidRDefault="00150A22" w:rsidP="00150A22">
      <w:pPr>
        <w:widowControl/>
        <w:adjustRightInd w:val="0"/>
        <w:snapToGrid w:val="0"/>
        <w:spacing w:line="480" w:lineRule="auto"/>
        <w:ind w:firstLineChars="100" w:firstLine="240"/>
        <w:rPr>
          <w:rFonts w:ascii="Times New Roman" w:hAnsi="Times New Roman" w:cs="Times New Roman"/>
          <w:sz w:val="24"/>
        </w:rPr>
      </w:pPr>
      <w:r w:rsidRPr="00126A9A">
        <w:rPr>
          <w:rFonts w:ascii="Times New Roman" w:hAnsi="Times New Roman" w:cs="Times New Roman"/>
          <w:sz w:val="24"/>
        </w:rPr>
        <w:t>The median relative dose intensity of nab-paclitaxel was 78.1% (IQR, 66.7-100.0%) in the combination group and 81.2% (IQR, 73.4-100%) in the chemotherapy group (</w:t>
      </w:r>
      <w:r w:rsidRPr="00126A9A">
        <w:rPr>
          <w:rFonts w:ascii="Times New Roman" w:hAnsi="Times New Roman" w:cs="Times New Roman"/>
          <w:i/>
          <w:sz w:val="24"/>
        </w:rPr>
        <w:t>P</w:t>
      </w:r>
      <w:r w:rsidRPr="00126A9A">
        <w:rPr>
          <w:rFonts w:ascii="Times New Roman" w:hAnsi="Times New Roman" w:cs="Times New Roman"/>
          <w:sz w:val="24"/>
        </w:rPr>
        <w:t>= 0.426); that of gemcitabine was 76.3% (IQR, 64.8-100.0) in the combination group and 77.8% (range, 65.7-100.0) in the chemotherapy group (</w:t>
      </w:r>
      <w:r w:rsidRPr="00126A9A">
        <w:rPr>
          <w:rFonts w:ascii="Times New Roman" w:hAnsi="Times New Roman" w:cs="Times New Roman"/>
          <w:i/>
          <w:sz w:val="24"/>
        </w:rPr>
        <w:t>P</w:t>
      </w:r>
      <w:r w:rsidRPr="00126A9A">
        <w:rPr>
          <w:rFonts w:ascii="Times New Roman" w:hAnsi="Times New Roman" w:cs="Times New Roman"/>
          <w:sz w:val="24"/>
        </w:rPr>
        <w:t xml:space="preserve">= 0.214). The median relative dose intensity of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was 87.5% (IQR: 75.0-100.0) in the combination group. The percentage of patients who had at least one dose reduction was 31.3% for nab-paclitaxel, 40.6% for gemcitabine and 0% for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in the combination group; and 32.6% (</w:t>
      </w:r>
      <w:r w:rsidRPr="00126A9A">
        <w:rPr>
          <w:rFonts w:ascii="Times New Roman" w:hAnsi="Times New Roman" w:cs="Times New Roman"/>
          <w:i/>
          <w:sz w:val="24"/>
        </w:rPr>
        <w:t>P</w:t>
      </w:r>
      <w:r w:rsidRPr="00126A9A">
        <w:rPr>
          <w:rFonts w:ascii="Times New Roman" w:hAnsi="Times New Roman" w:cs="Times New Roman"/>
          <w:sz w:val="24"/>
        </w:rPr>
        <w:t>= 0.526) for nab-paclitaxel and 38.7% (</w:t>
      </w:r>
      <w:r w:rsidRPr="00126A9A">
        <w:rPr>
          <w:rFonts w:ascii="Times New Roman" w:hAnsi="Times New Roman" w:cs="Times New Roman"/>
          <w:i/>
          <w:sz w:val="24"/>
        </w:rPr>
        <w:t>P</w:t>
      </w:r>
      <w:r w:rsidRPr="00126A9A">
        <w:rPr>
          <w:rFonts w:ascii="Times New Roman" w:hAnsi="Times New Roman" w:cs="Times New Roman"/>
          <w:sz w:val="24"/>
        </w:rPr>
        <w:t xml:space="preserve">= 0.678) for gemcitabine in the </w:t>
      </w:r>
      <w:r w:rsidRPr="00126A9A">
        <w:rPr>
          <w:rFonts w:ascii="Times New Roman" w:hAnsi="Times New Roman" w:cs="Times New Roman"/>
          <w:sz w:val="24"/>
        </w:rPr>
        <w:lastRenderedPageBreak/>
        <w:t xml:space="preserve">chemotherapy group. The percentage of patients who had at least one dose delay was 28.1% for chemotherapy (nab-paclitaxel plus gemcitabine) and 18.8% for </w:t>
      </w:r>
      <w:proofErr w:type="spellStart"/>
      <w:r w:rsidRPr="00126A9A">
        <w:rPr>
          <w:rFonts w:ascii="Times New Roman" w:hAnsi="Times New Roman" w:cs="Times New Roman"/>
          <w:sz w:val="24"/>
        </w:rPr>
        <w:t>Camrelizumab</w:t>
      </w:r>
      <w:proofErr w:type="spellEnd"/>
      <w:r w:rsidRPr="00126A9A">
        <w:rPr>
          <w:rFonts w:ascii="Times New Roman" w:hAnsi="Times New Roman" w:cs="Times New Roman"/>
          <w:sz w:val="24"/>
        </w:rPr>
        <w:t xml:space="preserve"> in the combination group, and 31.2% (</w:t>
      </w:r>
      <w:r w:rsidRPr="00126A9A">
        <w:rPr>
          <w:rFonts w:ascii="Times New Roman" w:hAnsi="Times New Roman" w:cs="Times New Roman"/>
          <w:i/>
          <w:sz w:val="24"/>
        </w:rPr>
        <w:t>P</w:t>
      </w:r>
      <w:r w:rsidRPr="00126A9A">
        <w:rPr>
          <w:rFonts w:ascii="Times New Roman" w:hAnsi="Times New Roman" w:cs="Times New Roman"/>
          <w:sz w:val="24"/>
        </w:rPr>
        <w:t>= 0.326) for nab-paclitaxel plus gemcitabine in the chemotherapy group. All dose reductions and delays were due to AEs.</w:t>
      </w:r>
    </w:p>
    <w:p w14:paraId="3487B5CF" w14:textId="77777777" w:rsidR="00150A22" w:rsidRDefault="00150A22" w:rsidP="003E3BD3">
      <w:pPr>
        <w:widowControl/>
        <w:adjustRightInd w:val="0"/>
        <w:snapToGrid w:val="0"/>
        <w:spacing w:line="480" w:lineRule="auto"/>
        <w:rPr>
          <w:rFonts w:ascii="Times New Roman" w:hAnsi="Times New Roman" w:cs="Times New Roman"/>
          <w:sz w:val="24"/>
        </w:rPr>
      </w:pPr>
    </w:p>
    <w:p w14:paraId="0EA44EE6" w14:textId="72AD3503" w:rsidR="00126A9A" w:rsidRPr="00126A9A" w:rsidRDefault="003E3BD3" w:rsidP="003E3BD3">
      <w:pPr>
        <w:widowControl/>
        <w:jc w:val="left"/>
        <w:rPr>
          <w:rFonts w:ascii="Times New Roman" w:hAnsi="Times New Roman" w:cs="Times New Roman"/>
          <w:sz w:val="24"/>
        </w:rPr>
      </w:pPr>
      <w:r>
        <w:rPr>
          <w:rFonts w:ascii="Times New Roman" w:hAnsi="Times New Roman" w:cs="Times New Roman"/>
          <w:sz w:val="24"/>
        </w:rPr>
        <w:br w:type="page"/>
      </w:r>
    </w:p>
    <w:p w14:paraId="679311F6" w14:textId="09AAC5D7" w:rsidR="00126A9A" w:rsidRPr="00126A9A" w:rsidRDefault="00126A9A" w:rsidP="00167F3C">
      <w:pPr>
        <w:pStyle w:val="a3"/>
        <w:adjustRightInd w:val="0"/>
        <w:snapToGrid w:val="0"/>
        <w:spacing w:line="480" w:lineRule="auto"/>
        <w:rPr>
          <w:rFonts w:ascii="Times New Roman" w:hAnsi="Times New Roman" w:cs="Times New Roman"/>
          <w:b/>
          <w:bCs/>
          <w:sz w:val="24"/>
        </w:rPr>
      </w:pPr>
      <w:r w:rsidRPr="00126A9A">
        <w:rPr>
          <w:rFonts w:ascii="Times New Roman" w:hAnsi="Times New Roman" w:cs="Times New Roman" w:hint="eastAsia"/>
          <w:b/>
          <w:bCs/>
          <w:sz w:val="24"/>
        </w:rPr>
        <w:lastRenderedPageBreak/>
        <w:t>Reference</w:t>
      </w:r>
    </w:p>
    <w:p w14:paraId="7B81CC7E" w14:textId="0C1D507D" w:rsidR="00126A9A" w:rsidRDefault="00126A9A" w:rsidP="00167F3C">
      <w:pPr>
        <w:pStyle w:val="a3"/>
        <w:numPr>
          <w:ilvl w:val="0"/>
          <w:numId w:val="1"/>
        </w:numPr>
        <w:adjustRightInd w:val="0"/>
        <w:snapToGrid w:val="0"/>
        <w:spacing w:line="480" w:lineRule="auto"/>
        <w:ind w:left="357" w:hanging="357"/>
        <w:rPr>
          <w:rFonts w:ascii="Times New Roman" w:hAnsi="Times New Roman" w:cs="Times New Roman"/>
          <w:sz w:val="24"/>
        </w:rPr>
      </w:pPr>
      <w:proofErr w:type="spellStart"/>
      <w:r w:rsidRPr="00126A9A">
        <w:rPr>
          <w:rFonts w:ascii="Times New Roman" w:hAnsi="Times New Roman" w:cs="Times New Roman"/>
          <w:sz w:val="24"/>
        </w:rPr>
        <w:t>Tempero</w:t>
      </w:r>
      <w:proofErr w:type="spellEnd"/>
      <w:r w:rsidRPr="00126A9A">
        <w:rPr>
          <w:rFonts w:ascii="Times New Roman" w:hAnsi="Times New Roman" w:cs="Times New Roman"/>
          <w:sz w:val="24"/>
        </w:rPr>
        <w:t xml:space="preserve"> MA, </w:t>
      </w:r>
      <w:proofErr w:type="spellStart"/>
      <w:r w:rsidRPr="00126A9A">
        <w:rPr>
          <w:rFonts w:ascii="Times New Roman" w:hAnsi="Times New Roman" w:cs="Times New Roman"/>
          <w:sz w:val="24"/>
        </w:rPr>
        <w:t>Malafa</w:t>
      </w:r>
      <w:proofErr w:type="spellEnd"/>
      <w:r w:rsidRPr="00126A9A">
        <w:rPr>
          <w:rFonts w:ascii="Times New Roman" w:hAnsi="Times New Roman" w:cs="Times New Roman"/>
          <w:sz w:val="24"/>
        </w:rPr>
        <w:t xml:space="preserve"> MP, Al-</w:t>
      </w:r>
      <w:proofErr w:type="spellStart"/>
      <w:r w:rsidRPr="00126A9A">
        <w:rPr>
          <w:rFonts w:ascii="Times New Roman" w:hAnsi="Times New Roman" w:cs="Times New Roman"/>
          <w:sz w:val="24"/>
        </w:rPr>
        <w:t>Hawary</w:t>
      </w:r>
      <w:proofErr w:type="spellEnd"/>
      <w:r w:rsidRPr="00126A9A">
        <w:rPr>
          <w:rFonts w:ascii="Times New Roman" w:hAnsi="Times New Roman" w:cs="Times New Roman"/>
          <w:sz w:val="24"/>
        </w:rPr>
        <w:t xml:space="preserve"> M, Behrman SW, Benson AI B, Cardin DB, </w:t>
      </w:r>
      <w:proofErr w:type="spellStart"/>
      <w:r w:rsidRPr="00126A9A">
        <w:rPr>
          <w:rFonts w:ascii="Times New Roman" w:hAnsi="Times New Roman" w:cs="Times New Roman"/>
          <w:sz w:val="24"/>
        </w:rPr>
        <w:t>Chiorean</w:t>
      </w:r>
      <w:proofErr w:type="spellEnd"/>
      <w:r w:rsidRPr="00126A9A">
        <w:rPr>
          <w:rFonts w:ascii="Times New Roman" w:hAnsi="Times New Roman" w:cs="Times New Roman"/>
          <w:sz w:val="24"/>
        </w:rPr>
        <w:t xml:space="preserve"> EG, Chung V, </w:t>
      </w:r>
      <w:proofErr w:type="spellStart"/>
      <w:r w:rsidRPr="00126A9A">
        <w:rPr>
          <w:rFonts w:ascii="Times New Roman" w:hAnsi="Times New Roman" w:cs="Times New Roman"/>
          <w:sz w:val="24"/>
        </w:rPr>
        <w:t>Czito</w:t>
      </w:r>
      <w:proofErr w:type="spellEnd"/>
      <w:r w:rsidRPr="00126A9A">
        <w:rPr>
          <w:rFonts w:ascii="Times New Roman" w:hAnsi="Times New Roman" w:cs="Times New Roman"/>
          <w:sz w:val="24"/>
        </w:rPr>
        <w:t xml:space="preserve"> B, </w:t>
      </w:r>
      <w:proofErr w:type="spellStart"/>
      <w:r w:rsidRPr="00126A9A">
        <w:rPr>
          <w:rFonts w:ascii="Times New Roman" w:hAnsi="Times New Roman" w:cs="Times New Roman"/>
          <w:sz w:val="24"/>
        </w:rPr>
        <w:t>Chiaro</w:t>
      </w:r>
      <w:proofErr w:type="spellEnd"/>
      <w:r w:rsidRPr="00126A9A">
        <w:rPr>
          <w:rFonts w:ascii="Times New Roman" w:hAnsi="Times New Roman" w:cs="Times New Roman"/>
          <w:sz w:val="24"/>
        </w:rPr>
        <w:t xml:space="preserve"> MD, et al. Pancreatic Adenocarcinoma, Version 2.2021, NCCN Clinical Practice Guidelines in Oncology. J Natl </w:t>
      </w:r>
      <w:proofErr w:type="spellStart"/>
      <w:r w:rsidRPr="00126A9A">
        <w:rPr>
          <w:rFonts w:ascii="Times New Roman" w:hAnsi="Times New Roman" w:cs="Times New Roman"/>
          <w:sz w:val="24"/>
        </w:rPr>
        <w:t>Compr</w:t>
      </w:r>
      <w:proofErr w:type="spellEnd"/>
      <w:r w:rsidRPr="00126A9A">
        <w:rPr>
          <w:rFonts w:ascii="Times New Roman" w:hAnsi="Times New Roman" w:cs="Times New Roman"/>
          <w:sz w:val="24"/>
        </w:rPr>
        <w:t xml:space="preserve"> </w:t>
      </w:r>
      <w:proofErr w:type="spellStart"/>
      <w:r w:rsidRPr="00126A9A">
        <w:rPr>
          <w:rFonts w:ascii="Times New Roman" w:hAnsi="Times New Roman" w:cs="Times New Roman"/>
          <w:sz w:val="24"/>
        </w:rPr>
        <w:t>Canc</w:t>
      </w:r>
      <w:proofErr w:type="spellEnd"/>
      <w:r w:rsidRPr="00126A9A">
        <w:rPr>
          <w:rFonts w:ascii="Times New Roman" w:hAnsi="Times New Roman" w:cs="Times New Roman"/>
          <w:sz w:val="24"/>
        </w:rPr>
        <w:t xml:space="preserve"> </w:t>
      </w:r>
      <w:proofErr w:type="spellStart"/>
      <w:r w:rsidRPr="00126A9A">
        <w:rPr>
          <w:rFonts w:ascii="Times New Roman" w:hAnsi="Times New Roman" w:cs="Times New Roman"/>
          <w:sz w:val="24"/>
        </w:rPr>
        <w:t>Netw</w:t>
      </w:r>
      <w:proofErr w:type="spellEnd"/>
      <w:r w:rsidRPr="00126A9A">
        <w:rPr>
          <w:rFonts w:ascii="Times New Roman" w:hAnsi="Times New Roman" w:cs="Times New Roman"/>
          <w:sz w:val="24"/>
        </w:rPr>
        <w:t xml:space="preserve"> 2021; 19(4): 439-57.</w:t>
      </w:r>
    </w:p>
    <w:p w14:paraId="286D81E7" w14:textId="67DD314D" w:rsidR="00126A9A" w:rsidRPr="00167F3C" w:rsidRDefault="00126A9A" w:rsidP="00126A9A">
      <w:pPr>
        <w:pStyle w:val="a3"/>
        <w:numPr>
          <w:ilvl w:val="0"/>
          <w:numId w:val="1"/>
        </w:numPr>
        <w:adjustRightInd w:val="0"/>
        <w:snapToGrid w:val="0"/>
        <w:spacing w:line="480" w:lineRule="auto"/>
        <w:rPr>
          <w:rFonts w:ascii="Times New Roman" w:hAnsi="Times New Roman" w:cs="Times New Roman"/>
          <w:sz w:val="24"/>
        </w:rPr>
      </w:pPr>
      <w:r w:rsidRPr="00167F3C">
        <w:rPr>
          <w:rFonts w:ascii="Times New Roman" w:hAnsi="Times New Roman" w:cs="Times New Roman"/>
          <w:sz w:val="24"/>
        </w:rPr>
        <w:t xml:space="preserve">Eisenhauer EA, </w:t>
      </w:r>
      <w:proofErr w:type="spellStart"/>
      <w:r w:rsidRPr="00167F3C">
        <w:rPr>
          <w:rFonts w:ascii="Times New Roman" w:hAnsi="Times New Roman" w:cs="Times New Roman"/>
          <w:sz w:val="24"/>
        </w:rPr>
        <w:t>Therasse</w:t>
      </w:r>
      <w:proofErr w:type="spellEnd"/>
      <w:r w:rsidRPr="00167F3C">
        <w:rPr>
          <w:rFonts w:ascii="Times New Roman" w:hAnsi="Times New Roman" w:cs="Times New Roman"/>
          <w:sz w:val="24"/>
        </w:rPr>
        <w:t xml:space="preserve"> P, Bogaerts J, Schwartz LH, Sargent D, Ford R, </w:t>
      </w:r>
      <w:proofErr w:type="spellStart"/>
      <w:r w:rsidRPr="00167F3C">
        <w:rPr>
          <w:rFonts w:ascii="Times New Roman" w:hAnsi="Times New Roman" w:cs="Times New Roman"/>
          <w:sz w:val="24"/>
        </w:rPr>
        <w:t>Dancey</w:t>
      </w:r>
      <w:proofErr w:type="spellEnd"/>
      <w:r w:rsidRPr="00167F3C">
        <w:rPr>
          <w:rFonts w:ascii="Times New Roman" w:hAnsi="Times New Roman" w:cs="Times New Roman"/>
          <w:sz w:val="24"/>
        </w:rPr>
        <w:t xml:space="preserve"> J, </w:t>
      </w:r>
      <w:proofErr w:type="spellStart"/>
      <w:r w:rsidRPr="00167F3C">
        <w:rPr>
          <w:rFonts w:ascii="Times New Roman" w:hAnsi="Times New Roman" w:cs="Times New Roman"/>
          <w:sz w:val="24"/>
        </w:rPr>
        <w:t>Arbuck</w:t>
      </w:r>
      <w:proofErr w:type="spellEnd"/>
      <w:r w:rsidRPr="00167F3C">
        <w:rPr>
          <w:rFonts w:ascii="Times New Roman" w:hAnsi="Times New Roman" w:cs="Times New Roman"/>
          <w:sz w:val="24"/>
        </w:rPr>
        <w:t xml:space="preserve"> S, </w:t>
      </w:r>
      <w:proofErr w:type="spellStart"/>
      <w:r w:rsidRPr="00167F3C">
        <w:rPr>
          <w:rFonts w:ascii="Times New Roman" w:hAnsi="Times New Roman" w:cs="Times New Roman"/>
          <w:sz w:val="24"/>
        </w:rPr>
        <w:t>Gwyther</w:t>
      </w:r>
      <w:proofErr w:type="spellEnd"/>
      <w:r w:rsidRPr="00167F3C">
        <w:rPr>
          <w:rFonts w:ascii="Times New Roman" w:hAnsi="Times New Roman" w:cs="Times New Roman"/>
          <w:sz w:val="24"/>
        </w:rPr>
        <w:t xml:space="preserve"> S, Mooney M, et al. New response evaluation criteria in solid </w:t>
      </w:r>
      <w:proofErr w:type="spellStart"/>
      <w:r w:rsidRPr="00167F3C">
        <w:rPr>
          <w:rFonts w:ascii="Times New Roman" w:hAnsi="Times New Roman" w:cs="Times New Roman"/>
          <w:sz w:val="24"/>
        </w:rPr>
        <w:t>tumours</w:t>
      </w:r>
      <w:proofErr w:type="spellEnd"/>
      <w:r w:rsidRPr="00167F3C">
        <w:rPr>
          <w:rFonts w:ascii="Times New Roman" w:hAnsi="Times New Roman" w:cs="Times New Roman"/>
          <w:sz w:val="24"/>
        </w:rPr>
        <w:t>: Revised RECIST guideline (version 1.1). Eur J Cancer 2009; 45(2):228–47.</w:t>
      </w:r>
    </w:p>
    <w:p w14:paraId="02E07F1F" w14:textId="77777777" w:rsidR="001F3E91" w:rsidRPr="00126A9A" w:rsidRDefault="001F3E91" w:rsidP="00126A9A">
      <w:pPr>
        <w:autoSpaceDE w:val="0"/>
        <w:autoSpaceDN w:val="0"/>
        <w:adjustRightInd w:val="0"/>
        <w:snapToGrid w:val="0"/>
        <w:spacing w:line="480" w:lineRule="auto"/>
        <w:rPr>
          <w:rFonts w:ascii="Times New Roman" w:hAnsi="Times New Roman" w:cs="Times New Roman"/>
          <w:sz w:val="24"/>
        </w:rPr>
      </w:pPr>
    </w:p>
    <w:sectPr w:rsidR="001F3E91" w:rsidRPr="00126A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676E2" w14:textId="77777777" w:rsidR="005B35F9" w:rsidRDefault="005B35F9" w:rsidP="005B35F9">
      <w:r>
        <w:separator/>
      </w:r>
    </w:p>
  </w:endnote>
  <w:endnote w:type="continuationSeparator" w:id="0">
    <w:p w14:paraId="6B238076" w14:textId="77777777" w:rsidR="005B35F9" w:rsidRDefault="005B35F9" w:rsidP="005B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4AF75" w14:textId="77777777" w:rsidR="005B35F9" w:rsidRDefault="005B35F9" w:rsidP="005B35F9">
      <w:r>
        <w:separator/>
      </w:r>
    </w:p>
  </w:footnote>
  <w:footnote w:type="continuationSeparator" w:id="0">
    <w:p w14:paraId="7C1D393A" w14:textId="77777777" w:rsidR="005B35F9" w:rsidRDefault="005B35F9" w:rsidP="005B3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A4797E"/>
    <w:multiLevelType w:val="hybridMultilevel"/>
    <w:tmpl w:val="3E48CD20"/>
    <w:lvl w:ilvl="0" w:tplc="4A9CBA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73"/>
    <w:rsid w:val="0000784B"/>
    <w:rsid w:val="00042E53"/>
    <w:rsid w:val="00043393"/>
    <w:rsid w:val="000502EC"/>
    <w:rsid w:val="000718B1"/>
    <w:rsid w:val="000A4D92"/>
    <w:rsid w:val="000B05FD"/>
    <w:rsid w:val="00126A9A"/>
    <w:rsid w:val="00150A22"/>
    <w:rsid w:val="00167F3C"/>
    <w:rsid w:val="001A42D1"/>
    <w:rsid w:val="001C5643"/>
    <w:rsid w:val="001C7AC7"/>
    <w:rsid w:val="001F3E91"/>
    <w:rsid w:val="002268ED"/>
    <w:rsid w:val="00234241"/>
    <w:rsid w:val="002512E6"/>
    <w:rsid w:val="0027714A"/>
    <w:rsid w:val="00286550"/>
    <w:rsid w:val="002A2E5F"/>
    <w:rsid w:val="002B4100"/>
    <w:rsid w:val="002C346D"/>
    <w:rsid w:val="002D6414"/>
    <w:rsid w:val="00317683"/>
    <w:rsid w:val="00357E31"/>
    <w:rsid w:val="0036078E"/>
    <w:rsid w:val="00364E06"/>
    <w:rsid w:val="00372DCF"/>
    <w:rsid w:val="003D04D9"/>
    <w:rsid w:val="003E3BD3"/>
    <w:rsid w:val="00403E43"/>
    <w:rsid w:val="00422AD9"/>
    <w:rsid w:val="00437015"/>
    <w:rsid w:val="00464AB7"/>
    <w:rsid w:val="00484E02"/>
    <w:rsid w:val="004853FF"/>
    <w:rsid w:val="004A2B36"/>
    <w:rsid w:val="004C46EA"/>
    <w:rsid w:val="00500D89"/>
    <w:rsid w:val="00515871"/>
    <w:rsid w:val="005240B1"/>
    <w:rsid w:val="00531295"/>
    <w:rsid w:val="00567557"/>
    <w:rsid w:val="0057022D"/>
    <w:rsid w:val="0058053B"/>
    <w:rsid w:val="00581C37"/>
    <w:rsid w:val="005A5F19"/>
    <w:rsid w:val="005B35F9"/>
    <w:rsid w:val="005C69A4"/>
    <w:rsid w:val="005E2FD0"/>
    <w:rsid w:val="00643B10"/>
    <w:rsid w:val="00660872"/>
    <w:rsid w:val="0069133D"/>
    <w:rsid w:val="00692ACF"/>
    <w:rsid w:val="006E4A83"/>
    <w:rsid w:val="00752EEC"/>
    <w:rsid w:val="0079319C"/>
    <w:rsid w:val="007A76E0"/>
    <w:rsid w:val="007D7ADC"/>
    <w:rsid w:val="00821041"/>
    <w:rsid w:val="00843E9B"/>
    <w:rsid w:val="00874B2A"/>
    <w:rsid w:val="00943B0D"/>
    <w:rsid w:val="00956DCC"/>
    <w:rsid w:val="00957C97"/>
    <w:rsid w:val="00983F57"/>
    <w:rsid w:val="009A1FD0"/>
    <w:rsid w:val="009A7532"/>
    <w:rsid w:val="009C4773"/>
    <w:rsid w:val="009D6724"/>
    <w:rsid w:val="009E53DA"/>
    <w:rsid w:val="00A41889"/>
    <w:rsid w:val="00A419CF"/>
    <w:rsid w:val="00B401B5"/>
    <w:rsid w:val="00B55AA9"/>
    <w:rsid w:val="00B646C2"/>
    <w:rsid w:val="00BD6465"/>
    <w:rsid w:val="00BF5ED5"/>
    <w:rsid w:val="00C267DD"/>
    <w:rsid w:val="00C561B7"/>
    <w:rsid w:val="00CC39C1"/>
    <w:rsid w:val="00CC47FF"/>
    <w:rsid w:val="00CE2612"/>
    <w:rsid w:val="00CF0F89"/>
    <w:rsid w:val="00D04474"/>
    <w:rsid w:val="00D337A8"/>
    <w:rsid w:val="00D52600"/>
    <w:rsid w:val="00D557F9"/>
    <w:rsid w:val="00D66BC9"/>
    <w:rsid w:val="00DB0A1A"/>
    <w:rsid w:val="00DB4E71"/>
    <w:rsid w:val="00DC12DC"/>
    <w:rsid w:val="00DD7695"/>
    <w:rsid w:val="00E00DA9"/>
    <w:rsid w:val="00E41A7D"/>
    <w:rsid w:val="00E442DC"/>
    <w:rsid w:val="00ED1712"/>
    <w:rsid w:val="00EF5254"/>
    <w:rsid w:val="00F81AB9"/>
    <w:rsid w:val="00F84D5C"/>
    <w:rsid w:val="00F86CEE"/>
    <w:rsid w:val="00FA13A7"/>
    <w:rsid w:val="00FA6AFE"/>
    <w:rsid w:val="00FC2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960E787"/>
  <w15:chartTrackingRefBased/>
  <w15:docId w15:val="{18425324-8F2F-954D-820C-1BF5544A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47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rsid w:val="00126A9A"/>
    <w:pPr>
      <w:jc w:val="left"/>
    </w:pPr>
  </w:style>
  <w:style w:type="character" w:customStyle="1" w:styleId="a4">
    <w:name w:val="批注文字 字符"/>
    <w:basedOn w:val="a0"/>
    <w:link w:val="a3"/>
    <w:qFormat/>
    <w:rsid w:val="00126A9A"/>
  </w:style>
  <w:style w:type="paragraph" w:styleId="a5">
    <w:name w:val="header"/>
    <w:basedOn w:val="a"/>
    <w:link w:val="a6"/>
    <w:uiPriority w:val="99"/>
    <w:unhideWhenUsed/>
    <w:rsid w:val="005B35F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B35F9"/>
    <w:rPr>
      <w:sz w:val="18"/>
      <w:szCs w:val="18"/>
    </w:rPr>
  </w:style>
  <w:style w:type="paragraph" w:styleId="a7">
    <w:name w:val="footer"/>
    <w:basedOn w:val="a"/>
    <w:link w:val="a8"/>
    <w:uiPriority w:val="99"/>
    <w:unhideWhenUsed/>
    <w:rsid w:val="005B35F9"/>
    <w:pPr>
      <w:tabs>
        <w:tab w:val="center" w:pos="4153"/>
        <w:tab w:val="right" w:pos="8306"/>
      </w:tabs>
      <w:snapToGrid w:val="0"/>
      <w:jc w:val="left"/>
    </w:pPr>
    <w:rPr>
      <w:sz w:val="18"/>
      <w:szCs w:val="18"/>
    </w:rPr>
  </w:style>
  <w:style w:type="character" w:customStyle="1" w:styleId="a8">
    <w:name w:val="页脚 字符"/>
    <w:basedOn w:val="a0"/>
    <w:link w:val="a7"/>
    <w:uiPriority w:val="99"/>
    <w:rsid w:val="005B35F9"/>
    <w:rPr>
      <w:sz w:val="18"/>
      <w:szCs w:val="18"/>
    </w:rPr>
  </w:style>
  <w:style w:type="paragraph" w:styleId="a9">
    <w:name w:val="Balloon Text"/>
    <w:basedOn w:val="a"/>
    <w:link w:val="aa"/>
    <w:uiPriority w:val="99"/>
    <w:semiHidden/>
    <w:unhideWhenUsed/>
    <w:rsid w:val="002512E6"/>
    <w:rPr>
      <w:sz w:val="18"/>
      <w:szCs w:val="18"/>
    </w:rPr>
  </w:style>
  <w:style w:type="character" w:customStyle="1" w:styleId="aa">
    <w:name w:val="批注框文本 字符"/>
    <w:basedOn w:val="a0"/>
    <w:link w:val="a9"/>
    <w:uiPriority w:val="99"/>
    <w:semiHidden/>
    <w:rsid w:val="002512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2027</Words>
  <Characters>11560</Characters>
  <Application>Microsoft Office Word</Application>
  <DocSecurity>0</DocSecurity>
  <Lines>96</Lines>
  <Paragraphs>27</Paragraphs>
  <ScaleCrop>false</ScaleCrop>
  <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aoran</dc:creator>
  <cp:keywords/>
  <dc:description/>
  <cp:lastModifiedBy>CSL</cp:lastModifiedBy>
  <cp:revision>4</cp:revision>
  <dcterms:created xsi:type="dcterms:W3CDTF">2023-03-02T08:33:00Z</dcterms:created>
  <dcterms:modified xsi:type="dcterms:W3CDTF">2023-03-02T08:39:00Z</dcterms:modified>
</cp:coreProperties>
</file>