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5A72EA" w14:textId="0843F63D" w:rsidR="00EB294E" w:rsidRPr="00794BDF" w:rsidRDefault="00EB294E" w:rsidP="00EB294E">
      <w:pPr>
        <w:jc w:val="center"/>
        <w:rPr>
          <w:rFonts w:ascii="Arial" w:hAnsi="Arial" w:cs="Arial"/>
          <w:sz w:val="28"/>
          <w:szCs w:val="28"/>
        </w:rPr>
      </w:pPr>
      <w:bookmarkStart w:id="0" w:name="_Hlk138236666"/>
      <w:r w:rsidRPr="00794BDF">
        <w:rPr>
          <w:rFonts w:ascii="Arial" w:hAnsi="Arial" w:cs="Arial"/>
          <w:sz w:val="28"/>
          <w:szCs w:val="28"/>
        </w:rPr>
        <w:t>Additional file 3: Supplementary Methods</w:t>
      </w:r>
    </w:p>
    <w:p w14:paraId="2C3FD0D2" w14:textId="77777777" w:rsidR="00EB294E" w:rsidRPr="00794BDF" w:rsidRDefault="00EB294E" w:rsidP="009B32E4">
      <w:pPr>
        <w:spacing w:line="480" w:lineRule="auto"/>
        <w:rPr>
          <w:rFonts w:ascii="Arial" w:eastAsiaTheme="minorHAnsi" w:hAnsi="Arial" w:cs="Arial"/>
          <w:b/>
          <w:lang w:eastAsia="en-US"/>
        </w:rPr>
      </w:pPr>
      <w:bookmarkStart w:id="1" w:name="_Hlk138239708"/>
      <w:bookmarkEnd w:id="0"/>
    </w:p>
    <w:p w14:paraId="02AC0852" w14:textId="04CC4A02" w:rsidR="009B32E4" w:rsidRPr="00794BDF" w:rsidRDefault="009B32E4" w:rsidP="009B32E4">
      <w:pPr>
        <w:spacing w:line="480" w:lineRule="auto"/>
        <w:rPr>
          <w:rFonts w:ascii="Arial" w:eastAsia="Times New Roman" w:hAnsi="Arial" w:cs="Arial"/>
          <w:b/>
          <w:bCs/>
          <w:color w:val="000000" w:themeColor="text1"/>
          <w:lang w:eastAsia="en-US"/>
        </w:rPr>
      </w:pPr>
      <w:r w:rsidRPr="00794BDF">
        <w:rPr>
          <w:rFonts w:ascii="Arial" w:eastAsia="Times New Roman" w:hAnsi="Arial" w:cs="Arial"/>
          <w:b/>
          <w:bCs/>
          <w:color w:val="000000" w:themeColor="text1"/>
          <w:lang w:eastAsia="en-US"/>
        </w:rPr>
        <w:t>Study Population and Eligibility Criteria</w:t>
      </w:r>
    </w:p>
    <w:bookmarkEnd w:id="1"/>
    <w:p w14:paraId="1CC7E2B8" w14:textId="77777777" w:rsidR="009B32E4" w:rsidRPr="00794BDF" w:rsidRDefault="009B32E4" w:rsidP="009B32E4">
      <w:pPr>
        <w:spacing w:line="480" w:lineRule="auto"/>
        <w:rPr>
          <w:rFonts w:ascii="Arial" w:eastAsiaTheme="minorHAnsi" w:hAnsi="Arial" w:cs="Arial"/>
          <w:lang w:eastAsia="en-US"/>
        </w:rPr>
      </w:pPr>
      <w:r w:rsidRPr="00794BDF">
        <w:rPr>
          <w:rFonts w:ascii="Arial" w:eastAsiaTheme="minorHAnsi" w:hAnsi="Arial" w:cs="Arial"/>
          <w:lang w:eastAsia="en-US"/>
        </w:rPr>
        <w:t xml:space="preserve">GEP of highly purified bone marrow plasma cells was performed in 374 </w:t>
      </w:r>
      <w:bookmarkStart w:id="2" w:name="OLE_LINK6"/>
      <w:r w:rsidRPr="00794BDF">
        <w:rPr>
          <w:rFonts w:ascii="Arial" w:eastAsiaTheme="minorHAnsi" w:hAnsi="Arial" w:cs="Arial"/>
          <w:lang w:eastAsia="en-US"/>
        </w:rPr>
        <w:t>patients with MGUS</w:t>
      </w:r>
      <w:bookmarkEnd w:id="2"/>
      <w:r w:rsidRPr="00794BDF">
        <w:rPr>
          <w:rFonts w:ascii="Arial" w:eastAsiaTheme="minorHAnsi" w:hAnsi="Arial" w:cs="Arial"/>
          <w:lang w:eastAsia="en-US"/>
        </w:rPr>
        <w:t>. Of these, 174 patients had 593 GEPs on serial bone marrow samples. The institutional review board of the University of Arkansas for Medical Sciences approved the research studies, and all subjects provided written informed consent for sample procurement in accordance with the Declaration of Helsinki.</w:t>
      </w:r>
    </w:p>
    <w:p w14:paraId="3B5177C6" w14:textId="398DA9EE" w:rsidR="009B32E4" w:rsidRPr="00794BDF" w:rsidRDefault="009B32E4" w:rsidP="009B32E4">
      <w:pPr>
        <w:spacing w:line="480" w:lineRule="auto"/>
        <w:rPr>
          <w:rFonts w:ascii="Arial" w:eastAsiaTheme="minorHAnsi" w:hAnsi="Arial" w:cs="Arial"/>
          <w:lang w:eastAsia="en-US"/>
        </w:rPr>
      </w:pPr>
      <w:bookmarkStart w:id="3" w:name="_Hlk138239716"/>
      <w:r w:rsidRPr="00794BDF">
        <w:rPr>
          <w:rFonts w:ascii="Arial" w:eastAsiaTheme="minorHAnsi" w:hAnsi="Arial" w:cs="Arial"/>
          <w:lang w:eastAsia="en-US"/>
        </w:rPr>
        <w:t xml:space="preserve">Patients had detailed clinical testing during follow-up, including hemogram and serum electrophoresis to quantify serum-M concentration, serum lactate dehydrogenase, serum β-2-microglobulin (B2M), and serum free light chain (SFLC). </w:t>
      </w:r>
    </w:p>
    <w:bookmarkEnd w:id="3"/>
    <w:p w14:paraId="3E65C7DA" w14:textId="20CA2CC2" w:rsidR="000E3A44" w:rsidRPr="00794BDF" w:rsidRDefault="00D86070" w:rsidP="009B32E4">
      <w:pPr>
        <w:spacing w:line="480" w:lineRule="auto"/>
        <w:rPr>
          <w:rFonts w:ascii="Arial" w:eastAsiaTheme="minorHAnsi" w:hAnsi="Arial" w:cs="Arial"/>
          <w:lang w:eastAsia="en-US"/>
        </w:rPr>
      </w:pPr>
      <w:r w:rsidRPr="00794BDF">
        <w:rPr>
          <w:rFonts w:ascii="Arial" w:eastAsiaTheme="minorHAnsi" w:hAnsi="Arial" w:cs="Arial"/>
          <w:lang w:eastAsia="en-US"/>
        </w:rPr>
        <w:t>Of the 374 MGUS cases, 15 lacked FLC ratio data, 19 M-protein information, and 3 lacked both the FLC ratio data and M-protein information.</w:t>
      </w:r>
    </w:p>
    <w:p w14:paraId="3F6CC9FC" w14:textId="1E83B93B" w:rsidR="009B32E4" w:rsidRPr="00794BDF" w:rsidRDefault="009B32E4" w:rsidP="009B32E4">
      <w:pPr>
        <w:spacing w:line="480" w:lineRule="auto"/>
        <w:rPr>
          <w:rFonts w:ascii="Arial" w:eastAsia="Times New Roman" w:hAnsi="Arial" w:cs="Arial"/>
          <w:b/>
          <w:bCs/>
          <w:lang w:eastAsia="en-US"/>
        </w:rPr>
      </w:pPr>
      <w:r w:rsidRPr="00794BDF">
        <w:rPr>
          <w:rFonts w:ascii="Arial" w:eastAsia="Times New Roman" w:hAnsi="Arial" w:cs="Arial"/>
          <w:b/>
          <w:bCs/>
          <w:lang w:eastAsia="en-US"/>
        </w:rPr>
        <w:t>Plasma Cell Selection and Microarray Processing</w:t>
      </w:r>
    </w:p>
    <w:p w14:paraId="4B8DA755" w14:textId="022BB263" w:rsidR="009B32E4" w:rsidRPr="00794BDF" w:rsidRDefault="00317700" w:rsidP="009B32E4">
      <w:pPr>
        <w:spacing w:line="480" w:lineRule="auto"/>
        <w:rPr>
          <w:rFonts w:ascii="Arial" w:eastAsiaTheme="minorHAnsi" w:hAnsi="Arial" w:cs="Arial"/>
          <w:color w:val="FF0000"/>
          <w:lang w:eastAsia="en-US"/>
        </w:rPr>
      </w:pPr>
      <w:bookmarkStart w:id="4" w:name="_Hlk109731690"/>
      <w:r w:rsidRPr="00794BDF">
        <w:rPr>
          <w:rFonts w:ascii="Arial" w:eastAsiaTheme="minorHAnsi" w:hAnsi="Arial" w:cs="Arial"/>
          <w:lang w:eastAsia="en-US"/>
        </w:rPr>
        <w:t>Plasma cells were enriched by anti-CD138 immunomagnetic bead selection of mononuclear cell fractions of bone marrow aspirates in a central laboratory. All samples applied to microarray contained more than 85% plasma cells as determined by 2-color flow cytometry (CD38</w:t>
      </w:r>
      <w:r w:rsidRPr="00794BDF">
        <w:rPr>
          <w:rFonts w:ascii="Arial" w:eastAsiaTheme="minorHAnsi" w:hAnsi="Arial" w:cs="Arial"/>
          <w:vertAlign w:val="superscript"/>
          <w:lang w:eastAsia="en-US"/>
        </w:rPr>
        <w:t>+</w:t>
      </w:r>
      <w:r w:rsidRPr="00794BDF">
        <w:rPr>
          <w:rFonts w:ascii="Arial" w:eastAsiaTheme="minorHAnsi" w:hAnsi="Arial" w:cs="Arial"/>
          <w:lang w:eastAsia="en-US"/>
        </w:rPr>
        <w:t xml:space="preserve"> and CD45</w:t>
      </w:r>
      <w:r w:rsidRPr="00794BDF">
        <w:rPr>
          <w:rFonts w:ascii="Arial" w:eastAsiaTheme="minorHAnsi" w:hAnsi="Arial" w:cs="Arial"/>
          <w:vertAlign w:val="superscript"/>
          <w:lang w:eastAsia="en-US"/>
        </w:rPr>
        <w:t>–/dim</w:t>
      </w:r>
      <w:r w:rsidRPr="00794BDF">
        <w:rPr>
          <w:rFonts w:ascii="Arial" w:eastAsiaTheme="minorHAnsi" w:hAnsi="Arial" w:cs="Arial"/>
          <w:lang w:eastAsia="en-US"/>
        </w:rPr>
        <w:t xml:space="preserve">) performed after selection. Total RNA was isolated with RNeasy Mini Kit (Qiagen, Valencia, CA). Double-stranded cDNA is synthesized from 6 ug total RNA. An in vitro transcription (IVT) reaction is then done to produce biotin-labeled </w:t>
      </w:r>
      <w:proofErr w:type="spellStart"/>
      <w:r w:rsidRPr="00794BDF">
        <w:rPr>
          <w:rFonts w:ascii="Arial" w:eastAsiaTheme="minorHAnsi" w:hAnsi="Arial" w:cs="Arial"/>
          <w:lang w:eastAsia="en-US"/>
        </w:rPr>
        <w:t>cRNA</w:t>
      </w:r>
      <w:proofErr w:type="spellEnd"/>
      <w:r w:rsidRPr="00794BDF">
        <w:rPr>
          <w:rFonts w:ascii="Arial" w:eastAsiaTheme="minorHAnsi" w:hAnsi="Arial" w:cs="Arial"/>
          <w:lang w:eastAsia="en-US"/>
        </w:rPr>
        <w:t xml:space="preserve"> from the cDNA. The </w:t>
      </w:r>
      <w:proofErr w:type="spellStart"/>
      <w:r w:rsidRPr="00794BDF">
        <w:rPr>
          <w:rFonts w:ascii="Arial" w:eastAsiaTheme="minorHAnsi" w:hAnsi="Arial" w:cs="Arial"/>
          <w:lang w:eastAsia="en-US"/>
        </w:rPr>
        <w:t>cRNA</w:t>
      </w:r>
      <w:proofErr w:type="spellEnd"/>
      <w:r w:rsidRPr="00794BDF">
        <w:rPr>
          <w:rFonts w:ascii="Arial" w:eastAsiaTheme="minorHAnsi" w:hAnsi="Arial" w:cs="Arial"/>
          <w:lang w:eastAsia="en-US"/>
        </w:rPr>
        <w:t xml:space="preserve"> is fragmented before hybridization. The protocol according to the manufacturer's instructions Expression Analysis Technical Manual, 2001, Affymetrix. Samples were hybridized to an Affymetrix U133Plus2.0 microarray according to the manufacturer's recommendations and then read on a </w:t>
      </w:r>
      <w:proofErr w:type="spellStart"/>
      <w:r w:rsidRPr="00794BDF">
        <w:rPr>
          <w:rFonts w:ascii="Arial" w:eastAsiaTheme="minorHAnsi" w:hAnsi="Arial" w:cs="Arial"/>
          <w:lang w:eastAsia="en-US"/>
        </w:rPr>
        <w:t>GeneChip</w:t>
      </w:r>
      <w:proofErr w:type="spellEnd"/>
      <w:r w:rsidRPr="00794BDF">
        <w:rPr>
          <w:rFonts w:ascii="Arial" w:eastAsiaTheme="minorHAnsi" w:hAnsi="Arial" w:cs="Arial"/>
          <w:lang w:eastAsia="en-US"/>
        </w:rPr>
        <w:t xml:space="preserve"> Scanner 3000 (</w:t>
      </w:r>
      <w:proofErr w:type="spellStart"/>
      <w:r w:rsidRPr="00794BDF">
        <w:rPr>
          <w:rFonts w:ascii="Arial" w:eastAsiaTheme="minorHAnsi" w:hAnsi="Arial" w:cs="Arial"/>
          <w:lang w:eastAsia="en-US"/>
        </w:rPr>
        <w:t>Affymetrix</w:t>
      </w:r>
      <w:proofErr w:type="spellEnd"/>
      <w:r w:rsidRPr="00794BDF">
        <w:rPr>
          <w:rFonts w:ascii="Arial" w:eastAsiaTheme="minorHAnsi" w:hAnsi="Arial" w:cs="Arial"/>
          <w:lang w:eastAsia="en-US"/>
        </w:rPr>
        <w:t xml:space="preserve">). Arrays were scaled to an average intensity </w:t>
      </w:r>
      <w:r w:rsidRPr="00794BDF">
        <w:rPr>
          <w:rFonts w:ascii="Arial" w:eastAsiaTheme="minorHAnsi" w:hAnsi="Arial" w:cs="Arial"/>
          <w:lang w:eastAsia="en-US"/>
        </w:rPr>
        <w:lastRenderedPageBreak/>
        <w:t>of 1500 and analyzed independently. The data were processed using Microarray Suite version 5.0 (MAS 5.0) with Affymetrix default analysis settings and global scaling as the normalization method</w:t>
      </w:r>
      <w:r w:rsidR="009B32E4" w:rsidRPr="00794BDF">
        <w:rPr>
          <w:rFonts w:ascii="Arial" w:eastAsiaTheme="minorHAnsi" w:hAnsi="Arial" w:cs="Arial"/>
          <w:lang w:eastAsia="en-US"/>
        </w:rPr>
        <w:t xml:space="preserve"> </w:t>
      </w:r>
      <w:r w:rsidR="009B32E4" w:rsidRPr="00794BDF">
        <w:rPr>
          <w:rFonts w:ascii="Arial" w:eastAsiaTheme="minorHAnsi" w:hAnsi="Arial" w:cs="Arial"/>
          <w:lang w:eastAsia="en-US"/>
        </w:rPr>
        <w:fldChar w:fldCharType="begin">
          <w:fldData xml:space="preserve">PEVuZE5vdGU+PENpdGU+PEF1dGhvcj5aaGFuPC9BdXRob3I+PFllYXI+MjAwNjwvWWVhcj48UmVj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</w:fldData>
        </w:fldChar>
      </w:r>
      <w:r w:rsidR="009B32E4" w:rsidRPr="00794BDF">
        <w:rPr>
          <w:rFonts w:ascii="Arial" w:eastAsiaTheme="minorHAnsi" w:hAnsi="Arial" w:cs="Arial"/>
          <w:lang w:eastAsia="en-US"/>
        </w:rPr>
        <w:instrText xml:space="preserve"> ADDIN EN.CITE </w:instrText>
      </w:r>
      <w:r w:rsidR="009B32E4" w:rsidRPr="00794BDF">
        <w:rPr>
          <w:rFonts w:ascii="Arial" w:eastAsiaTheme="minorHAnsi" w:hAnsi="Arial" w:cs="Arial"/>
          <w:lang w:eastAsia="en-US"/>
        </w:rPr>
        <w:fldChar w:fldCharType="begin">
          <w:fldData xml:space="preserve">PEVuZE5vdGU+PENpdGU+PEF1dGhvcj5aaGFuPC9BdXRob3I+PFllYXI+MjAwNjwvWWVhcj48UmVj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</w:fldData>
        </w:fldChar>
      </w:r>
      <w:r w:rsidR="009B32E4" w:rsidRPr="00794BDF">
        <w:rPr>
          <w:rFonts w:ascii="Arial" w:eastAsiaTheme="minorHAnsi" w:hAnsi="Arial" w:cs="Arial"/>
          <w:lang w:eastAsia="en-US"/>
        </w:rPr>
        <w:instrText xml:space="preserve"> ADDIN EN.CITE.DATA </w:instrText>
      </w:r>
      <w:r w:rsidR="009B32E4" w:rsidRPr="00794BDF">
        <w:rPr>
          <w:rFonts w:ascii="Arial" w:eastAsiaTheme="minorHAnsi" w:hAnsi="Arial" w:cs="Arial"/>
          <w:lang w:eastAsia="en-US"/>
        </w:rPr>
      </w:r>
      <w:r w:rsidR="009B32E4" w:rsidRPr="00794BDF">
        <w:rPr>
          <w:rFonts w:ascii="Arial" w:eastAsiaTheme="minorHAnsi" w:hAnsi="Arial" w:cs="Arial"/>
          <w:lang w:eastAsia="en-US"/>
        </w:rPr>
        <w:fldChar w:fldCharType="end"/>
      </w:r>
      <w:r w:rsidR="009B32E4" w:rsidRPr="00794BDF">
        <w:rPr>
          <w:rFonts w:ascii="Arial" w:eastAsiaTheme="minorHAnsi" w:hAnsi="Arial" w:cs="Arial"/>
          <w:lang w:eastAsia="en-US"/>
        </w:rPr>
      </w:r>
      <w:r w:rsidR="009B32E4" w:rsidRPr="00794BDF">
        <w:rPr>
          <w:rFonts w:ascii="Arial" w:eastAsiaTheme="minorHAnsi" w:hAnsi="Arial" w:cs="Arial"/>
          <w:lang w:eastAsia="en-US"/>
        </w:rPr>
        <w:fldChar w:fldCharType="separate"/>
      </w:r>
      <w:r w:rsidR="009B32E4" w:rsidRPr="00794BDF">
        <w:rPr>
          <w:rFonts w:ascii="Arial" w:eastAsiaTheme="minorHAnsi" w:hAnsi="Arial" w:cs="Arial"/>
          <w:noProof/>
          <w:lang w:eastAsia="en-US"/>
        </w:rPr>
        <w:t>[1]</w:t>
      </w:r>
      <w:r w:rsidR="009B32E4" w:rsidRPr="00794BDF">
        <w:rPr>
          <w:rFonts w:ascii="Arial" w:eastAsiaTheme="minorHAnsi" w:hAnsi="Arial" w:cs="Arial"/>
          <w:lang w:eastAsia="en-US"/>
        </w:rPr>
        <w:fldChar w:fldCharType="end"/>
      </w:r>
      <w:r w:rsidR="009B32E4" w:rsidRPr="00794BDF">
        <w:rPr>
          <w:rFonts w:ascii="Arial" w:eastAsiaTheme="minorHAnsi" w:hAnsi="Arial" w:cs="Arial"/>
          <w:lang w:eastAsia="en-US"/>
        </w:rPr>
        <w:t>. The average purity of plasma cells was 89.6% with a range from 85% to 100%</w:t>
      </w:r>
      <w:bookmarkStart w:id="5" w:name="_Hlk109731759"/>
      <w:bookmarkEnd w:id="4"/>
      <w:r w:rsidR="009B32E4" w:rsidRPr="00794BDF">
        <w:rPr>
          <w:rFonts w:ascii="Arial" w:eastAsiaTheme="minorHAnsi" w:hAnsi="Arial" w:cs="Arial"/>
          <w:lang w:eastAsia="en-US"/>
        </w:rPr>
        <w:t xml:space="preserve">. </w:t>
      </w:r>
    </w:p>
    <w:p w14:paraId="1459391B" w14:textId="77777777" w:rsidR="009B32E4" w:rsidRPr="00794BDF" w:rsidRDefault="009B32E4" w:rsidP="009B32E4">
      <w:pPr>
        <w:spacing w:line="480" w:lineRule="auto"/>
        <w:rPr>
          <w:rFonts w:ascii="Arial" w:eastAsia="Times New Roman" w:hAnsi="Arial" w:cs="Arial"/>
          <w:b/>
          <w:bCs/>
          <w:color w:val="000000" w:themeColor="text1"/>
          <w:lang w:eastAsia="en-US"/>
        </w:rPr>
      </w:pPr>
      <w:bookmarkStart w:id="6" w:name="_Hlk138236778"/>
      <w:bookmarkEnd w:id="5"/>
      <w:r w:rsidRPr="00794BDF">
        <w:rPr>
          <w:rFonts w:ascii="Arial" w:eastAsia="Times New Roman" w:hAnsi="Arial" w:cs="Arial"/>
          <w:b/>
          <w:bCs/>
          <w:color w:val="000000" w:themeColor="text1"/>
          <w:lang w:eastAsia="en-US"/>
        </w:rPr>
        <w:t xml:space="preserve">Development of </w:t>
      </w:r>
      <w:bookmarkStart w:id="7" w:name="OLE_LINK9"/>
      <w:r w:rsidRPr="00794BDF">
        <w:rPr>
          <w:rFonts w:ascii="Arial" w:eastAsia="Times New Roman" w:hAnsi="Arial" w:cs="Arial"/>
          <w:b/>
          <w:bCs/>
          <w:color w:val="000000" w:themeColor="text1"/>
          <w:lang w:eastAsia="en-US"/>
        </w:rPr>
        <w:t>the Prediction Gene Signature</w:t>
      </w:r>
      <w:bookmarkEnd w:id="7"/>
    </w:p>
    <w:bookmarkEnd w:id="6"/>
    <w:p w14:paraId="4B09EB0F" w14:textId="77777777" w:rsidR="00986650" w:rsidRPr="00794BDF" w:rsidRDefault="00986650" w:rsidP="00986650">
      <w:pPr>
        <w:spacing w:line="480" w:lineRule="auto"/>
        <w:rPr>
          <w:rFonts w:ascii="Arial" w:eastAsiaTheme="minorHAnsi" w:hAnsi="Arial" w:cs="Arial"/>
          <w:lang w:eastAsia="en-US"/>
        </w:rPr>
      </w:pPr>
      <w:r w:rsidRPr="00794BDF">
        <w:rPr>
          <w:rFonts w:ascii="Arial" w:eastAsiaTheme="minorHAnsi" w:hAnsi="Arial" w:cs="Arial"/>
          <w:lang w:eastAsia="en-US"/>
        </w:rPr>
        <w:t>GEPs were analyzed from 374 MGUS patients, 334 who remained stable, and 40 who progressed to MM, within 10 years of an MGUS diagnosis. Each Affymetrix signal was log2 transformed to correct the right skewness of its empirical distribution. Next, we used a 3-fold cross-validation method by randomly splitting patients into three datasets (folds): the first dataset included 124 individuals (111 stable and 13 progression); the second dataset included 125 individuals (111 stable and 14 progression); the third dataset including 125 individuals (112 stable and 13 progression). Each time one fold was called the test dataset while the remaining two folds were called the training dataset.</w:t>
      </w:r>
    </w:p>
    <w:p w14:paraId="568B7CC8" w14:textId="77777777" w:rsidR="00986650" w:rsidRPr="00794BDF" w:rsidRDefault="00986650" w:rsidP="00986650">
      <w:pPr>
        <w:spacing w:line="480" w:lineRule="auto"/>
        <w:rPr>
          <w:rFonts w:ascii="Arial" w:eastAsiaTheme="minorHAnsi" w:hAnsi="Arial" w:cs="Arial"/>
          <w:lang w:eastAsia="en-US"/>
        </w:rPr>
      </w:pPr>
      <w:r w:rsidRPr="00794BDF">
        <w:rPr>
          <w:rFonts w:ascii="Arial" w:eastAsiaTheme="minorHAnsi" w:hAnsi="Arial" w:cs="Arial"/>
          <w:lang w:eastAsia="en-US"/>
        </w:rPr>
        <w:t xml:space="preserve">Each time one fold was called the test dataset while the remaining two folds were called the training dataset. In the training datasets, we compared the each of gene probes between the MGUS progression group and the stable group using t-tests and correcting for multiple comparisons through a </w:t>
      </w:r>
      <w:proofErr w:type="spellStart"/>
      <w:r w:rsidRPr="00794BDF">
        <w:rPr>
          <w:rFonts w:ascii="Arial" w:eastAsiaTheme="minorHAnsi" w:hAnsi="Arial" w:cs="Arial"/>
          <w:lang w:eastAsia="en-US"/>
        </w:rPr>
        <w:t>Benjamini</w:t>
      </w:r>
      <w:proofErr w:type="spellEnd"/>
      <w:r w:rsidRPr="00794BDF">
        <w:rPr>
          <w:rFonts w:ascii="Arial" w:eastAsiaTheme="minorHAnsi" w:hAnsi="Arial" w:cs="Arial"/>
          <w:lang w:eastAsia="en-US"/>
        </w:rPr>
        <w:t xml:space="preserve">-Hochberg procedure. Then in the test datasets, we also compared the each of gene probes between the MGUS progression group and the stable group using t-tests and correcting for multiple comparisons through a </w:t>
      </w:r>
      <w:proofErr w:type="spellStart"/>
      <w:r w:rsidRPr="00794BDF">
        <w:rPr>
          <w:rFonts w:ascii="Arial" w:eastAsiaTheme="minorHAnsi" w:hAnsi="Arial" w:cs="Arial"/>
          <w:lang w:eastAsia="en-US"/>
        </w:rPr>
        <w:t>Benjamini</w:t>
      </w:r>
      <w:proofErr w:type="spellEnd"/>
      <w:r w:rsidRPr="00794BDF">
        <w:rPr>
          <w:rFonts w:ascii="Arial" w:eastAsiaTheme="minorHAnsi" w:hAnsi="Arial" w:cs="Arial"/>
          <w:lang w:eastAsia="en-US"/>
        </w:rPr>
        <w:t xml:space="preserve">-Hochberg procedure. The gene probes with q-values &lt; 0.05 in both training datasets and test datasets were treated as candidates. In the first validation process, there are 61 gene probes in both training datasets and test datasets; in the second validation process there are 46 gene probes in both; in the third validation process, there are 49 gene probes in both. In these GEPs, there are 36 gene probes that appeared in each validation and maximized the concordance between risk score and MGUS progression. </w:t>
      </w:r>
    </w:p>
    <w:p w14:paraId="5FC13136" w14:textId="77777777" w:rsidR="00986650" w:rsidRPr="00794BDF" w:rsidRDefault="00986650" w:rsidP="00986650">
      <w:pPr>
        <w:spacing w:line="480" w:lineRule="auto"/>
        <w:rPr>
          <w:rFonts w:ascii="Arial" w:eastAsiaTheme="minorHAnsi" w:hAnsi="Arial" w:cs="Arial"/>
          <w:lang w:eastAsia="en-US"/>
        </w:rPr>
      </w:pPr>
      <w:r w:rsidRPr="00794BDF">
        <w:rPr>
          <w:rFonts w:ascii="Arial" w:eastAsiaTheme="minorHAnsi" w:hAnsi="Arial" w:cs="Arial"/>
          <w:lang w:eastAsia="en-US"/>
        </w:rPr>
        <w:lastRenderedPageBreak/>
        <w:t>Furthermore, we conducted ROC analysis for the 36 genes identified and examined their performance in each validation. We found that these 36 genes consistently demonstrated stable ROC values across all validation iterations. The stable ROC values indicate that the predictive ability of these 36 genes remained consistent and reliable throughout the validation process. This finding provides further evidence of the robustness and stability of these genes in relation to the studied phenomenon.</w:t>
      </w:r>
      <w:r w:rsidR="009B32E4" w:rsidRPr="00794BDF">
        <w:rPr>
          <w:rFonts w:ascii="Arial" w:eastAsiaTheme="minorHAnsi" w:hAnsi="Arial" w:cs="Arial"/>
          <w:lang w:eastAsia="en-US"/>
        </w:rPr>
        <w:t xml:space="preserve"> </w:t>
      </w:r>
    </w:p>
    <w:p w14:paraId="3DF07063" w14:textId="4ADB726A" w:rsidR="009B32E4" w:rsidRPr="00794BDF" w:rsidRDefault="009B32E4" w:rsidP="00986650">
      <w:pPr>
        <w:spacing w:line="480" w:lineRule="auto"/>
        <w:rPr>
          <w:rFonts w:ascii="Arial" w:eastAsiaTheme="minorHAnsi" w:hAnsi="Arial" w:cs="Arial"/>
          <w:lang w:eastAsia="en-US"/>
        </w:rPr>
      </w:pPr>
      <w:r w:rsidRPr="00794BDF">
        <w:rPr>
          <w:rFonts w:ascii="Arial" w:eastAsiaTheme="minorHAnsi" w:hAnsi="Arial" w:cs="Arial"/>
          <w:lang w:eastAsia="en-US"/>
        </w:rPr>
        <w:t xml:space="preserve">A gene expression score was developed by subtracting the mean of down-regulated GEPs from the mean of up-regulated GEPs. The score’s performance in discriminating MGUS progression within 10 years was assessed the </w:t>
      </w:r>
      <w:r w:rsidR="00986650" w:rsidRPr="00794BDF">
        <w:rPr>
          <w:rFonts w:ascii="Arial" w:eastAsiaTheme="minorHAnsi" w:hAnsi="Arial" w:cs="Arial"/>
          <w:lang w:eastAsia="en-US"/>
        </w:rPr>
        <w:t xml:space="preserve">Harrell's </w:t>
      </w:r>
      <w:r w:rsidRPr="00794BDF">
        <w:rPr>
          <w:rFonts w:ascii="Arial" w:eastAsiaTheme="minorHAnsi" w:hAnsi="Arial" w:cs="Arial"/>
          <w:lang w:eastAsia="en-US"/>
        </w:rPr>
        <w:t xml:space="preserve">concordance statistic (C-statistic) in the test dataset. Using an optimal cutoff that maximizes the average sensitivity and specificity on the ROC curve, we were able to further assess the accuracy of prediction sensitivity, specificity, positive predictive value (PPV) and negative predictive value (NPV) under the cutoff. </w:t>
      </w:r>
    </w:p>
    <w:p w14:paraId="4C146CEA" w14:textId="77777777" w:rsidR="009B32E4" w:rsidRPr="00794BDF" w:rsidRDefault="009B32E4" w:rsidP="009B32E4">
      <w:pPr>
        <w:spacing w:line="480" w:lineRule="auto"/>
        <w:rPr>
          <w:rFonts w:ascii="Arial" w:eastAsia="Times New Roman" w:hAnsi="Arial" w:cs="Arial"/>
          <w:b/>
          <w:bCs/>
          <w:color w:val="000000" w:themeColor="text1"/>
          <w:lang w:eastAsia="en-US"/>
        </w:rPr>
      </w:pPr>
      <w:r w:rsidRPr="00794BDF">
        <w:rPr>
          <w:rFonts w:ascii="Arial" w:eastAsia="Times New Roman" w:hAnsi="Arial" w:cs="Arial"/>
          <w:b/>
          <w:bCs/>
          <w:color w:val="000000" w:themeColor="text1"/>
          <w:lang w:eastAsia="en-US"/>
        </w:rPr>
        <w:t>Statistical Analysis</w:t>
      </w:r>
    </w:p>
    <w:p w14:paraId="46A33CE0" w14:textId="77777777" w:rsidR="009B32E4" w:rsidRPr="00794BDF" w:rsidRDefault="009B32E4" w:rsidP="009B32E4">
      <w:pPr>
        <w:spacing w:line="480" w:lineRule="auto"/>
        <w:rPr>
          <w:rFonts w:ascii="Arial" w:eastAsiaTheme="minorHAnsi" w:hAnsi="Arial" w:cs="Arial"/>
          <w:lang w:eastAsia="en-US"/>
        </w:rPr>
      </w:pPr>
      <w:bookmarkStart w:id="8" w:name="_Hlk118644815"/>
      <w:r w:rsidRPr="00794BDF">
        <w:rPr>
          <w:rFonts w:ascii="Arial" w:eastAsiaTheme="minorHAnsi" w:hAnsi="Arial" w:cs="Arial"/>
          <w:lang w:eastAsia="en-US"/>
        </w:rPr>
        <w:t xml:space="preserve">Baseline characteristics of patients with MGUS were compared using Chi-square tests, or Fisher’s exact tests when fewer than 3 patients were observed in a categorical group. </w:t>
      </w:r>
      <w:bookmarkEnd w:id="8"/>
      <w:r w:rsidRPr="00794BDF">
        <w:rPr>
          <w:rFonts w:ascii="Arial" w:eastAsiaTheme="minorHAnsi" w:hAnsi="Arial" w:cs="Arial"/>
          <w:lang w:eastAsia="en-US"/>
        </w:rPr>
        <w:t>Time to MGUS progression was assessed by Kaplan-Meier curves and compared between groups using log-rank tests. Univariate Cox proportional hazard (CPH) models were used to assess individual risk factors in predicting the risk of MM progression. Significant risk factors from univariate CPH models were further assessed for their performance in predicting MGUS progression using a multivariate CPH model. An optimal cut-point for risk of progression by the gene score was obtained from X-tile bioinformatics software (Yale University, version 3.6.1). Statistical tests were performed with the software package SPSS 12.0 (SPSS, Chicago, IL).</w:t>
      </w:r>
    </w:p>
    <w:p w14:paraId="7F633E7B" w14:textId="0EF4765E" w:rsidR="009B32E4" w:rsidRPr="00794BDF" w:rsidRDefault="009B32E4" w:rsidP="009B32E4">
      <w:pPr>
        <w:spacing w:line="480" w:lineRule="auto"/>
        <w:rPr>
          <w:rFonts w:ascii="Arial" w:eastAsia="Times New Roman" w:hAnsi="Arial" w:cs="Arial"/>
          <w:b/>
          <w:bCs/>
          <w:color w:val="000000" w:themeColor="text1"/>
          <w:lang w:eastAsia="en-US"/>
        </w:rPr>
      </w:pPr>
      <w:r w:rsidRPr="00794BDF">
        <w:rPr>
          <w:rFonts w:ascii="Arial" w:eastAsia="Times New Roman" w:hAnsi="Arial" w:cs="Arial"/>
          <w:b/>
          <w:bCs/>
          <w:color w:val="000000" w:themeColor="text1"/>
          <w:lang w:eastAsia="en-US"/>
        </w:rPr>
        <w:t>Data Availability</w:t>
      </w:r>
    </w:p>
    <w:p w14:paraId="1D60DE1C" w14:textId="4FA8E733" w:rsidR="009B32E4" w:rsidRPr="00794BDF" w:rsidRDefault="009B32E4" w:rsidP="009B32E4">
      <w:pPr>
        <w:spacing w:line="480" w:lineRule="auto"/>
        <w:rPr>
          <w:rFonts w:ascii="Arial" w:eastAsiaTheme="minorHAnsi" w:hAnsi="Arial" w:cs="Arial"/>
          <w:lang w:eastAsia="en-US"/>
        </w:rPr>
      </w:pPr>
      <w:r w:rsidRPr="00794BDF">
        <w:rPr>
          <w:rFonts w:ascii="Arial" w:eastAsiaTheme="minorHAnsi" w:hAnsi="Arial" w:cs="Arial"/>
          <w:lang w:eastAsia="en-US"/>
        </w:rPr>
        <w:lastRenderedPageBreak/>
        <w:t xml:space="preserve">The authors are committed to the open sharing of data. </w:t>
      </w:r>
      <w:r w:rsidR="00710DAF" w:rsidRPr="00794BDF">
        <w:rPr>
          <w:rFonts w:ascii="Arial" w:eastAsiaTheme="minorHAnsi" w:hAnsi="Arial" w:cs="Arial"/>
          <w:lang w:eastAsia="en-US"/>
        </w:rPr>
        <w:t xml:space="preserve">Raw data files for gene expression profiling data have been deposited in the Gene Expression Omnibus (https://www.ncbi.nlm.nih.gov/geo/, accession # is </w:t>
      </w:r>
      <w:r w:rsidR="00AA0CFC" w:rsidRPr="00794BDF">
        <w:rPr>
          <w:rFonts w:ascii="Arial" w:eastAsiaTheme="minorHAnsi" w:hAnsi="Arial" w:cs="Arial"/>
          <w:lang w:eastAsia="en-US"/>
        </w:rPr>
        <w:t>GSE235356</w:t>
      </w:r>
      <w:r w:rsidR="00710DAF" w:rsidRPr="00794BDF">
        <w:rPr>
          <w:rFonts w:ascii="Arial" w:eastAsiaTheme="minorHAnsi" w:hAnsi="Arial" w:cs="Arial"/>
          <w:lang w:eastAsia="en-US"/>
        </w:rPr>
        <w:t xml:space="preserve">) or contact corresponding authors. </w:t>
      </w:r>
    </w:p>
    <w:p w14:paraId="45CF99A0" w14:textId="77777777" w:rsidR="00D71032" w:rsidRPr="00794BDF" w:rsidRDefault="00D71032" w:rsidP="00D71032">
      <w:pPr>
        <w:pStyle w:val="HTMLPreformatted"/>
        <w:spacing w:line="480" w:lineRule="auto"/>
        <w:rPr>
          <w:rFonts w:ascii="Arial" w:eastAsia="Times New Roman" w:hAnsi="Arial" w:cs="Arial"/>
          <w:b/>
          <w:bCs/>
          <w:sz w:val="22"/>
          <w:szCs w:val="22"/>
          <w:lang w:eastAsia="en-US"/>
        </w:rPr>
      </w:pPr>
      <w:r w:rsidRPr="00794BDF">
        <w:rPr>
          <w:rFonts w:ascii="Arial" w:eastAsia="Times New Roman" w:hAnsi="Arial" w:cs="Arial"/>
          <w:b/>
          <w:bCs/>
          <w:sz w:val="22"/>
          <w:szCs w:val="22"/>
          <w:lang w:eastAsia="en-US"/>
        </w:rPr>
        <w:t>Code Sharing and Example Demonstration</w:t>
      </w:r>
    </w:p>
    <w:p w14:paraId="48456105" w14:textId="1AD3D6AF" w:rsidR="00D71032" w:rsidRPr="00794BDF" w:rsidRDefault="00D71032" w:rsidP="00D71032">
      <w:pPr>
        <w:pStyle w:val="HTMLPreformatted"/>
        <w:spacing w:line="480" w:lineRule="auto"/>
        <w:rPr>
          <w:rFonts w:ascii="Arial" w:hAnsi="Arial" w:cs="Arial"/>
          <w:sz w:val="22"/>
          <w:szCs w:val="22"/>
          <w:bdr w:val="none" w:sz="0" w:space="0" w:color="auto" w:frame="1"/>
        </w:rPr>
      </w:pPr>
      <w:r w:rsidRPr="00794BDF">
        <w:rPr>
          <w:rFonts w:ascii="Arial" w:hAnsi="Arial" w:cs="Arial"/>
          <w:sz w:val="22"/>
          <w:szCs w:val="22"/>
          <w:bdr w:val="none" w:sz="0" w:space="0" w:color="auto" w:frame="1"/>
        </w:rPr>
        <w:t xml:space="preserve">To facilitate the use of </w:t>
      </w:r>
      <w:r w:rsidR="0021283D" w:rsidRPr="00794BDF">
        <w:rPr>
          <w:rFonts w:ascii="Arial" w:hAnsi="Arial" w:cs="Arial"/>
          <w:sz w:val="22"/>
          <w:szCs w:val="22"/>
          <w:bdr w:val="none" w:sz="0" w:space="0" w:color="auto" w:frame="1"/>
        </w:rPr>
        <w:t xml:space="preserve">the </w:t>
      </w:r>
      <w:r w:rsidRPr="00794BDF">
        <w:rPr>
          <w:rFonts w:ascii="Arial" w:hAnsi="Arial" w:cs="Arial"/>
          <w:sz w:val="22"/>
          <w:szCs w:val="22"/>
          <w:bdr w:val="none" w:sz="0" w:space="0" w:color="auto" w:frame="1"/>
        </w:rPr>
        <w:t xml:space="preserve">GS36 score for evaluating risk stratification in MGUS, we will present an example code for processing a sample file. We will use the R programming language for the analysis. </w:t>
      </w:r>
    </w:p>
    <w:p w14:paraId="28A7EB1D" w14:textId="77777777" w:rsidR="00D71032" w:rsidRPr="00794BDF" w:rsidRDefault="00D71032" w:rsidP="00D71032">
      <w:pPr>
        <w:pStyle w:val="HTMLPreformatted"/>
        <w:spacing w:line="480" w:lineRule="auto"/>
        <w:rPr>
          <w:rFonts w:ascii="Arial" w:hAnsi="Arial" w:cs="Arial"/>
          <w:sz w:val="22"/>
          <w:szCs w:val="22"/>
          <w:bdr w:val="none" w:sz="0" w:space="0" w:color="auto" w:frame="1"/>
        </w:rPr>
      </w:pPr>
      <w:r w:rsidRPr="00794BDF">
        <w:rPr>
          <w:rFonts w:ascii="Arial" w:hAnsi="Arial" w:cs="Arial"/>
          <w:sz w:val="22"/>
          <w:szCs w:val="22"/>
          <w:bdr w:val="none" w:sz="0" w:space="0" w:color="auto" w:frame="1"/>
        </w:rPr>
        <w:t>For CSV file:</w:t>
      </w:r>
    </w:p>
    <w:p w14:paraId="4CF37966"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Install and load the '</w:t>
      </w:r>
      <w:proofErr w:type="spellStart"/>
      <w:r w:rsidRPr="00794BDF">
        <w:rPr>
          <w:rFonts w:ascii="Arial" w:hAnsi="Arial" w:cs="Arial"/>
          <w:bdr w:val="none" w:sz="0" w:space="0" w:color="auto" w:frame="1"/>
        </w:rPr>
        <w:t>readr</w:t>
      </w:r>
      <w:proofErr w:type="spellEnd"/>
      <w:r w:rsidRPr="00794BDF">
        <w:rPr>
          <w:rFonts w:ascii="Arial" w:hAnsi="Arial" w:cs="Arial"/>
          <w:bdr w:val="none" w:sz="0" w:space="0" w:color="auto" w:frame="1"/>
        </w:rPr>
        <w:t>' package for CSV file import</w:t>
      </w:r>
    </w:p>
    <w:p w14:paraId="33850AEF" w14:textId="77777777" w:rsidR="00D71032" w:rsidRPr="00794BDF" w:rsidRDefault="00D71032" w:rsidP="00D71032">
      <w:pPr>
        <w:pStyle w:val="HTMLPreformatted"/>
        <w:rPr>
          <w:rFonts w:ascii="Arial" w:hAnsi="Arial" w:cs="Arial"/>
          <w:bdr w:val="none" w:sz="0" w:space="0" w:color="auto" w:frame="1"/>
        </w:rPr>
      </w:pPr>
      <w:proofErr w:type="spellStart"/>
      <w:proofErr w:type="gramStart"/>
      <w:r w:rsidRPr="00794BDF">
        <w:rPr>
          <w:rFonts w:ascii="Arial" w:hAnsi="Arial" w:cs="Arial"/>
          <w:bdr w:val="none" w:sz="0" w:space="0" w:color="auto" w:frame="1"/>
        </w:rPr>
        <w:t>install.packages</w:t>
      </w:r>
      <w:proofErr w:type="spellEnd"/>
      <w:r w:rsidRPr="00794BDF">
        <w:rPr>
          <w:rFonts w:ascii="Arial" w:hAnsi="Arial" w:cs="Arial"/>
          <w:bdr w:val="none" w:sz="0" w:space="0" w:color="auto" w:frame="1"/>
        </w:rPr>
        <w:t>(</w:t>
      </w:r>
      <w:proofErr w:type="gramEnd"/>
      <w:r w:rsidRPr="00794BDF">
        <w:rPr>
          <w:rFonts w:ascii="Arial" w:hAnsi="Arial" w:cs="Arial"/>
          <w:bdr w:val="none" w:sz="0" w:space="0" w:color="auto" w:frame="1"/>
        </w:rPr>
        <w:t>"</w:t>
      </w:r>
      <w:proofErr w:type="spellStart"/>
      <w:r w:rsidRPr="00794BDF">
        <w:rPr>
          <w:rFonts w:ascii="Arial" w:hAnsi="Arial" w:cs="Arial"/>
          <w:bdr w:val="none" w:sz="0" w:space="0" w:color="auto" w:frame="1"/>
        </w:rPr>
        <w:t>readr</w:t>
      </w:r>
      <w:proofErr w:type="spellEnd"/>
      <w:r w:rsidRPr="00794BDF">
        <w:rPr>
          <w:rFonts w:ascii="Arial" w:hAnsi="Arial" w:cs="Arial"/>
          <w:bdr w:val="none" w:sz="0" w:space="0" w:color="auto" w:frame="1"/>
        </w:rPr>
        <w:t>")</w:t>
      </w:r>
    </w:p>
    <w:p w14:paraId="1201343D"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library(</w:t>
      </w:r>
      <w:proofErr w:type="spellStart"/>
      <w:r w:rsidRPr="00794BDF">
        <w:rPr>
          <w:rFonts w:ascii="Arial" w:hAnsi="Arial" w:cs="Arial"/>
          <w:bdr w:val="none" w:sz="0" w:space="0" w:color="auto" w:frame="1"/>
        </w:rPr>
        <w:t>readr</w:t>
      </w:r>
      <w:proofErr w:type="spellEnd"/>
      <w:r w:rsidRPr="00794BDF">
        <w:rPr>
          <w:rFonts w:ascii="Arial" w:hAnsi="Arial" w:cs="Arial"/>
          <w:bdr w:val="none" w:sz="0" w:space="0" w:color="auto" w:frame="1"/>
        </w:rPr>
        <w:t>)</w:t>
      </w:r>
    </w:p>
    <w:p w14:paraId="533DD197"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Specify the file path of the CSV file containing gene expression data</w:t>
      </w:r>
    </w:p>
    <w:p w14:paraId="059E6800"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csv_file</w:t>
      </w:r>
      <w:proofErr w:type="spellEnd"/>
      <w:r w:rsidRPr="00794BDF">
        <w:rPr>
          <w:rFonts w:ascii="Arial" w:hAnsi="Arial" w:cs="Arial"/>
          <w:bdr w:val="none" w:sz="0" w:space="0" w:color="auto" w:frame="1"/>
        </w:rPr>
        <w:t xml:space="preserve"> &lt;- "path/to/your/file.csv"</w:t>
      </w:r>
    </w:p>
    <w:p w14:paraId="290868D2"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Read the CSV file and store the data in a data frame</w:t>
      </w:r>
    </w:p>
    <w:p w14:paraId="42AA0932"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gene_expression_data</w:t>
      </w:r>
      <w:proofErr w:type="spell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read_csv</w:t>
      </w:r>
      <w:proofErr w:type="spellEnd"/>
      <w:r w:rsidRPr="00794BDF">
        <w:rPr>
          <w:rFonts w:ascii="Arial" w:hAnsi="Arial" w:cs="Arial"/>
          <w:bdr w:val="none" w:sz="0" w:space="0" w:color="auto" w:frame="1"/>
        </w:rPr>
        <w:t>(</w:t>
      </w:r>
      <w:proofErr w:type="spellStart"/>
      <w:r w:rsidRPr="00794BDF">
        <w:rPr>
          <w:rFonts w:ascii="Arial" w:hAnsi="Arial" w:cs="Arial"/>
          <w:bdr w:val="none" w:sz="0" w:space="0" w:color="auto" w:frame="1"/>
        </w:rPr>
        <w:t>csv_file</w:t>
      </w:r>
      <w:proofErr w:type="spellEnd"/>
      <w:r w:rsidRPr="00794BDF">
        <w:rPr>
          <w:rFonts w:ascii="Arial" w:hAnsi="Arial" w:cs="Arial"/>
          <w:bdr w:val="none" w:sz="0" w:space="0" w:color="auto" w:frame="1"/>
        </w:rPr>
        <w:t>)</w:t>
      </w:r>
    </w:p>
    <w:p w14:paraId="102F92E4" w14:textId="77777777" w:rsidR="00D71032" w:rsidRPr="00794BDF" w:rsidRDefault="00D71032" w:rsidP="00D71032">
      <w:pPr>
        <w:pStyle w:val="HTMLPreformatted"/>
        <w:spacing w:before="240" w:line="480" w:lineRule="auto"/>
        <w:rPr>
          <w:rFonts w:ascii="Arial" w:hAnsi="Arial" w:cs="Arial"/>
          <w:sz w:val="22"/>
          <w:szCs w:val="22"/>
          <w:bdr w:val="none" w:sz="0" w:space="0" w:color="auto" w:frame="1"/>
        </w:rPr>
      </w:pPr>
      <w:r w:rsidRPr="00794BDF">
        <w:rPr>
          <w:rFonts w:ascii="Arial" w:hAnsi="Arial" w:cs="Arial"/>
          <w:sz w:val="22"/>
          <w:szCs w:val="22"/>
          <w:bdr w:val="none" w:sz="0" w:space="0" w:color="auto" w:frame="1"/>
        </w:rPr>
        <w:t>For CEL files (using the '</w:t>
      </w:r>
      <w:proofErr w:type="spellStart"/>
      <w:r w:rsidRPr="00794BDF">
        <w:rPr>
          <w:rFonts w:ascii="Arial" w:hAnsi="Arial" w:cs="Arial"/>
          <w:sz w:val="22"/>
          <w:szCs w:val="22"/>
          <w:bdr w:val="none" w:sz="0" w:space="0" w:color="auto" w:frame="1"/>
        </w:rPr>
        <w:t>affy</w:t>
      </w:r>
      <w:proofErr w:type="spellEnd"/>
      <w:r w:rsidRPr="00794BDF">
        <w:rPr>
          <w:rFonts w:ascii="Arial" w:hAnsi="Arial" w:cs="Arial"/>
          <w:sz w:val="22"/>
          <w:szCs w:val="22"/>
          <w:bdr w:val="none" w:sz="0" w:space="0" w:color="auto" w:frame="1"/>
        </w:rPr>
        <w:t>' package):</w:t>
      </w:r>
    </w:p>
    <w:p w14:paraId="0C22F27F"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Install and load the '</w:t>
      </w:r>
      <w:proofErr w:type="spellStart"/>
      <w:r w:rsidRPr="00794BDF">
        <w:rPr>
          <w:rFonts w:ascii="Arial" w:hAnsi="Arial" w:cs="Arial"/>
          <w:bdr w:val="none" w:sz="0" w:space="0" w:color="auto" w:frame="1"/>
        </w:rPr>
        <w:t>affy</w:t>
      </w:r>
      <w:proofErr w:type="spellEnd"/>
      <w:r w:rsidRPr="00794BDF">
        <w:rPr>
          <w:rFonts w:ascii="Arial" w:hAnsi="Arial" w:cs="Arial"/>
          <w:bdr w:val="none" w:sz="0" w:space="0" w:color="auto" w:frame="1"/>
        </w:rPr>
        <w:t>' package for CEL file import</w:t>
      </w:r>
    </w:p>
    <w:p w14:paraId="33BDB86C" w14:textId="77777777" w:rsidR="00D71032" w:rsidRPr="00794BDF" w:rsidRDefault="00D71032" w:rsidP="00D71032">
      <w:pPr>
        <w:pStyle w:val="HTMLPreformatted"/>
        <w:rPr>
          <w:rFonts w:ascii="Arial" w:hAnsi="Arial" w:cs="Arial"/>
          <w:bdr w:val="none" w:sz="0" w:space="0" w:color="auto" w:frame="1"/>
        </w:rPr>
      </w:pPr>
      <w:proofErr w:type="spellStart"/>
      <w:proofErr w:type="gramStart"/>
      <w:r w:rsidRPr="00794BDF">
        <w:rPr>
          <w:rFonts w:ascii="Arial" w:hAnsi="Arial" w:cs="Arial"/>
          <w:bdr w:val="none" w:sz="0" w:space="0" w:color="auto" w:frame="1"/>
        </w:rPr>
        <w:t>install.packages</w:t>
      </w:r>
      <w:proofErr w:type="spellEnd"/>
      <w:r w:rsidRPr="00794BDF">
        <w:rPr>
          <w:rFonts w:ascii="Arial" w:hAnsi="Arial" w:cs="Arial"/>
          <w:bdr w:val="none" w:sz="0" w:space="0" w:color="auto" w:frame="1"/>
        </w:rPr>
        <w:t>(</w:t>
      </w:r>
      <w:proofErr w:type="gramEnd"/>
      <w:r w:rsidRPr="00794BDF">
        <w:rPr>
          <w:rFonts w:ascii="Arial" w:hAnsi="Arial" w:cs="Arial"/>
          <w:bdr w:val="none" w:sz="0" w:space="0" w:color="auto" w:frame="1"/>
        </w:rPr>
        <w:t>"</w:t>
      </w:r>
      <w:proofErr w:type="spellStart"/>
      <w:r w:rsidRPr="00794BDF">
        <w:rPr>
          <w:rFonts w:ascii="Arial" w:hAnsi="Arial" w:cs="Arial"/>
          <w:bdr w:val="none" w:sz="0" w:space="0" w:color="auto" w:frame="1"/>
        </w:rPr>
        <w:t>affy</w:t>
      </w:r>
      <w:proofErr w:type="spellEnd"/>
      <w:r w:rsidRPr="00794BDF">
        <w:rPr>
          <w:rFonts w:ascii="Arial" w:hAnsi="Arial" w:cs="Arial"/>
          <w:bdr w:val="none" w:sz="0" w:space="0" w:color="auto" w:frame="1"/>
        </w:rPr>
        <w:t>")</w:t>
      </w:r>
    </w:p>
    <w:p w14:paraId="1058C940"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library(</w:t>
      </w:r>
      <w:proofErr w:type="spellStart"/>
      <w:r w:rsidRPr="00794BDF">
        <w:rPr>
          <w:rFonts w:ascii="Arial" w:hAnsi="Arial" w:cs="Arial"/>
          <w:bdr w:val="none" w:sz="0" w:space="0" w:color="auto" w:frame="1"/>
        </w:rPr>
        <w:t>affy</w:t>
      </w:r>
      <w:proofErr w:type="spellEnd"/>
      <w:r w:rsidRPr="00794BDF">
        <w:rPr>
          <w:rFonts w:ascii="Arial" w:hAnsi="Arial" w:cs="Arial"/>
          <w:bdr w:val="none" w:sz="0" w:space="0" w:color="auto" w:frame="1"/>
        </w:rPr>
        <w:t>)</w:t>
      </w:r>
    </w:p>
    <w:p w14:paraId="392D50B3"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Specify the directory path containing the CEL files</w:t>
      </w:r>
    </w:p>
    <w:p w14:paraId="1A7DC290"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cel_directory</w:t>
      </w:r>
      <w:proofErr w:type="spellEnd"/>
      <w:r w:rsidRPr="00794BDF">
        <w:rPr>
          <w:rFonts w:ascii="Arial" w:hAnsi="Arial" w:cs="Arial"/>
          <w:bdr w:val="none" w:sz="0" w:space="0" w:color="auto" w:frame="1"/>
        </w:rPr>
        <w:t xml:space="preserve"> &lt;- "path/to/your/CEL/directory"</w:t>
      </w:r>
    </w:p>
    <w:p w14:paraId="659DD87D"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Read the CEL files and preprocess the data using the robust multi-array average (RMA) method</w:t>
      </w:r>
    </w:p>
    <w:p w14:paraId="73872CDE"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cel_data</w:t>
      </w:r>
      <w:proofErr w:type="spellEnd"/>
      <w:r w:rsidRPr="00794BDF">
        <w:rPr>
          <w:rFonts w:ascii="Arial" w:hAnsi="Arial" w:cs="Arial"/>
          <w:bdr w:val="none" w:sz="0" w:space="0" w:color="auto" w:frame="1"/>
        </w:rPr>
        <w:t xml:space="preserve"> &lt;- </w:t>
      </w:r>
      <w:proofErr w:type="spellStart"/>
      <w:proofErr w:type="gramStart"/>
      <w:r w:rsidRPr="00794BDF">
        <w:rPr>
          <w:rFonts w:ascii="Arial" w:hAnsi="Arial" w:cs="Arial"/>
          <w:bdr w:val="none" w:sz="0" w:space="0" w:color="auto" w:frame="1"/>
        </w:rPr>
        <w:t>ReadAffy</w:t>
      </w:r>
      <w:proofErr w:type="spellEnd"/>
      <w:r w:rsidRPr="00794BDF">
        <w:rPr>
          <w:rFonts w:ascii="Arial" w:hAnsi="Arial" w:cs="Arial"/>
          <w:bdr w:val="none" w:sz="0" w:space="0" w:color="auto" w:frame="1"/>
        </w:rPr>
        <w:t>(</w:t>
      </w:r>
      <w:proofErr w:type="spellStart"/>
      <w:proofErr w:type="gramEnd"/>
      <w:r w:rsidRPr="00794BDF">
        <w:rPr>
          <w:rFonts w:ascii="Arial" w:hAnsi="Arial" w:cs="Arial"/>
          <w:bdr w:val="none" w:sz="0" w:space="0" w:color="auto" w:frame="1"/>
        </w:rPr>
        <w:t>celfile.path</w:t>
      </w:r>
      <w:proofErr w:type="spellEnd"/>
      <w:r w:rsidRPr="00794BDF">
        <w:rPr>
          <w:rFonts w:ascii="Arial" w:hAnsi="Arial" w:cs="Arial"/>
          <w:bdr w:val="none" w:sz="0" w:space="0" w:color="auto" w:frame="1"/>
        </w:rPr>
        <w:t xml:space="preserve"> = </w:t>
      </w:r>
      <w:proofErr w:type="spellStart"/>
      <w:r w:rsidRPr="00794BDF">
        <w:rPr>
          <w:rFonts w:ascii="Arial" w:hAnsi="Arial" w:cs="Arial"/>
          <w:bdr w:val="none" w:sz="0" w:space="0" w:color="auto" w:frame="1"/>
        </w:rPr>
        <w:t>cel_directory</w:t>
      </w:r>
      <w:proofErr w:type="spellEnd"/>
      <w:r w:rsidRPr="00794BDF">
        <w:rPr>
          <w:rFonts w:ascii="Arial" w:hAnsi="Arial" w:cs="Arial"/>
          <w:bdr w:val="none" w:sz="0" w:space="0" w:color="auto" w:frame="1"/>
        </w:rPr>
        <w:t>)</w:t>
      </w:r>
    </w:p>
    <w:p w14:paraId="23D12B59"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gene_expression_data</w:t>
      </w:r>
      <w:proofErr w:type="spell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exprs</w:t>
      </w:r>
      <w:proofErr w:type="spellEnd"/>
      <w:r w:rsidRPr="00794BDF">
        <w:rPr>
          <w:rFonts w:ascii="Arial" w:hAnsi="Arial" w:cs="Arial"/>
          <w:bdr w:val="none" w:sz="0" w:space="0" w:color="auto" w:frame="1"/>
        </w:rPr>
        <w:t>(</w:t>
      </w:r>
      <w:proofErr w:type="spellStart"/>
      <w:r w:rsidRPr="00794BDF">
        <w:rPr>
          <w:rFonts w:ascii="Arial" w:hAnsi="Arial" w:cs="Arial"/>
          <w:bdr w:val="none" w:sz="0" w:space="0" w:color="auto" w:frame="1"/>
        </w:rPr>
        <w:t>rma</w:t>
      </w:r>
      <w:proofErr w:type="spellEnd"/>
      <w:r w:rsidRPr="00794BDF">
        <w:rPr>
          <w:rFonts w:ascii="Arial" w:hAnsi="Arial" w:cs="Arial"/>
          <w:bdr w:val="none" w:sz="0" w:space="0" w:color="auto" w:frame="1"/>
        </w:rPr>
        <w:t>(</w:t>
      </w:r>
      <w:proofErr w:type="spellStart"/>
      <w:r w:rsidRPr="00794BDF">
        <w:rPr>
          <w:rFonts w:ascii="Arial" w:hAnsi="Arial" w:cs="Arial"/>
          <w:bdr w:val="none" w:sz="0" w:space="0" w:color="auto" w:frame="1"/>
        </w:rPr>
        <w:t>cel_data</w:t>
      </w:r>
      <w:proofErr w:type="spellEnd"/>
      <w:r w:rsidRPr="00794BDF">
        <w:rPr>
          <w:rFonts w:ascii="Arial" w:hAnsi="Arial" w:cs="Arial"/>
          <w:bdr w:val="none" w:sz="0" w:space="0" w:color="auto" w:frame="1"/>
        </w:rPr>
        <w:t>))</w:t>
      </w:r>
    </w:p>
    <w:p w14:paraId="2A78C1FC"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Perform a log2 transformation on the gene expression data</w:t>
      </w:r>
    </w:p>
    <w:p w14:paraId="75B6B36A"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gene_expression_data</w:t>
      </w:r>
      <w:proofErr w:type="spellEnd"/>
      <w:r w:rsidRPr="00794BDF">
        <w:rPr>
          <w:rFonts w:ascii="Arial" w:hAnsi="Arial" w:cs="Arial"/>
          <w:bdr w:val="none" w:sz="0" w:space="0" w:color="auto" w:frame="1"/>
        </w:rPr>
        <w:t xml:space="preserve"> &lt;- log2(</w:t>
      </w:r>
      <w:proofErr w:type="spellStart"/>
      <w:r w:rsidRPr="00794BDF">
        <w:rPr>
          <w:rFonts w:ascii="Arial" w:hAnsi="Arial" w:cs="Arial"/>
          <w:bdr w:val="none" w:sz="0" w:space="0" w:color="auto" w:frame="1"/>
        </w:rPr>
        <w:t>gene_expression_data</w:t>
      </w:r>
      <w:proofErr w:type="spellEnd"/>
      <w:r w:rsidRPr="00794BDF">
        <w:rPr>
          <w:rFonts w:ascii="Arial" w:hAnsi="Arial" w:cs="Arial"/>
          <w:bdr w:val="none" w:sz="0" w:space="0" w:color="auto" w:frame="1"/>
        </w:rPr>
        <w:t>)</w:t>
      </w:r>
    </w:p>
    <w:p w14:paraId="7D0DE5A9"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xml:space="preserve"># Specify the </w:t>
      </w:r>
      <w:proofErr w:type="spellStart"/>
      <w:r w:rsidRPr="00794BDF">
        <w:rPr>
          <w:rFonts w:ascii="Arial" w:hAnsi="Arial" w:cs="Arial"/>
          <w:bdr w:val="none" w:sz="0" w:space="0" w:color="auto" w:frame="1"/>
        </w:rPr>
        <w:t>Probeset</w:t>
      </w:r>
      <w:proofErr w:type="spellEnd"/>
      <w:r w:rsidRPr="00794BDF">
        <w:rPr>
          <w:rFonts w:ascii="Arial" w:hAnsi="Arial" w:cs="Arial"/>
          <w:bdr w:val="none" w:sz="0" w:space="0" w:color="auto" w:frame="1"/>
        </w:rPr>
        <w:t xml:space="preserve"> names of interest</w:t>
      </w:r>
    </w:p>
    <w:p w14:paraId="193083DA"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probeset_names</w:t>
      </w:r>
      <w:proofErr w:type="spellEnd"/>
      <w:r w:rsidRPr="00794BDF">
        <w:rPr>
          <w:rFonts w:ascii="Arial" w:hAnsi="Arial" w:cs="Arial"/>
          <w:bdr w:val="none" w:sz="0" w:space="0" w:color="auto" w:frame="1"/>
        </w:rPr>
        <w:t xml:space="preserve"> &lt;- c("234764_x_at", "211835_at", "1561937_x_at", "202716_at", "235305_s_at", "210538_s_at", "237461_at", "41660_at", "217892_s_at", "225822_at", "57532_at", "213489_at", "222641_s_at", "205159_at", "209012_at", "220522_at", "223709_s_at", "36129_at", "201848_s_at", "212704_at", "213622_at", "232531_at", "205666_at", "210789_x_at", "217809_at", "225291_at", "226488_at", "231131_at", "238662_at", "226098_at", "202387_at", "228217_s_at", "225553_at", "223995_at", "202613_at", "203200_s_at")</w:t>
      </w:r>
    </w:p>
    <w:p w14:paraId="753EF49E"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xml:space="preserve"># Extract the expression data for the specified </w:t>
      </w:r>
      <w:proofErr w:type="spellStart"/>
      <w:r w:rsidRPr="00794BDF">
        <w:rPr>
          <w:rFonts w:ascii="Arial" w:hAnsi="Arial" w:cs="Arial"/>
          <w:bdr w:val="none" w:sz="0" w:space="0" w:color="auto" w:frame="1"/>
        </w:rPr>
        <w:t>Probesets</w:t>
      </w:r>
      <w:proofErr w:type="spellEnd"/>
    </w:p>
    <w:p w14:paraId="0B3B5AF8"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probeset_expression_data</w:t>
      </w:r>
      <w:proofErr w:type="spell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gene_expression_</w:t>
      </w:r>
      <w:proofErr w:type="gramStart"/>
      <w:r w:rsidRPr="00794BDF">
        <w:rPr>
          <w:rFonts w:ascii="Arial" w:hAnsi="Arial" w:cs="Arial"/>
          <w:bdr w:val="none" w:sz="0" w:space="0" w:color="auto" w:frame="1"/>
        </w:rPr>
        <w:t>data</w:t>
      </w:r>
      <w:proofErr w:type="spellEnd"/>
      <w:r w:rsidRPr="00794BDF">
        <w:rPr>
          <w:rFonts w:ascii="Arial" w:hAnsi="Arial" w:cs="Arial"/>
          <w:bdr w:val="none" w:sz="0" w:space="0" w:color="auto" w:frame="1"/>
        </w:rPr>
        <w:t>[</w:t>
      </w:r>
      <w:proofErr w:type="gramEnd"/>
      <w:r w:rsidRPr="00794BDF">
        <w:rPr>
          <w:rFonts w:ascii="Arial" w:hAnsi="Arial" w:cs="Arial"/>
          <w:bdr w:val="none" w:sz="0" w:space="0" w:color="auto" w:frame="1"/>
        </w:rPr>
        <w:t xml:space="preserve">, </w:t>
      </w:r>
      <w:proofErr w:type="spellStart"/>
      <w:r w:rsidRPr="00794BDF">
        <w:rPr>
          <w:rFonts w:ascii="Arial" w:hAnsi="Arial" w:cs="Arial"/>
          <w:bdr w:val="none" w:sz="0" w:space="0" w:color="auto" w:frame="1"/>
        </w:rPr>
        <w:t>probeset_names</w:t>
      </w:r>
      <w:proofErr w:type="spellEnd"/>
      <w:r w:rsidRPr="00794BDF">
        <w:rPr>
          <w:rFonts w:ascii="Arial" w:hAnsi="Arial" w:cs="Arial"/>
          <w:bdr w:val="none" w:sz="0" w:space="0" w:color="auto" w:frame="1"/>
        </w:rPr>
        <w:t>]</w:t>
      </w:r>
    </w:p>
    <w:p w14:paraId="7F1DA273"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xml:space="preserve"># Calculate the average expression for Down-Regulated </w:t>
      </w:r>
      <w:proofErr w:type="spellStart"/>
      <w:r w:rsidRPr="00794BDF">
        <w:rPr>
          <w:rFonts w:ascii="Arial" w:hAnsi="Arial" w:cs="Arial"/>
          <w:bdr w:val="none" w:sz="0" w:space="0" w:color="auto" w:frame="1"/>
        </w:rPr>
        <w:t>Probesets</w:t>
      </w:r>
      <w:proofErr w:type="spellEnd"/>
    </w:p>
    <w:p w14:paraId="2EEE051F"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down_regulated</w:t>
      </w:r>
      <w:proofErr w:type="spell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rowMeans</w:t>
      </w:r>
      <w:proofErr w:type="spellEnd"/>
      <w:r w:rsidRPr="00794BDF">
        <w:rPr>
          <w:rFonts w:ascii="Arial" w:hAnsi="Arial" w:cs="Arial"/>
          <w:bdr w:val="none" w:sz="0" w:space="0" w:color="auto" w:frame="1"/>
        </w:rPr>
        <w:t>(</w:t>
      </w:r>
      <w:proofErr w:type="spellStart"/>
      <w:r w:rsidRPr="00794BDF">
        <w:rPr>
          <w:rFonts w:ascii="Arial" w:hAnsi="Arial" w:cs="Arial"/>
          <w:bdr w:val="none" w:sz="0" w:space="0" w:color="auto" w:frame="1"/>
        </w:rPr>
        <w:t>probeset_expression_data</w:t>
      </w:r>
      <w:proofErr w:type="spellEnd"/>
      <w:r w:rsidRPr="00794BDF">
        <w:rPr>
          <w:rFonts w:ascii="Arial" w:hAnsi="Arial" w:cs="Arial"/>
          <w:bdr w:val="none" w:sz="0" w:space="0" w:color="auto" w:frame="1"/>
        </w:rPr>
        <w:t>[, c("234764_x_at", "211835_at", "1561937_x_at", "202716_at", "235305_s_at", "210538_s_at", "237461_at", "41660_at", "217892_s_at", "225822_at", "57532_at", "213489_at", "222641_s_at", "205159_at", "209012_at", "220522_at", "223709_s_at", "36129_at", "201848_s_at", "212704_at", "213622_at", "232531_at", "205666_at", "210789_x_at")])</w:t>
      </w:r>
    </w:p>
    <w:p w14:paraId="7C474D1A"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lastRenderedPageBreak/>
        <w:t xml:space="preserve"># Calculate the average expression for Up-Regulated </w:t>
      </w:r>
      <w:proofErr w:type="spellStart"/>
      <w:r w:rsidRPr="00794BDF">
        <w:rPr>
          <w:rFonts w:ascii="Arial" w:hAnsi="Arial" w:cs="Arial"/>
          <w:bdr w:val="none" w:sz="0" w:space="0" w:color="auto" w:frame="1"/>
        </w:rPr>
        <w:t>Probesets</w:t>
      </w:r>
      <w:proofErr w:type="spellEnd"/>
    </w:p>
    <w:p w14:paraId="5665CC4A"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up_regulated</w:t>
      </w:r>
      <w:proofErr w:type="spell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rowMeans</w:t>
      </w:r>
      <w:proofErr w:type="spellEnd"/>
      <w:r w:rsidRPr="00794BDF">
        <w:rPr>
          <w:rFonts w:ascii="Arial" w:hAnsi="Arial" w:cs="Arial"/>
          <w:bdr w:val="none" w:sz="0" w:space="0" w:color="auto" w:frame="1"/>
        </w:rPr>
        <w:t>(</w:t>
      </w:r>
      <w:proofErr w:type="spellStart"/>
      <w:r w:rsidRPr="00794BDF">
        <w:rPr>
          <w:rFonts w:ascii="Arial" w:hAnsi="Arial" w:cs="Arial"/>
          <w:bdr w:val="none" w:sz="0" w:space="0" w:color="auto" w:frame="1"/>
        </w:rPr>
        <w:t>probeset_expression_data</w:t>
      </w:r>
      <w:proofErr w:type="spellEnd"/>
      <w:r w:rsidRPr="00794BDF">
        <w:rPr>
          <w:rFonts w:ascii="Arial" w:hAnsi="Arial" w:cs="Arial"/>
          <w:bdr w:val="none" w:sz="0" w:space="0" w:color="auto" w:frame="1"/>
        </w:rPr>
        <w:t>[, c("217809_at", "225291_at", "226488_at", "231131_at", "238662_at", "226098_at", "202387_at", "228217_s_at", "225553_at", "223995_at", "202613_at", "203200_s_at")])</w:t>
      </w:r>
    </w:p>
    <w:p w14:paraId="1A5B17D0"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Subtract Down-Regulated from Up-Regulated</w:t>
      </w:r>
    </w:p>
    <w:p w14:paraId="33AD53BD" w14:textId="77777777" w:rsidR="00D71032" w:rsidRPr="00794BDF" w:rsidRDefault="00D71032" w:rsidP="00D71032">
      <w:pPr>
        <w:pStyle w:val="HTMLPreformatted"/>
        <w:rPr>
          <w:rFonts w:ascii="Arial" w:hAnsi="Arial" w:cs="Arial"/>
          <w:bdr w:val="none" w:sz="0" w:space="0" w:color="auto" w:frame="1"/>
        </w:rPr>
      </w:pPr>
      <w:proofErr w:type="gramStart"/>
      <w:r w:rsidRPr="00794BDF">
        <w:rPr>
          <w:rFonts w:ascii="Arial" w:hAnsi="Arial" w:cs="Arial"/>
          <w:bdr w:val="none" w:sz="0" w:space="0" w:color="auto" w:frame="1"/>
        </w:rPr>
        <w:t>result</w:t>
      </w:r>
      <w:proofErr w:type="gramEnd"/>
      <w:r w:rsidRPr="00794BDF">
        <w:rPr>
          <w:rFonts w:ascii="Arial" w:hAnsi="Arial" w:cs="Arial"/>
          <w:bdr w:val="none" w:sz="0" w:space="0" w:color="auto" w:frame="1"/>
        </w:rPr>
        <w:t xml:space="preserve"> &lt;- </w:t>
      </w:r>
      <w:proofErr w:type="spellStart"/>
      <w:r w:rsidRPr="00794BDF">
        <w:rPr>
          <w:rFonts w:ascii="Arial" w:hAnsi="Arial" w:cs="Arial"/>
          <w:bdr w:val="none" w:sz="0" w:space="0" w:color="auto" w:frame="1"/>
        </w:rPr>
        <w:t>up_regulated</w:t>
      </w:r>
      <w:proofErr w:type="spellEnd"/>
      <w:r w:rsidRPr="00794BDF">
        <w:rPr>
          <w:rFonts w:ascii="Arial" w:hAnsi="Arial" w:cs="Arial"/>
          <w:bdr w:val="none" w:sz="0" w:space="0" w:color="auto" w:frame="1"/>
        </w:rPr>
        <w:t xml:space="preserve"> - </w:t>
      </w:r>
      <w:proofErr w:type="spellStart"/>
      <w:r w:rsidRPr="00794BDF">
        <w:rPr>
          <w:rFonts w:ascii="Arial" w:hAnsi="Arial" w:cs="Arial"/>
          <w:bdr w:val="none" w:sz="0" w:space="0" w:color="auto" w:frame="1"/>
        </w:rPr>
        <w:t>down_regulated</w:t>
      </w:r>
      <w:proofErr w:type="spellEnd"/>
    </w:p>
    <w:p w14:paraId="1B7256F3" w14:textId="77777777" w:rsidR="00D71032" w:rsidRPr="00794BDF" w:rsidRDefault="00D71032" w:rsidP="00D71032">
      <w:pPr>
        <w:pStyle w:val="HTMLPreformatted"/>
        <w:rPr>
          <w:rFonts w:ascii="Arial" w:hAnsi="Arial" w:cs="Arial"/>
          <w:bdr w:val="none" w:sz="0" w:space="0" w:color="auto" w:frame="1"/>
        </w:rPr>
      </w:pPr>
      <w:r w:rsidRPr="00794BDF">
        <w:rPr>
          <w:rFonts w:ascii="Arial" w:hAnsi="Arial" w:cs="Arial"/>
          <w:bdr w:val="none" w:sz="0" w:space="0" w:color="auto" w:frame="1"/>
        </w:rPr>
        <w:t># Classify samples as high-risk or low-risk MGUS based on the result</w:t>
      </w:r>
    </w:p>
    <w:p w14:paraId="0C7E613A" w14:textId="77777777" w:rsidR="00D71032" w:rsidRPr="00794BDF" w:rsidRDefault="00D71032" w:rsidP="00D71032">
      <w:pPr>
        <w:pStyle w:val="HTMLPreformatted"/>
        <w:rPr>
          <w:rFonts w:ascii="Arial" w:hAnsi="Arial" w:cs="Arial"/>
          <w:bdr w:val="none" w:sz="0" w:space="0" w:color="auto" w:frame="1"/>
        </w:rPr>
      </w:pPr>
      <w:proofErr w:type="spellStart"/>
      <w:r w:rsidRPr="00794BDF">
        <w:rPr>
          <w:rFonts w:ascii="Arial" w:hAnsi="Arial" w:cs="Arial"/>
          <w:bdr w:val="none" w:sz="0" w:space="0" w:color="auto" w:frame="1"/>
        </w:rPr>
        <w:t>mgus_classification</w:t>
      </w:r>
      <w:proofErr w:type="spellEnd"/>
      <w:r w:rsidRPr="00794BDF">
        <w:rPr>
          <w:rFonts w:ascii="Arial" w:hAnsi="Arial" w:cs="Arial"/>
          <w:bdr w:val="none" w:sz="0" w:space="0" w:color="auto" w:frame="1"/>
        </w:rPr>
        <w:t xml:space="preserve"> &lt;- </w:t>
      </w:r>
      <w:proofErr w:type="spellStart"/>
      <w:proofErr w:type="gramStart"/>
      <w:r w:rsidRPr="00794BDF">
        <w:rPr>
          <w:rFonts w:ascii="Arial" w:hAnsi="Arial" w:cs="Arial"/>
          <w:bdr w:val="none" w:sz="0" w:space="0" w:color="auto" w:frame="1"/>
        </w:rPr>
        <w:t>ifelse</w:t>
      </w:r>
      <w:proofErr w:type="spellEnd"/>
      <w:r w:rsidRPr="00794BDF">
        <w:rPr>
          <w:rFonts w:ascii="Arial" w:hAnsi="Arial" w:cs="Arial"/>
          <w:bdr w:val="none" w:sz="0" w:space="0" w:color="auto" w:frame="1"/>
        </w:rPr>
        <w:t>(</w:t>
      </w:r>
      <w:proofErr w:type="gramEnd"/>
      <w:r w:rsidRPr="00794BDF">
        <w:rPr>
          <w:rFonts w:ascii="Arial" w:hAnsi="Arial" w:cs="Arial"/>
          <w:bdr w:val="none" w:sz="0" w:space="0" w:color="auto" w:frame="1"/>
        </w:rPr>
        <w:t>result &gt; 0.7, "High Risk MGUS", "Low Risk MGUS")</w:t>
      </w:r>
    </w:p>
    <w:p w14:paraId="6764A358" w14:textId="77777777" w:rsidR="00D71032" w:rsidRPr="00794BDF" w:rsidRDefault="00D71032" w:rsidP="00D71032">
      <w:pPr>
        <w:pStyle w:val="HTMLPreformatted"/>
        <w:spacing w:before="240" w:line="480" w:lineRule="auto"/>
        <w:rPr>
          <w:rFonts w:ascii="Arial" w:hAnsi="Arial" w:cs="Arial"/>
          <w:sz w:val="22"/>
          <w:szCs w:val="22"/>
          <w:bdr w:val="none" w:sz="0" w:space="0" w:color="auto" w:frame="1"/>
        </w:rPr>
      </w:pPr>
      <w:r w:rsidRPr="00794BDF">
        <w:rPr>
          <w:rFonts w:ascii="Arial" w:hAnsi="Arial" w:cs="Arial"/>
          <w:sz w:val="22"/>
          <w:szCs w:val="22"/>
          <w:bdr w:val="none" w:sz="0" w:space="0" w:color="auto" w:frame="1"/>
        </w:rPr>
        <w:t>Please note that the code provided above is a general example and should be adjusted to suit your specific dataset and analysis requirements.</w:t>
      </w:r>
    </w:p>
    <w:p w14:paraId="13915ABB" w14:textId="77777777" w:rsidR="009B32E4" w:rsidRPr="00794BDF" w:rsidRDefault="009B32E4"/>
    <w:p w14:paraId="787EEC4D" w14:textId="77777777" w:rsidR="009B32E4" w:rsidRPr="00794BDF" w:rsidRDefault="009B32E4" w:rsidP="009B32E4">
      <w:pPr>
        <w:pStyle w:val="EndNoteBibliography"/>
        <w:ind w:left="720" w:hanging="720"/>
      </w:pPr>
      <w:r w:rsidRPr="00794BDF">
        <w:fldChar w:fldCharType="begin"/>
      </w:r>
      <w:r w:rsidRPr="00794BDF">
        <w:instrText xml:space="preserve"> ADDIN EN.REFLIST </w:instrText>
      </w:r>
      <w:r w:rsidRPr="00794BDF">
        <w:fldChar w:fldCharType="separate"/>
      </w:r>
      <w:r w:rsidRPr="00794BDF">
        <w:t>1.</w:t>
      </w:r>
      <w:r w:rsidRPr="00794BDF">
        <w:tab/>
        <w:t>Zhan F, Huang Y, Colla S, Stewart JP, Hanamura I, Gupta S, et al. The molecular classification of multiple myeloma. Blood. 2006;108(6):2020-8; doi: 10.1182/blood-2005-11-013458.</w:t>
      </w:r>
    </w:p>
    <w:p w14:paraId="184C0C08" w14:textId="57F8A280" w:rsidR="003558D9" w:rsidRDefault="009B32E4">
      <w:r w:rsidRPr="00794BDF">
        <w:fldChar w:fldCharType="end"/>
      </w:r>
      <w:bookmarkStart w:id="9" w:name="_GoBack"/>
      <w:bookmarkEnd w:id="9"/>
    </w:p>
    <w:sectPr w:rsidR="003558D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ECE4A6" w14:textId="77777777" w:rsidR="009B155C" w:rsidRDefault="009B155C" w:rsidP="00986650">
      <w:pPr>
        <w:spacing w:after="0" w:line="240" w:lineRule="auto"/>
      </w:pPr>
      <w:r>
        <w:separator/>
      </w:r>
    </w:p>
  </w:endnote>
  <w:endnote w:type="continuationSeparator" w:id="0">
    <w:p w14:paraId="09A5366C" w14:textId="77777777" w:rsidR="009B155C" w:rsidRDefault="009B155C" w:rsidP="00986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F2F0B0" w14:textId="77777777" w:rsidR="00986650" w:rsidRDefault="009866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048459"/>
      <w:docPartObj>
        <w:docPartGallery w:val="Page Numbers (Bottom of Page)"/>
        <w:docPartUnique/>
      </w:docPartObj>
    </w:sdtPr>
    <w:sdtEndPr>
      <w:rPr>
        <w:noProof/>
      </w:rPr>
    </w:sdtEndPr>
    <w:sdtContent>
      <w:p w14:paraId="73C8F2D0" w14:textId="57B1ECD9" w:rsidR="00986650" w:rsidRDefault="00986650">
        <w:pPr>
          <w:pStyle w:val="Footer"/>
          <w:jc w:val="right"/>
        </w:pPr>
        <w:r>
          <w:fldChar w:fldCharType="begin"/>
        </w:r>
        <w:r>
          <w:instrText xml:space="preserve"> PAGE   \* MERGEFORMAT </w:instrText>
        </w:r>
        <w:r>
          <w:fldChar w:fldCharType="separate"/>
        </w:r>
        <w:r w:rsidR="00794BDF">
          <w:rPr>
            <w:noProof/>
          </w:rPr>
          <w:t>5</w:t>
        </w:r>
        <w:r>
          <w:rPr>
            <w:noProof/>
          </w:rPr>
          <w:fldChar w:fldCharType="end"/>
        </w:r>
      </w:p>
    </w:sdtContent>
  </w:sdt>
  <w:p w14:paraId="7F66F699" w14:textId="77777777" w:rsidR="00986650" w:rsidRDefault="009866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58CD7" w14:textId="77777777" w:rsidR="00986650" w:rsidRDefault="009866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3048F" w14:textId="77777777" w:rsidR="009B155C" w:rsidRDefault="009B155C" w:rsidP="00986650">
      <w:pPr>
        <w:spacing w:after="0" w:line="240" w:lineRule="auto"/>
      </w:pPr>
      <w:r>
        <w:separator/>
      </w:r>
    </w:p>
  </w:footnote>
  <w:footnote w:type="continuationSeparator" w:id="0">
    <w:p w14:paraId="56A4D016" w14:textId="77777777" w:rsidR="009B155C" w:rsidRDefault="009B155C" w:rsidP="009866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AACC8" w14:textId="77777777" w:rsidR="00986650" w:rsidRDefault="009866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000B7C" w14:textId="77777777" w:rsidR="00986650" w:rsidRDefault="009866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54415A" w14:textId="77777777" w:rsidR="00986650" w:rsidRDefault="009866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jQ2MjMwNTM3MjQ2MbJU0lEKTi0uzszPAymwrAUAhaM4+iwAAAA="/>
    <w:docVar w:name="EN.Layout" w:val="&lt;ENLayout&gt;&lt;Style&gt;BMC Micro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xr05xwt9f9vvxef90opsxebptdzppeswt2p&quot;&gt;MGUS-ENDNOTE&lt;record-ids&gt;&lt;item&gt;194&lt;/item&gt;&lt;/record-ids&gt;&lt;/item&gt;&lt;/Libraries&gt;"/>
  </w:docVars>
  <w:rsids>
    <w:rsidRoot w:val="00752E13"/>
    <w:rsid w:val="000E3A44"/>
    <w:rsid w:val="001C3D22"/>
    <w:rsid w:val="0021283D"/>
    <w:rsid w:val="00317700"/>
    <w:rsid w:val="003558D9"/>
    <w:rsid w:val="003B5CA5"/>
    <w:rsid w:val="00530BA3"/>
    <w:rsid w:val="006322A3"/>
    <w:rsid w:val="00710DAF"/>
    <w:rsid w:val="00752E13"/>
    <w:rsid w:val="00794BDF"/>
    <w:rsid w:val="007A6A96"/>
    <w:rsid w:val="00801989"/>
    <w:rsid w:val="00864248"/>
    <w:rsid w:val="00986650"/>
    <w:rsid w:val="009B155C"/>
    <w:rsid w:val="009B32E4"/>
    <w:rsid w:val="00AA0CFC"/>
    <w:rsid w:val="00AE44BC"/>
    <w:rsid w:val="00C52F51"/>
    <w:rsid w:val="00CD5EFD"/>
    <w:rsid w:val="00D71032"/>
    <w:rsid w:val="00D86070"/>
    <w:rsid w:val="00E1422A"/>
    <w:rsid w:val="00EB294E"/>
    <w:rsid w:val="00EE3BC6"/>
    <w:rsid w:val="00F07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1023F"/>
  <w15:chartTrackingRefBased/>
  <w15:docId w15:val="{8F7C87C6-7430-475B-B0A3-81166F42F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32E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9B32E4"/>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9B32E4"/>
    <w:rPr>
      <w:rFonts w:ascii="Calibri" w:hAnsi="Calibri" w:cs="Calibri"/>
      <w:noProof/>
      <w:kern w:val="0"/>
      <w14:ligatures w14:val="none"/>
    </w:rPr>
  </w:style>
  <w:style w:type="paragraph" w:customStyle="1" w:styleId="EndNoteBibliography">
    <w:name w:val="EndNote Bibliography"/>
    <w:basedOn w:val="Normal"/>
    <w:link w:val="EndNoteBibliographyChar"/>
    <w:rsid w:val="009B32E4"/>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9B32E4"/>
    <w:rPr>
      <w:rFonts w:ascii="Calibri" w:hAnsi="Calibri" w:cs="Calibri"/>
      <w:noProof/>
      <w:kern w:val="0"/>
      <w14:ligatures w14:val="none"/>
    </w:rPr>
  </w:style>
  <w:style w:type="paragraph" w:styleId="HTMLPreformatted">
    <w:name w:val="HTML Preformatted"/>
    <w:basedOn w:val="Normal"/>
    <w:link w:val="HTMLPreformattedChar"/>
    <w:uiPriority w:val="99"/>
    <w:unhideWhenUsed/>
    <w:rsid w:val="00D71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D71032"/>
    <w:rPr>
      <w:rFonts w:ascii="Courier New" w:hAnsi="Courier New" w:cs="Courier New"/>
      <w:kern w:val="0"/>
      <w:sz w:val="20"/>
      <w:szCs w:val="20"/>
      <w14:ligatures w14:val="none"/>
    </w:rPr>
  </w:style>
  <w:style w:type="paragraph" w:styleId="Header">
    <w:name w:val="header"/>
    <w:basedOn w:val="Normal"/>
    <w:link w:val="HeaderChar"/>
    <w:uiPriority w:val="99"/>
    <w:unhideWhenUsed/>
    <w:rsid w:val="009866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6650"/>
    <w:rPr>
      <w:kern w:val="0"/>
      <w14:ligatures w14:val="none"/>
    </w:rPr>
  </w:style>
  <w:style w:type="paragraph" w:styleId="Footer">
    <w:name w:val="footer"/>
    <w:basedOn w:val="Normal"/>
    <w:link w:val="FooterChar"/>
    <w:uiPriority w:val="99"/>
    <w:unhideWhenUsed/>
    <w:rsid w:val="009866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665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 Fumou</dc:creator>
  <cp:keywords/>
  <dc:description/>
  <cp:lastModifiedBy>Nikitha Sanmugam</cp:lastModifiedBy>
  <cp:revision>25</cp:revision>
  <dcterms:created xsi:type="dcterms:W3CDTF">2023-05-23T14:32:00Z</dcterms:created>
  <dcterms:modified xsi:type="dcterms:W3CDTF">2023-06-26T04:29:00Z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a390d5-a4f3-448c-8368-24080179bc53_Enabled">
    <vt:lpwstr>true</vt:lpwstr>
  </property>
  <property fmtid="{D5CDD505-2E9C-101B-9397-08002B2CF9AE}" pid="3" name="MSIP_Label_8ca390d5-a4f3-448c-8368-24080179bc53_SetDate">
    <vt:lpwstr>2023-05-23T14:34:05Z</vt:lpwstr>
  </property>
  <property fmtid="{D5CDD505-2E9C-101B-9397-08002B2CF9AE}" pid="4" name="MSIP_Label_8ca390d5-a4f3-448c-8368-24080179bc53_Method">
    <vt:lpwstr>Standard</vt:lpwstr>
  </property>
  <property fmtid="{D5CDD505-2E9C-101B-9397-08002B2CF9AE}" pid="5" name="MSIP_Label_8ca390d5-a4f3-448c-8368-24080179bc53_Name">
    <vt:lpwstr>Low Risk</vt:lpwstr>
  </property>
  <property fmtid="{D5CDD505-2E9C-101B-9397-08002B2CF9AE}" pid="6" name="MSIP_Label_8ca390d5-a4f3-448c-8368-24080179bc53_SiteId">
    <vt:lpwstr>5b703aa0-061f-4ed9-beca-765a39ee1304</vt:lpwstr>
  </property>
  <property fmtid="{D5CDD505-2E9C-101B-9397-08002B2CF9AE}" pid="7" name="MSIP_Label_8ca390d5-a4f3-448c-8368-24080179bc53_ActionId">
    <vt:lpwstr>9c541ef6-a24d-4272-ae17-9d9dab922887</vt:lpwstr>
  </property>
  <property fmtid="{D5CDD505-2E9C-101B-9397-08002B2CF9AE}" pid="8" name="MSIP_Label_8ca390d5-a4f3-448c-8368-24080179bc53_ContentBits">
    <vt:lpwstr>0</vt:lpwstr>
  </property>
</Properties>
</file>