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27B9" w14:textId="05C236E6" w:rsidR="00FA63C4" w:rsidRPr="001E2C10" w:rsidRDefault="001E2C10">
      <w:pPr>
        <w:rPr>
          <w:rFonts w:ascii="Times New Roman" w:hAnsi="Times New Roman" w:cs="Times New Roman"/>
          <w:b/>
          <w:bCs/>
          <w:lang w:val="it-IT"/>
        </w:rPr>
      </w:pPr>
      <w:r w:rsidRPr="001E2C10">
        <w:rPr>
          <w:rFonts w:ascii="Times New Roman" w:hAnsi="Times New Roman" w:cs="Times New Roman"/>
          <w:b/>
          <w:bCs/>
          <w:lang w:val="it-IT"/>
        </w:rPr>
        <w:t>ADDITIONAL FILE 6</w:t>
      </w:r>
    </w:p>
    <w:p w14:paraId="2A550774" w14:textId="77777777" w:rsidR="001E2C10" w:rsidRPr="001E2C10" w:rsidRDefault="001E2C10">
      <w:pPr>
        <w:rPr>
          <w:rFonts w:ascii="Times New Roman" w:hAnsi="Times New Roman" w:cs="Times New Roman"/>
          <w:b/>
          <w:bCs/>
          <w:lang w:val="it-IT"/>
        </w:rPr>
      </w:pPr>
    </w:p>
    <w:p w14:paraId="0DCF257A" w14:textId="021ABDE4" w:rsidR="001E2C10" w:rsidRPr="001E2C10" w:rsidRDefault="001E2C10" w:rsidP="001E2C10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1E2C10">
        <w:rPr>
          <w:rFonts w:ascii="Times New Roman" w:hAnsi="Times New Roman" w:cs="Times New Roman"/>
          <w:b/>
          <w:bCs/>
          <w:lang w:val="en-US"/>
        </w:rPr>
        <w:t>Table S4.</w:t>
      </w:r>
      <w:r w:rsidRPr="001E2C10">
        <w:rPr>
          <w:lang w:val="en-US"/>
        </w:rPr>
        <w:t xml:space="preserve"> </w:t>
      </w:r>
      <w:r w:rsidRPr="001E2C10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Treatment-Emergent Adverse Events (TE-AEs).</w:t>
      </w:r>
    </w:p>
    <w:p w14:paraId="5EDD62C1" w14:textId="77777777" w:rsidR="001E2C10" w:rsidRPr="001E2C10" w:rsidRDefault="001E2C10" w:rsidP="001E2C10">
      <w:pPr>
        <w:autoSpaceDE w:val="0"/>
        <w:autoSpaceDN w:val="0"/>
        <w:adjustRightInd w:val="0"/>
        <w:ind w:left="360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 w:eastAsia="en-GB"/>
          <w14:ligatures w14:val="none"/>
        </w:rPr>
      </w:pPr>
    </w:p>
    <w:tbl>
      <w:tblPr>
        <w:tblStyle w:val="TableGrid1"/>
        <w:tblW w:w="8842" w:type="dxa"/>
        <w:tblLook w:val="04A0" w:firstRow="1" w:lastRow="0" w:firstColumn="1" w:lastColumn="0" w:noHBand="0" w:noVBand="1"/>
      </w:tblPr>
      <w:tblGrid>
        <w:gridCol w:w="2607"/>
        <w:gridCol w:w="1187"/>
        <w:gridCol w:w="1307"/>
        <w:gridCol w:w="1247"/>
        <w:gridCol w:w="1247"/>
        <w:gridCol w:w="1247"/>
      </w:tblGrid>
      <w:tr w:rsidR="001E2C10" w:rsidRPr="001E2C10" w14:paraId="451961D0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E22711C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Preferred AE Term</w:t>
            </w:r>
            <w:r w:rsidRPr="001E2C10">
              <w:rPr>
                <w:rFonts w:eastAsia="Times New Roman"/>
                <w:b/>
                <w:bCs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187" w:type="dxa"/>
            <w:noWrap/>
            <w:vAlign w:val="center"/>
            <w:hideMark/>
          </w:tcPr>
          <w:p w14:paraId="3A5A27B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Any grade</w:t>
            </w:r>
          </w:p>
        </w:tc>
        <w:tc>
          <w:tcPr>
            <w:tcW w:w="1307" w:type="dxa"/>
            <w:noWrap/>
            <w:vAlign w:val="center"/>
            <w:hideMark/>
          </w:tcPr>
          <w:p w14:paraId="2FB1C07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Grade 1</w:t>
            </w:r>
          </w:p>
        </w:tc>
        <w:tc>
          <w:tcPr>
            <w:tcW w:w="1247" w:type="dxa"/>
            <w:noWrap/>
            <w:vAlign w:val="center"/>
            <w:hideMark/>
          </w:tcPr>
          <w:p w14:paraId="513259A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Grade 2</w:t>
            </w:r>
          </w:p>
        </w:tc>
        <w:tc>
          <w:tcPr>
            <w:tcW w:w="1247" w:type="dxa"/>
            <w:noWrap/>
            <w:vAlign w:val="center"/>
            <w:hideMark/>
          </w:tcPr>
          <w:p w14:paraId="13A6E24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Grade 3</w:t>
            </w:r>
          </w:p>
        </w:tc>
        <w:tc>
          <w:tcPr>
            <w:tcW w:w="1247" w:type="dxa"/>
            <w:noWrap/>
            <w:vAlign w:val="center"/>
            <w:hideMark/>
          </w:tcPr>
          <w:p w14:paraId="044423A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Grade 4</w:t>
            </w:r>
          </w:p>
        </w:tc>
      </w:tr>
      <w:tr w:rsidR="001E2C10" w:rsidRPr="001E2C10" w14:paraId="5EAA5CD1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9CA4AB7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Diarrhea</w:t>
            </w:r>
          </w:p>
        </w:tc>
        <w:tc>
          <w:tcPr>
            <w:tcW w:w="1187" w:type="dxa"/>
            <w:noWrap/>
            <w:vAlign w:val="center"/>
            <w:hideMark/>
          </w:tcPr>
          <w:p w14:paraId="60A14CB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15 (75.0%)</w:t>
            </w:r>
          </w:p>
        </w:tc>
        <w:tc>
          <w:tcPr>
            <w:tcW w:w="1307" w:type="dxa"/>
            <w:noWrap/>
            <w:vAlign w:val="center"/>
            <w:hideMark/>
          </w:tcPr>
          <w:p w14:paraId="2709A4A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247" w:type="dxa"/>
            <w:noWrap/>
            <w:vAlign w:val="center"/>
            <w:hideMark/>
          </w:tcPr>
          <w:p w14:paraId="37FFA5F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9 (45.0%)</w:t>
            </w:r>
          </w:p>
        </w:tc>
        <w:tc>
          <w:tcPr>
            <w:tcW w:w="1247" w:type="dxa"/>
            <w:noWrap/>
            <w:vAlign w:val="center"/>
            <w:hideMark/>
          </w:tcPr>
          <w:p w14:paraId="658FC1A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704652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488F832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48B7A63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Hyperglycemia</w:t>
            </w:r>
          </w:p>
        </w:tc>
        <w:tc>
          <w:tcPr>
            <w:tcW w:w="1187" w:type="dxa"/>
            <w:noWrap/>
            <w:vAlign w:val="center"/>
            <w:hideMark/>
          </w:tcPr>
          <w:p w14:paraId="4870D2E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11 (55.0%)</w:t>
            </w:r>
          </w:p>
        </w:tc>
        <w:tc>
          <w:tcPr>
            <w:tcW w:w="1307" w:type="dxa"/>
            <w:noWrap/>
            <w:vAlign w:val="center"/>
            <w:hideMark/>
          </w:tcPr>
          <w:p w14:paraId="2B583EA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11 (55.0%)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368C98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6096FE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317D66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8BE9A8D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55A67AA5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Asthenia</w:t>
            </w:r>
          </w:p>
        </w:tc>
        <w:tc>
          <w:tcPr>
            <w:tcW w:w="1187" w:type="dxa"/>
            <w:noWrap/>
            <w:vAlign w:val="center"/>
            <w:hideMark/>
          </w:tcPr>
          <w:p w14:paraId="6EBBECA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8 (40.0%)</w:t>
            </w:r>
          </w:p>
        </w:tc>
        <w:tc>
          <w:tcPr>
            <w:tcW w:w="1307" w:type="dxa"/>
            <w:noWrap/>
            <w:vAlign w:val="center"/>
            <w:hideMark/>
          </w:tcPr>
          <w:p w14:paraId="3A736F6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986ACD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EA1CB2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FFBC4E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10A8C420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233C06FD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Hypercholesterolemia</w:t>
            </w:r>
          </w:p>
        </w:tc>
        <w:tc>
          <w:tcPr>
            <w:tcW w:w="1187" w:type="dxa"/>
            <w:noWrap/>
            <w:vAlign w:val="center"/>
            <w:hideMark/>
          </w:tcPr>
          <w:p w14:paraId="50E4E3B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8 (40.0%)</w:t>
            </w:r>
          </w:p>
        </w:tc>
        <w:tc>
          <w:tcPr>
            <w:tcW w:w="1307" w:type="dxa"/>
            <w:noWrap/>
            <w:vAlign w:val="center"/>
            <w:hideMark/>
          </w:tcPr>
          <w:p w14:paraId="78019C9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8 (40.0%)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0E1C31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0055E6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9049A8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9642DC6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3578B101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Hypomagnesemia</w:t>
            </w:r>
          </w:p>
        </w:tc>
        <w:tc>
          <w:tcPr>
            <w:tcW w:w="1187" w:type="dxa"/>
            <w:noWrap/>
            <w:vAlign w:val="center"/>
            <w:hideMark/>
          </w:tcPr>
          <w:p w14:paraId="722B41B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7 (35.0%)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085C95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6 (30.0%)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78A458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E994E7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A64001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2D19CBA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233CE058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Abdominal pain</w:t>
            </w:r>
          </w:p>
        </w:tc>
        <w:tc>
          <w:tcPr>
            <w:tcW w:w="1187" w:type="dxa"/>
            <w:noWrap/>
            <w:vAlign w:val="center"/>
            <w:hideMark/>
          </w:tcPr>
          <w:p w14:paraId="71775A8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AD8964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20911B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0F91B4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F985A6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0292D11D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E766DF4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Anorexia</w:t>
            </w:r>
          </w:p>
        </w:tc>
        <w:tc>
          <w:tcPr>
            <w:tcW w:w="1187" w:type="dxa"/>
            <w:noWrap/>
            <w:vAlign w:val="center"/>
            <w:hideMark/>
          </w:tcPr>
          <w:p w14:paraId="4064F01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5 (25.0%)</w:t>
            </w:r>
          </w:p>
        </w:tc>
        <w:tc>
          <w:tcPr>
            <w:tcW w:w="1307" w:type="dxa"/>
            <w:noWrap/>
            <w:vAlign w:val="center"/>
            <w:hideMark/>
          </w:tcPr>
          <w:p w14:paraId="7B5AD8D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73DF5C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4F0A407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758BE8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1080B15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556CE740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 xml:space="preserve">Creatinine increase </w:t>
            </w:r>
          </w:p>
        </w:tc>
        <w:tc>
          <w:tcPr>
            <w:tcW w:w="1187" w:type="dxa"/>
            <w:noWrap/>
            <w:vAlign w:val="center"/>
            <w:hideMark/>
          </w:tcPr>
          <w:p w14:paraId="4DF0786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7" w:type="dxa"/>
            <w:noWrap/>
            <w:vAlign w:val="center"/>
            <w:hideMark/>
          </w:tcPr>
          <w:p w14:paraId="1D48562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B1DA8E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BE5692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AFEEE4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7CF0949F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3C9E170C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Arthralgias</w:t>
            </w:r>
          </w:p>
        </w:tc>
        <w:tc>
          <w:tcPr>
            <w:tcW w:w="1187" w:type="dxa"/>
            <w:noWrap/>
            <w:vAlign w:val="center"/>
            <w:hideMark/>
          </w:tcPr>
          <w:p w14:paraId="17E6E8D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7" w:type="dxa"/>
            <w:noWrap/>
            <w:vAlign w:val="center"/>
            <w:hideMark/>
          </w:tcPr>
          <w:p w14:paraId="107F9D3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ABFB67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7C747B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3316636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176C683D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3482A407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Emesis</w:t>
            </w:r>
          </w:p>
        </w:tc>
        <w:tc>
          <w:tcPr>
            <w:tcW w:w="1187" w:type="dxa"/>
            <w:noWrap/>
            <w:vAlign w:val="center"/>
            <w:hideMark/>
          </w:tcPr>
          <w:p w14:paraId="12DB7B9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7" w:type="dxa"/>
            <w:noWrap/>
            <w:vAlign w:val="center"/>
            <w:hideMark/>
          </w:tcPr>
          <w:p w14:paraId="0920D13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247" w:type="dxa"/>
            <w:noWrap/>
            <w:vAlign w:val="center"/>
            <w:hideMark/>
          </w:tcPr>
          <w:p w14:paraId="4B069C1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79E32C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B0E1C9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345F8C62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34E79E4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Hypertriglyceridemia</w:t>
            </w:r>
          </w:p>
        </w:tc>
        <w:tc>
          <w:tcPr>
            <w:tcW w:w="1187" w:type="dxa"/>
            <w:noWrap/>
            <w:vAlign w:val="center"/>
            <w:hideMark/>
          </w:tcPr>
          <w:p w14:paraId="34B0443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7" w:type="dxa"/>
            <w:noWrap/>
            <w:vAlign w:val="center"/>
            <w:hideMark/>
          </w:tcPr>
          <w:p w14:paraId="6935C8D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247" w:type="dxa"/>
            <w:noWrap/>
            <w:vAlign w:val="center"/>
            <w:hideMark/>
          </w:tcPr>
          <w:p w14:paraId="4F660E2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1939132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D9FBE9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370A0A03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50996A29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Nausea</w:t>
            </w:r>
          </w:p>
        </w:tc>
        <w:tc>
          <w:tcPr>
            <w:tcW w:w="1187" w:type="dxa"/>
            <w:noWrap/>
            <w:vAlign w:val="center"/>
            <w:hideMark/>
          </w:tcPr>
          <w:p w14:paraId="288A899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4 (20.0%)</w:t>
            </w:r>
          </w:p>
        </w:tc>
        <w:tc>
          <w:tcPr>
            <w:tcW w:w="1307" w:type="dxa"/>
            <w:noWrap/>
            <w:vAlign w:val="center"/>
            <w:hideMark/>
          </w:tcPr>
          <w:p w14:paraId="65CCAEB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8573B9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4595973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6D651B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837095D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72EECD5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Hyperuricemia</w:t>
            </w:r>
          </w:p>
        </w:tc>
        <w:tc>
          <w:tcPr>
            <w:tcW w:w="1187" w:type="dxa"/>
            <w:noWrap/>
            <w:vAlign w:val="center"/>
            <w:hideMark/>
          </w:tcPr>
          <w:p w14:paraId="7E4075C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9F246C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247" w:type="dxa"/>
            <w:noWrap/>
            <w:vAlign w:val="center"/>
            <w:hideMark/>
          </w:tcPr>
          <w:p w14:paraId="2E9310A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AF2728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22107D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17706DC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226F2674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ALT/AST increase</w:t>
            </w:r>
          </w:p>
        </w:tc>
        <w:tc>
          <w:tcPr>
            <w:tcW w:w="1187" w:type="dxa"/>
            <w:noWrap/>
            <w:vAlign w:val="center"/>
            <w:hideMark/>
          </w:tcPr>
          <w:p w14:paraId="1D22F8A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307" w:type="dxa"/>
            <w:noWrap/>
            <w:vAlign w:val="center"/>
            <w:hideMark/>
          </w:tcPr>
          <w:p w14:paraId="61AAB1B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3 (15.0%)</w:t>
            </w:r>
          </w:p>
        </w:tc>
        <w:tc>
          <w:tcPr>
            <w:tcW w:w="1247" w:type="dxa"/>
            <w:noWrap/>
            <w:vAlign w:val="center"/>
            <w:hideMark/>
          </w:tcPr>
          <w:p w14:paraId="6C71253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BAD26A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CB11B7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053C4219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E4EF7F9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Flushing</w:t>
            </w:r>
          </w:p>
        </w:tc>
        <w:tc>
          <w:tcPr>
            <w:tcW w:w="1187" w:type="dxa"/>
            <w:noWrap/>
            <w:vAlign w:val="center"/>
            <w:hideMark/>
          </w:tcPr>
          <w:p w14:paraId="068BBAF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39904F5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040FD5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843138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050C25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E6078D3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3C07F49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GGT elevation</w:t>
            </w:r>
          </w:p>
        </w:tc>
        <w:tc>
          <w:tcPr>
            <w:tcW w:w="1187" w:type="dxa"/>
            <w:noWrap/>
            <w:vAlign w:val="center"/>
            <w:hideMark/>
          </w:tcPr>
          <w:p w14:paraId="3AE01B4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4283C4D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422651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468CCAB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248D00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7414DAA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360814E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Edema</w:t>
            </w:r>
          </w:p>
        </w:tc>
        <w:tc>
          <w:tcPr>
            <w:tcW w:w="1187" w:type="dxa"/>
            <w:noWrap/>
            <w:vAlign w:val="center"/>
            <w:hideMark/>
          </w:tcPr>
          <w:p w14:paraId="6F171BD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6492ED5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3A87A0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15E1A5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2252D2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704C1E3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F4D4434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Confusion</w:t>
            </w:r>
          </w:p>
        </w:tc>
        <w:tc>
          <w:tcPr>
            <w:tcW w:w="1187" w:type="dxa"/>
            <w:noWrap/>
            <w:vAlign w:val="center"/>
            <w:hideMark/>
          </w:tcPr>
          <w:p w14:paraId="523E69B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3F6B524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33F2BE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9832D4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86CF52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3799C806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C8F0592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Hyponatremia</w:t>
            </w:r>
          </w:p>
        </w:tc>
        <w:tc>
          <w:tcPr>
            <w:tcW w:w="1187" w:type="dxa"/>
            <w:noWrap/>
            <w:vAlign w:val="center"/>
            <w:hideMark/>
          </w:tcPr>
          <w:p w14:paraId="35D57F4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5A811E2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66DFFE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4FF1CE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A05B26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704DBF30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219B6746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Insomnia</w:t>
            </w:r>
          </w:p>
        </w:tc>
        <w:tc>
          <w:tcPr>
            <w:tcW w:w="1187" w:type="dxa"/>
            <w:noWrap/>
            <w:vAlign w:val="center"/>
            <w:hideMark/>
          </w:tcPr>
          <w:p w14:paraId="61D59AC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5A9FC6E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E9E09A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FE5D41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F06509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73B7C682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1AC7F95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Intestinal bloating</w:t>
            </w:r>
          </w:p>
        </w:tc>
        <w:tc>
          <w:tcPr>
            <w:tcW w:w="1187" w:type="dxa"/>
            <w:noWrap/>
            <w:vAlign w:val="center"/>
            <w:hideMark/>
          </w:tcPr>
          <w:p w14:paraId="01A76D9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0F241A7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71719B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C41B34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F881C7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2BC7ADA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C47508D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Pruritus</w:t>
            </w:r>
          </w:p>
        </w:tc>
        <w:tc>
          <w:tcPr>
            <w:tcW w:w="1187" w:type="dxa"/>
            <w:noWrap/>
            <w:vAlign w:val="center"/>
            <w:hideMark/>
          </w:tcPr>
          <w:p w14:paraId="06EA1DA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5E80167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2EB813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FC80F1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8F7BA8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CA42571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3C1EFE8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Steatorrhea</w:t>
            </w:r>
          </w:p>
        </w:tc>
        <w:tc>
          <w:tcPr>
            <w:tcW w:w="1187" w:type="dxa"/>
            <w:noWrap/>
            <w:vAlign w:val="center"/>
            <w:hideMark/>
          </w:tcPr>
          <w:p w14:paraId="721D9B0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307" w:type="dxa"/>
            <w:noWrap/>
            <w:vAlign w:val="center"/>
            <w:hideMark/>
          </w:tcPr>
          <w:p w14:paraId="74D05BA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8587A2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553AA7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5C0B31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0CC0FC50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03D4BF2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Acute renal failure</w:t>
            </w:r>
          </w:p>
        </w:tc>
        <w:tc>
          <w:tcPr>
            <w:tcW w:w="1187" w:type="dxa"/>
            <w:noWrap/>
            <w:vAlign w:val="center"/>
            <w:hideMark/>
          </w:tcPr>
          <w:p w14:paraId="7A97725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1F0A049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E5FDDD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ECF578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135DB3A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E13F372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29C2DD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ALP elevation</w:t>
            </w:r>
          </w:p>
        </w:tc>
        <w:tc>
          <w:tcPr>
            <w:tcW w:w="1187" w:type="dxa"/>
            <w:noWrap/>
            <w:vAlign w:val="center"/>
            <w:hideMark/>
          </w:tcPr>
          <w:p w14:paraId="1C97E52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A3EE4A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29D6D28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1585D0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5F61F1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5A9259E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E6F55CD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Anemia</w:t>
            </w:r>
          </w:p>
        </w:tc>
        <w:tc>
          <w:tcPr>
            <w:tcW w:w="1187" w:type="dxa"/>
            <w:noWrap/>
            <w:vAlign w:val="center"/>
            <w:hideMark/>
          </w:tcPr>
          <w:p w14:paraId="603B56D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5F7F46E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0CEF83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F15EF1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782F2C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85E67CE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5515105D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Arterial hypertension</w:t>
            </w:r>
          </w:p>
        </w:tc>
        <w:tc>
          <w:tcPr>
            <w:tcW w:w="1187" w:type="dxa"/>
            <w:noWrap/>
            <w:vAlign w:val="center"/>
            <w:hideMark/>
          </w:tcPr>
          <w:p w14:paraId="2421A43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39A4AE9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DC99E1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AC2685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F28B96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7BAB055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8C1488B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Cephalgia</w:t>
            </w:r>
          </w:p>
        </w:tc>
        <w:tc>
          <w:tcPr>
            <w:tcW w:w="1187" w:type="dxa"/>
            <w:noWrap/>
            <w:vAlign w:val="center"/>
            <w:hideMark/>
          </w:tcPr>
          <w:p w14:paraId="7A08B5E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3B36CAE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401339D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C9DD35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DC2080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29A68030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00BAB23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Cerebral hemorrhage</w:t>
            </w:r>
          </w:p>
        </w:tc>
        <w:tc>
          <w:tcPr>
            <w:tcW w:w="1187" w:type="dxa"/>
            <w:noWrap/>
            <w:vAlign w:val="center"/>
            <w:hideMark/>
          </w:tcPr>
          <w:p w14:paraId="5AB113A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564C323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42EED6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75558B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03919F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</w:tr>
      <w:tr w:rsidR="001E2C10" w:rsidRPr="001E2C10" w14:paraId="2275CF75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3906849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Constipation</w:t>
            </w:r>
          </w:p>
        </w:tc>
        <w:tc>
          <w:tcPr>
            <w:tcW w:w="1187" w:type="dxa"/>
            <w:noWrap/>
            <w:vAlign w:val="center"/>
            <w:hideMark/>
          </w:tcPr>
          <w:p w14:paraId="05FD9F4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6DD30EE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4F0682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5D9442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B18D37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D52124F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CA470B5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Cough</w:t>
            </w:r>
          </w:p>
        </w:tc>
        <w:tc>
          <w:tcPr>
            <w:tcW w:w="1187" w:type="dxa"/>
            <w:noWrap/>
            <w:vAlign w:val="center"/>
            <w:hideMark/>
          </w:tcPr>
          <w:p w14:paraId="6B8481E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5577826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64D3B32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88D401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DE10A3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3C4CF7D1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095463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Dental abscess</w:t>
            </w:r>
          </w:p>
        </w:tc>
        <w:tc>
          <w:tcPr>
            <w:tcW w:w="1187" w:type="dxa"/>
            <w:noWrap/>
            <w:vAlign w:val="center"/>
            <w:hideMark/>
          </w:tcPr>
          <w:p w14:paraId="59B3FDA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6915EC2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9120FE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4F9DCE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09D442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00E1743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FCBF0B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Dysgeusia</w:t>
            </w:r>
          </w:p>
        </w:tc>
        <w:tc>
          <w:tcPr>
            <w:tcW w:w="1187" w:type="dxa"/>
            <w:noWrap/>
            <w:vAlign w:val="center"/>
            <w:hideMark/>
          </w:tcPr>
          <w:p w14:paraId="7DDF0DA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711C744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6BA6685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9FDBEA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686E50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6561AD7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79F429F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Diverticulitis</w:t>
            </w:r>
          </w:p>
        </w:tc>
        <w:tc>
          <w:tcPr>
            <w:tcW w:w="1187" w:type="dxa"/>
            <w:noWrap/>
            <w:vAlign w:val="center"/>
            <w:hideMark/>
          </w:tcPr>
          <w:p w14:paraId="33CBD36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2D7B24F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6845D0D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969183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FD3404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5F06FED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4050A0A4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Dysuria</w:t>
            </w:r>
          </w:p>
        </w:tc>
        <w:tc>
          <w:tcPr>
            <w:tcW w:w="1187" w:type="dxa"/>
            <w:noWrap/>
            <w:vAlign w:val="center"/>
            <w:hideMark/>
          </w:tcPr>
          <w:p w14:paraId="702F9B0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6D5C3C0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676DCF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9089BA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A48CD1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213D2660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402B416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Extrasystole</w:t>
            </w:r>
          </w:p>
        </w:tc>
        <w:tc>
          <w:tcPr>
            <w:tcW w:w="1187" w:type="dxa"/>
            <w:noWrap/>
            <w:vAlign w:val="center"/>
            <w:hideMark/>
          </w:tcPr>
          <w:p w14:paraId="76C3736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433008B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4CB58E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81D880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FF7672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98E9BF5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41F5F73C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Fever</w:t>
            </w:r>
          </w:p>
        </w:tc>
        <w:tc>
          <w:tcPr>
            <w:tcW w:w="1187" w:type="dxa"/>
            <w:noWrap/>
            <w:vAlign w:val="center"/>
            <w:hideMark/>
          </w:tcPr>
          <w:p w14:paraId="141A81C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57F185F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67ADF47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787F32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58850B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33493404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F01E76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Hematuria</w:t>
            </w:r>
          </w:p>
        </w:tc>
        <w:tc>
          <w:tcPr>
            <w:tcW w:w="1187" w:type="dxa"/>
            <w:noWrap/>
            <w:vAlign w:val="center"/>
            <w:hideMark/>
          </w:tcPr>
          <w:p w14:paraId="2717861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4C7F8C6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43AFF4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660EE4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FA3358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6DC65DB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A5D4B4E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Herpes labialis</w:t>
            </w:r>
          </w:p>
        </w:tc>
        <w:tc>
          <w:tcPr>
            <w:tcW w:w="1187" w:type="dxa"/>
            <w:noWrap/>
            <w:vAlign w:val="center"/>
            <w:hideMark/>
          </w:tcPr>
          <w:p w14:paraId="081EBE9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1E83474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2D5167A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70124E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1F1086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2390D646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03C67F1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Hyperbilirubinemia</w:t>
            </w:r>
          </w:p>
        </w:tc>
        <w:tc>
          <w:tcPr>
            <w:tcW w:w="1187" w:type="dxa"/>
            <w:noWrap/>
            <w:vAlign w:val="center"/>
            <w:hideMark/>
          </w:tcPr>
          <w:p w14:paraId="786C32C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69E61A1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3B84F8E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74D36A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83710E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AAAFBD3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678F92D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lastRenderedPageBreak/>
              <w:t>Hypercalcemia</w:t>
            </w:r>
          </w:p>
        </w:tc>
        <w:tc>
          <w:tcPr>
            <w:tcW w:w="1187" w:type="dxa"/>
            <w:noWrap/>
            <w:vAlign w:val="center"/>
            <w:hideMark/>
          </w:tcPr>
          <w:p w14:paraId="69FBDA3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7DF0140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E3E11E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E41F3B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3302FE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125BA48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C8BA2FE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Hyperkalemia</w:t>
            </w:r>
          </w:p>
        </w:tc>
        <w:tc>
          <w:tcPr>
            <w:tcW w:w="1187" w:type="dxa"/>
            <w:noWrap/>
            <w:vAlign w:val="center"/>
            <w:hideMark/>
          </w:tcPr>
          <w:p w14:paraId="43F8E63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3EA4435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3EB924E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FC9446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752DE4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49F85DD0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2F68455B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Hyperphosphatemia</w:t>
            </w:r>
          </w:p>
        </w:tc>
        <w:tc>
          <w:tcPr>
            <w:tcW w:w="1187" w:type="dxa"/>
            <w:noWrap/>
            <w:vAlign w:val="center"/>
            <w:hideMark/>
          </w:tcPr>
          <w:p w14:paraId="4E398EC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112800A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6AEBB2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384E738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4B2C9E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77FAC65F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5833C58F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Hypokalemia</w:t>
            </w:r>
          </w:p>
        </w:tc>
        <w:tc>
          <w:tcPr>
            <w:tcW w:w="1187" w:type="dxa"/>
            <w:noWrap/>
            <w:vAlign w:val="center"/>
            <w:hideMark/>
          </w:tcPr>
          <w:p w14:paraId="552EE65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347D7A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628C3A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14E7FC4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2C4EE6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68BEAA6B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A992C5C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Hypophosphatemia</w:t>
            </w:r>
          </w:p>
        </w:tc>
        <w:tc>
          <w:tcPr>
            <w:tcW w:w="1187" w:type="dxa"/>
            <w:noWrap/>
            <w:vAlign w:val="center"/>
            <w:hideMark/>
          </w:tcPr>
          <w:p w14:paraId="1147BD6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8392B0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1434578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70EA16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7537BB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0A393E47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59CC3E1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Decreased appetite</w:t>
            </w:r>
          </w:p>
        </w:tc>
        <w:tc>
          <w:tcPr>
            <w:tcW w:w="1187" w:type="dxa"/>
            <w:noWrap/>
            <w:vAlign w:val="center"/>
            <w:hideMark/>
          </w:tcPr>
          <w:p w14:paraId="1A1375F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77A2504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28EEF78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7299FAC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836D29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B866DF5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5116DA59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Hypocalcemia</w:t>
            </w:r>
          </w:p>
        </w:tc>
        <w:tc>
          <w:tcPr>
            <w:tcW w:w="1187" w:type="dxa"/>
            <w:noWrap/>
            <w:vAlign w:val="center"/>
            <w:hideMark/>
          </w:tcPr>
          <w:p w14:paraId="74C356C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4E5175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63BC3E0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7A4E7A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C57488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78D85A93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4F354710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Muscles cramps</w:t>
            </w:r>
          </w:p>
        </w:tc>
        <w:tc>
          <w:tcPr>
            <w:tcW w:w="1187" w:type="dxa"/>
            <w:noWrap/>
            <w:vAlign w:val="center"/>
            <w:hideMark/>
          </w:tcPr>
          <w:p w14:paraId="49F422B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35E430D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E31FBE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E9979F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50E83F7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48E4D1B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F17B423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Nasal bleeding</w:t>
            </w:r>
          </w:p>
        </w:tc>
        <w:tc>
          <w:tcPr>
            <w:tcW w:w="1187" w:type="dxa"/>
            <w:noWrap/>
            <w:vAlign w:val="center"/>
            <w:hideMark/>
          </w:tcPr>
          <w:p w14:paraId="6B666A6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530D848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48A314D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362C94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FD1895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EFDA35D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230ECBB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Nocturia</w:t>
            </w:r>
          </w:p>
        </w:tc>
        <w:tc>
          <w:tcPr>
            <w:tcW w:w="1187" w:type="dxa"/>
            <w:noWrap/>
            <w:vAlign w:val="center"/>
            <w:hideMark/>
          </w:tcPr>
          <w:p w14:paraId="59F6BFA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6A23AEA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5F02AF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9AD079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E091F2C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2C8BCA1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43711275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Palpitations</w:t>
            </w:r>
          </w:p>
        </w:tc>
        <w:tc>
          <w:tcPr>
            <w:tcW w:w="1187" w:type="dxa"/>
            <w:noWrap/>
            <w:vAlign w:val="center"/>
            <w:hideMark/>
          </w:tcPr>
          <w:p w14:paraId="63DDED0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53DA9C7A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4B1CEF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45E6B2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5413CDD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00BBBF4C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79F95E3A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Platelet count increase</w:t>
            </w:r>
          </w:p>
        </w:tc>
        <w:tc>
          <w:tcPr>
            <w:tcW w:w="1187" w:type="dxa"/>
            <w:noWrap/>
            <w:vAlign w:val="center"/>
            <w:hideMark/>
          </w:tcPr>
          <w:p w14:paraId="6EA0CCE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29E2BC06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7A540BDE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5582DC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2DFDA0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2E36FD55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3DA6730B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Pneumonia</w:t>
            </w:r>
          </w:p>
        </w:tc>
        <w:tc>
          <w:tcPr>
            <w:tcW w:w="1187" w:type="dxa"/>
            <w:noWrap/>
            <w:vAlign w:val="center"/>
            <w:hideMark/>
          </w:tcPr>
          <w:p w14:paraId="35983BD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2C3BCFE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DA3273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4723093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2626813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7CD3F39E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EA17921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Renal colic</w:t>
            </w:r>
          </w:p>
        </w:tc>
        <w:tc>
          <w:tcPr>
            <w:tcW w:w="1187" w:type="dxa"/>
            <w:noWrap/>
            <w:vAlign w:val="center"/>
            <w:hideMark/>
          </w:tcPr>
          <w:p w14:paraId="63B092E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080045F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0D88E85B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846937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693529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334BDF36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6A35FE44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Thoracic folliculitis</w:t>
            </w:r>
          </w:p>
        </w:tc>
        <w:tc>
          <w:tcPr>
            <w:tcW w:w="1187" w:type="dxa"/>
            <w:noWrap/>
            <w:vAlign w:val="center"/>
            <w:hideMark/>
          </w:tcPr>
          <w:p w14:paraId="346858E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2228A7B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0CB5BCC5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3177D07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2724368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060F4B35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00BEE720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Urinary tract infection</w:t>
            </w:r>
          </w:p>
        </w:tc>
        <w:tc>
          <w:tcPr>
            <w:tcW w:w="1187" w:type="dxa"/>
            <w:noWrap/>
            <w:vAlign w:val="center"/>
            <w:hideMark/>
          </w:tcPr>
          <w:p w14:paraId="36B5553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65923D3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642B142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379701C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372AF53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017DC25E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13C4D127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Vertigo</w:t>
            </w:r>
          </w:p>
        </w:tc>
        <w:tc>
          <w:tcPr>
            <w:tcW w:w="1187" w:type="dxa"/>
            <w:noWrap/>
            <w:vAlign w:val="center"/>
            <w:hideMark/>
          </w:tcPr>
          <w:p w14:paraId="00986EA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72DAD4D0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02313F8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CC1DF6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4A3F869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  <w:tr w:rsidR="001E2C10" w:rsidRPr="001E2C10" w14:paraId="52B8A99E" w14:textId="77777777" w:rsidTr="00A0601E">
        <w:trPr>
          <w:trHeight w:val="300"/>
        </w:trPr>
        <w:tc>
          <w:tcPr>
            <w:tcW w:w="2607" w:type="dxa"/>
            <w:noWrap/>
            <w:vAlign w:val="center"/>
            <w:hideMark/>
          </w:tcPr>
          <w:p w14:paraId="50964B0B" w14:textId="77777777" w:rsidR="001E2C10" w:rsidRPr="001E2C10" w:rsidRDefault="001E2C10" w:rsidP="001E2C10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Xerostomia</w:t>
            </w:r>
          </w:p>
        </w:tc>
        <w:tc>
          <w:tcPr>
            <w:tcW w:w="1187" w:type="dxa"/>
            <w:noWrap/>
            <w:vAlign w:val="center"/>
            <w:hideMark/>
          </w:tcPr>
          <w:p w14:paraId="30C9B5FF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307" w:type="dxa"/>
            <w:noWrap/>
            <w:vAlign w:val="center"/>
            <w:hideMark/>
          </w:tcPr>
          <w:p w14:paraId="4557C42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1 (5.0%)</w:t>
            </w:r>
          </w:p>
        </w:tc>
        <w:tc>
          <w:tcPr>
            <w:tcW w:w="1247" w:type="dxa"/>
            <w:noWrap/>
            <w:vAlign w:val="center"/>
            <w:hideMark/>
          </w:tcPr>
          <w:p w14:paraId="530C5E03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1C7F7721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1247" w:type="dxa"/>
            <w:noWrap/>
            <w:vAlign w:val="center"/>
            <w:hideMark/>
          </w:tcPr>
          <w:p w14:paraId="6109DEE4" w14:textId="77777777" w:rsidR="001E2C10" w:rsidRPr="001E2C10" w:rsidRDefault="001E2C10" w:rsidP="001E2C10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  <w:r w:rsidRPr="001E2C10">
              <w:rPr>
                <w:rFonts w:eastAsia="Times New Roman"/>
                <w:sz w:val="20"/>
                <w:szCs w:val="20"/>
                <w:lang w:eastAsia="en-GB"/>
              </w:rPr>
              <w:t>0 (0.0%)</w:t>
            </w:r>
          </w:p>
        </w:tc>
      </w:tr>
    </w:tbl>
    <w:p w14:paraId="114FF59B" w14:textId="77777777" w:rsidR="001E2C10" w:rsidRPr="001E2C10" w:rsidRDefault="001E2C10" w:rsidP="001E2C10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438E01AB" w14:textId="77777777" w:rsidR="001E2C10" w:rsidRPr="001E2C10" w:rsidRDefault="001E2C10" w:rsidP="001E2C10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1E2C10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NOTE: Any-grade treatment-related adverse events (TR-AEs) occurred in 100% of patients.  </w:t>
      </w:r>
    </w:p>
    <w:p w14:paraId="39E2C61A" w14:textId="77777777" w:rsidR="001E2C10" w:rsidRPr="001E2C10" w:rsidRDefault="001E2C10" w:rsidP="001E2C1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1E2C1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US" w:eastAsia="en-GB"/>
          <w14:ligatures w14:val="none"/>
        </w:rPr>
        <w:t xml:space="preserve">a </w:t>
      </w:r>
      <w:r w:rsidRPr="001E2C10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Patients with ≥ 2 treatment-emergent AEs (TE-AEs) reported with the same preferred term were only counted once using the highest Common Terminology Criteria for Adverse Events grade.</w:t>
      </w:r>
    </w:p>
    <w:p w14:paraId="4BD6AA23" w14:textId="77777777" w:rsidR="001E2C10" w:rsidRPr="001E2C10" w:rsidRDefault="001E2C10" w:rsidP="001E2C1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1E2C1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US" w:eastAsia="en-GB"/>
          <w14:ligatures w14:val="none"/>
        </w:rPr>
        <w:t xml:space="preserve">b </w:t>
      </w:r>
      <w:r w:rsidRPr="001E2C10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Patients may have experienced multiple AEs per Common Terminology Criteria for Adverse Events grade. Grade 3 TE-AEs occurred in 5 (25%) patients and included extrasystolia (n=1), arthralgias (n=1); dysuria (n=1); pneumonia (n=1), acute renal failure (n=1); diarrhea (n=1); abdominal pain (n=1).  One patient (5%) reported G≥4 AE (cerebral hemorrhage) not related to study treatment</w:t>
      </w:r>
    </w:p>
    <w:p w14:paraId="2CBB09EB" w14:textId="0549E0A1" w:rsidR="001E2C10" w:rsidRPr="001E2C10" w:rsidRDefault="001E2C10">
      <w:pPr>
        <w:rPr>
          <w:lang w:val="it-IT"/>
        </w:rPr>
      </w:pPr>
    </w:p>
    <w:sectPr w:rsidR="001E2C10" w:rsidRPr="001E2C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10"/>
    <w:rsid w:val="000167C5"/>
    <w:rsid w:val="000451D8"/>
    <w:rsid w:val="000F5620"/>
    <w:rsid w:val="000F6C56"/>
    <w:rsid w:val="00137856"/>
    <w:rsid w:val="0017766C"/>
    <w:rsid w:val="001E2C10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728723"/>
  <w15:chartTrackingRefBased/>
  <w15:docId w15:val="{12630C95-8189-C944-8A8E-5317E2D6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1E2C10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2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Giovanni Fucà</cp:lastModifiedBy>
  <cp:revision>1</cp:revision>
  <dcterms:created xsi:type="dcterms:W3CDTF">2023-08-23T18:06:00Z</dcterms:created>
  <dcterms:modified xsi:type="dcterms:W3CDTF">2023-08-23T18:07:00Z</dcterms:modified>
</cp:coreProperties>
</file>