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18D28E" w14:textId="0E841D52" w:rsidR="001F539B" w:rsidRPr="007C6B70" w:rsidRDefault="001F539B" w:rsidP="001F539B">
      <w:pPr>
        <w:spacing w:after="160" w:line="360" w:lineRule="auto"/>
        <w:rPr>
          <w:rFonts w:ascii="Helvetica" w:hAnsi="Helvetica"/>
          <w:b/>
          <w:bCs/>
          <w:kern w:val="0"/>
          <w:sz w:val="24"/>
          <w:szCs w:val="24"/>
        </w:rPr>
      </w:pPr>
      <w:r w:rsidRPr="007C6B70">
        <w:rPr>
          <w:rFonts w:ascii="Helvetica" w:hAnsi="Helvetica" w:hint="eastAsia"/>
          <w:b/>
          <w:bCs/>
          <w:kern w:val="0"/>
          <w:sz w:val="24"/>
          <w:szCs w:val="24"/>
        </w:rPr>
        <w:t xml:space="preserve">Additional file </w:t>
      </w:r>
      <w:r w:rsidR="00642FCC" w:rsidRPr="007C6B70">
        <w:rPr>
          <w:rFonts w:ascii="Helvetica" w:hAnsi="Helvetica" w:hint="eastAsia"/>
          <w:b/>
          <w:bCs/>
          <w:kern w:val="0"/>
          <w:sz w:val="24"/>
          <w:szCs w:val="24"/>
        </w:rPr>
        <w:t>3</w:t>
      </w:r>
      <w:r w:rsidRPr="007C6B70">
        <w:rPr>
          <w:rFonts w:ascii="Helvetica" w:hAnsi="Helvetica" w:hint="eastAsia"/>
          <w:b/>
          <w:bCs/>
          <w:kern w:val="0"/>
          <w:sz w:val="24"/>
          <w:szCs w:val="24"/>
        </w:rPr>
        <w:t xml:space="preserve">: </w:t>
      </w:r>
      <w:r w:rsidRPr="007C6B70">
        <w:rPr>
          <w:rFonts w:ascii="Helvetica" w:hAnsi="Helvetica"/>
          <w:b/>
          <w:bCs/>
          <w:kern w:val="0"/>
          <w:sz w:val="24"/>
          <w:szCs w:val="24"/>
        </w:rPr>
        <w:t>Discussion</w:t>
      </w:r>
    </w:p>
    <w:p w14:paraId="655267FA" w14:textId="77777777" w:rsidR="001F539B" w:rsidRPr="007C6B70" w:rsidRDefault="001F539B" w:rsidP="001F539B">
      <w:pPr>
        <w:spacing w:after="160" w:line="360" w:lineRule="auto"/>
        <w:rPr>
          <w:rFonts w:ascii="Helvetica" w:hAnsi="Helvetica"/>
          <w:kern w:val="0"/>
          <w:sz w:val="24"/>
          <w:szCs w:val="24"/>
        </w:rPr>
      </w:pPr>
    </w:p>
    <w:p w14:paraId="256BCC38" w14:textId="18C490D4" w:rsidR="001F539B" w:rsidRPr="007C6B70" w:rsidRDefault="001F539B" w:rsidP="001F539B">
      <w:pPr>
        <w:spacing w:after="160" w:line="360" w:lineRule="auto"/>
        <w:rPr>
          <w:rFonts w:ascii="Helvetica" w:hAnsi="Helvetica"/>
          <w:kern w:val="0"/>
          <w:sz w:val="24"/>
          <w:szCs w:val="24"/>
        </w:rPr>
      </w:pPr>
      <w:r w:rsidRPr="007C6B70">
        <w:rPr>
          <w:rFonts w:ascii="Helvetica" w:hAnsi="Helvetica"/>
          <w:kern w:val="0"/>
          <w:sz w:val="24"/>
          <w:szCs w:val="24"/>
        </w:rPr>
        <w:t>The purpose of the multicenter, randomi</w:t>
      </w:r>
      <w:r w:rsidR="003114EC" w:rsidRPr="007C6B70">
        <w:rPr>
          <w:rFonts w:ascii="Helvetica" w:hAnsi="Helvetica"/>
          <w:kern w:val="0"/>
          <w:sz w:val="24"/>
          <w:szCs w:val="24"/>
        </w:rPr>
        <w:t>z</w:t>
      </w:r>
      <w:r w:rsidRPr="007C6B70">
        <w:rPr>
          <w:rFonts w:ascii="Helvetica" w:hAnsi="Helvetica"/>
          <w:kern w:val="0"/>
          <w:sz w:val="24"/>
          <w:szCs w:val="24"/>
        </w:rPr>
        <w:t xml:space="preserve">ed, controlled RESONANCE study is to compare the efficacy of perioperative chemotherapy and adjuvant chemotherapy using SOX regimen in patients with locally advanced gastric cancer. </w:t>
      </w:r>
      <w:r w:rsidRPr="007C6B70">
        <w:rPr>
          <w:rFonts w:ascii="Helvetica" w:hAnsi="Helvetica"/>
          <w:kern w:val="0"/>
          <w:sz w:val="24"/>
          <w:szCs w:val="24"/>
          <w:highlight w:val="yellow"/>
        </w:rPr>
        <w:t>Results showed that the perioperative chemotherapy us</w:t>
      </w:r>
      <w:r w:rsidR="007C6B70" w:rsidRPr="007C6B70">
        <w:rPr>
          <w:rFonts w:ascii="Helvetica" w:hAnsi="Helvetica" w:hint="eastAsia"/>
          <w:kern w:val="0"/>
          <w:sz w:val="24"/>
          <w:szCs w:val="24"/>
          <w:highlight w:val="yellow"/>
        </w:rPr>
        <w:t xml:space="preserve">ing </w:t>
      </w:r>
      <w:r w:rsidRPr="007C6B70">
        <w:rPr>
          <w:rFonts w:ascii="Helvetica" w:hAnsi="Helvetica"/>
          <w:kern w:val="0"/>
          <w:sz w:val="24"/>
          <w:szCs w:val="24"/>
          <w:highlight w:val="yellow"/>
        </w:rPr>
        <w:t xml:space="preserve">SOX </w:t>
      </w:r>
      <w:r w:rsidR="007C6B70" w:rsidRPr="007C6B70">
        <w:rPr>
          <w:rFonts w:ascii="Helvetica" w:hAnsi="Helvetica" w:hint="eastAsia"/>
          <w:kern w:val="0"/>
          <w:sz w:val="24"/>
          <w:szCs w:val="24"/>
          <w:highlight w:val="yellow"/>
        </w:rPr>
        <w:t xml:space="preserve">was </w:t>
      </w:r>
      <w:r w:rsidRPr="007C6B70">
        <w:rPr>
          <w:rFonts w:ascii="Helvetica" w:hAnsi="Helvetica"/>
          <w:kern w:val="0"/>
          <w:sz w:val="24"/>
          <w:szCs w:val="24"/>
          <w:highlight w:val="yellow"/>
        </w:rPr>
        <w:t xml:space="preserve">well tolerated in Chinese patients and the adverse </w:t>
      </w:r>
      <w:r w:rsidR="003B5115" w:rsidRPr="007C6B70">
        <w:rPr>
          <w:rFonts w:ascii="Helvetica" w:hAnsi="Helvetica" w:hint="eastAsia"/>
          <w:kern w:val="0"/>
          <w:sz w:val="24"/>
          <w:szCs w:val="24"/>
          <w:highlight w:val="yellow"/>
        </w:rPr>
        <w:t>event</w:t>
      </w:r>
      <w:r w:rsidRPr="007C6B70">
        <w:rPr>
          <w:rFonts w:ascii="Helvetica" w:hAnsi="Helvetica"/>
          <w:kern w:val="0"/>
          <w:sz w:val="24"/>
          <w:szCs w:val="24"/>
          <w:highlight w:val="yellow"/>
        </w:rPr>
        <w:t>s are acceptable.</w:t>
      </w:r>
      <w:r w:rsidRPr="007C6B70">
        <w:rPr>
          <w:rFonts w:ascii="Helvetica" w:hAnsi="Helvetica"/>
          <w:kern w:val="0"/>
          <w:sz w:val="24"/>
          <w:szCs w:val="24"/>
        </w:rPr>
        <w:t xml:space="preserve"> Compared with adjuvant chemotherapy, perioperative chemotherapy </w:t>
      </w:r>
      <w:r w:rsidR="007C6B70" w:rsidRPr="00E13697">
        <w:rPr>
          <w:rFonts w:ascii="Helvetica" w:hAnsi="Helvetica" w:hint="eastAsia"/>
          <w:kern w:val="0"/>
          <w:sz w:val="24"/>
          <w:szCs w:val="24"/>
          <w:highlight w:val="yellow"/>
        </w:rPr>
        <w:t>tend</w:t>
      </w:r>
      <w:r w:rsidR="00E13697">
        <w:rPr>
          <w:rFonts w:ascii="Helvetica" w:hAnsi="Helvetica" w:hint="eastAsia"/>
          <w:kern w:val="0"/>
          <w:sz w:val="24"/>
          <w:szCs w:val="24"/>
          <w:highlight w:val="yellow"/>
        </w:rPr>
        <w:t>ed</w:t>
      </w:r>
      <w:r w:rsidR="007C6B70" w:rsidRPr="00E13697">
        <w:rPr>
          <w:rFonts w:ascii="Helvetica" w:hAnsi="Helvetica" w:hint="eastAsia"/>
          <w:kern w:val="0"/>
          <w:sz w:val="24"/>
          <w:szCs w:val="24"/>
          <w:highlight w:val="yellow"/>
        </w:rPr>
        <w:t xml:space="preserve"> to</w:t>
      </w:r>
      <w:r w:rsidRPr="007C6B70">
        <w:rPr>
          <w:rFonts w:ascii="Helvetica" w:hAnsi="Helvetica"/>
          <w:kern w:val="0"/>
          <w:sz w:val="24"/>
          <w:szCs w:val="24"/>
        </w:rPr>
        <w:t xml:space="preserve"> increase DFS</w:t>
      </w:r>
      <w:r w:rsidR="007C6B70">
        <w:rPr>
          <w:rFonts w:ascii="Helvetica" w:hAnsi="Helvetica" w:hint="eastAsia"/>
          <w:kern w:val="0"/>
          <w:sz w:val="24"/>
          <w:szCs w:val="24"/>
        </w:rPr>
        <w:t>.</w:t>
      </w:r>
      <w:r w:rsidRPr="007C6B70">
        <w:rPr>
          <w:rFonts w:ascii="Helvetica" w:hAnsi="Helvetica"/>
          <w:kern w:val="0"/>
          <w:sz w:val="24"/>
          <w:szCs w:val="24"/>
        </w:rPr>
        <w:t xml:space="preserve"> </w:t>
      </w:r>
      <w:r w:rsidR="007C6B70" w:rsidRPr="007C6B70">
        <w:rPr>
          <w:rFonts w:ascii="Helvetica" w:hAnsi="Helvetica" w:hint="eastAsia"/>
          <w:kern w:val="0"/>
          <w:sz w:val="24"/>
          <w:szCs w:val="24"/>
          <w:highlight w:val="yellow"/>
        </w:rPr>
        <w:t>T</w:t>
      </w:r>
      <w:r w:rsidRPr="007C6B70">
        <w:rPr>
          <w:rFonts w:ascii="Helvetica" w:hAnsi="Helvetica"/>
          <w:kern w:val="0"/>
          <w:sz w:val="24"/>
          <w:szCs w:val="24"/>
          <w:highlight w:val="yellow"/>
        </w:rPr>
        <w:t>he R0 resection rate</w:t>
      </w:r>
      <w:r w:rsidR="007C6B70" w:rsidRPr="007C6B70">
        <w:rPr>
          <w:rFonts w:ascii="Helvetica" w:hAnsi="Helvetica" w:hint="eastAsia"/>
          <w:kern w:val="0"/>
          <w:sz w:val="24"/>
          <w:szCs w:val="24"/>
          <w:highlight w:val="yellow"/>
        </w:rPr>
        <w:t xml:space="preserve"> was significantly higher </w:t>
      </w:r>
      <w:r w:rsidRPr="007C6B70">
        <w:rPr>
          <w:rFonts w:ascii="Helvetica" w:hAnsi="Helvetica"/>
          <w:kern w:val="0"/>
          <w:sz w:val="24"/>
          <w:szCs w:val="24"/>
          <w:highlight w:val="yellow"/>
        </w:rPr>
        <w:t>in stage III</w:t>
      </w:r>
      <w:r w:rsidR="007C6B70" w:rsidRPr="007C6B70">
        <w:rPr>
          <w:rFonts w:ascii="Helvetica" w:hAnsi="Helvetica" w:hint="eastAsia"/>
          <w:kern w:val="0"/>
          <w:sz w:val="24"/>
          <w:szCs w:val="24"/>
          <w:highlight w:val="yellow"/>
        </w:rPr>
        <w:t>C</w:t>
      </w:r>
      <w:r w:rsidRPr="007C6B70">
        <w:rPr>
          <w:rFonts w:ascii="Helvetica" w:hAnsi="Helvetica"/>
          <w:kern w:val="0"/>
          <w:sz w:val="24"/>
          <w:szCs w:val="24"/>
          <w:highlight w:val="yellow"/>
        </w:rPr>
        <w:t>.</w:t>
      </w:r>
      <w:r w:rsidRPr="007C6B70">
        <w:rPr>
          <w:rFonts w:ascii="Helvetica" w:hAnsi="Helvetica"/>
          <w:kern w:val="0"/>
          <w:sz w:val="24"/>
          <w:szCs w:val="24"/>
        </w:rPr>
        <w:t xml:space="preserve"> </w:t>
      </w:r>
      <w:r w:rsidRPr="007C6B70">
        <w:rPr>
          <w:rFonts w:ascii="Helvetica" w:hAnsi="Helvetica"/>
          <w:kern w:val="0"/>
          <w:sz w:val="24"/>
          <w:szCs w:val="24"/>
          <w:highlight w:val="yellow"/>
        </w:rPr>
        <w:t xml:space="preserve">Therefore, it was found that perioperative chemotherapy using the SOX regimen </w:t>
      </w:r>
      <w:r w:rsidR="007C6B70" w:rsidRPr="007C6B70">
        <w:rPr>
          <w:rFonts w:ascii="Helvetica" w:hAnsi="Helvetica" w:hint="eastAsia"/>
          <w:kern w:val="0"/>
          <w:sz w:val="24"/>
          <w:szCs w:val="24"/>
          <w:highlight w:val="yellow"/>
        </w:rPr>
        <w:t>might</w:t>
      </w:r>
      <w:r w:rsidRPr="007C6B70">
        <w:rPr>
          <w:rFonts w:ascii="Helvetica" w:hAnsi="Helvetica"/>
          <w:kern w:val="0"/>
          <w:sz w:val="24"/>
          <w:szCs w:val="24"/>
          <w:highlight w:val="yellow"/>
        </w:rPr>
        <w:t xml:space="preserve"> benefit patients with locally advanced gastric cancer</w:t>
      </w:r>
      <w:r w:rsidR="007C6B70" w:rsidRPr="007C6B70">
        <w:rPr>
          <w:rFonts w:ascii="Helvetica" w:hAnsi="Helvetica" w:hint="eastAsia"/>
          <w:kern w:val="0"/>
          <w:sz w:val="24"/>
          <w:szCs w:val="24"/>
          <w:highlight w:val="yellow"/>
        </w:rPr>
        <w:t xml:space="preserve"> from a clinical perspective</w:t>
      </w:r>
      <w:r w:rsidRPr="007C6B70">
        <w:rPr>
          <w:rFonts w:ascii="Helvetica" w:hAnsi="Helvetica"/>
          <w:kern w:val="0"/>
          <w:sz w:val="24"/>
          <w:szCs w:val="24"/>
          <w:highlight w:val="yellow"/>
        </w:rPr>
        <w:t>.</w:t>
      </w:r>
    </w:p>
    <w:p w14:paraId="43D71367" w14:textId="41A1F731" w:rsidR="001F539B" w:rsidRPr="007C6B70" w:rsidRDefault="001F539B" w:rsidP="001F539B">
      <w:pPr>
        <w:spacing w:after="160" w:line="360" w:lineRule="auto"/>
        <w:rPr>
          <w:rFonts w:ascii="Helvetica" w:hAnsi="Helvetica"/>
          <w:kern w:val="0"/>
          <w:sz w:val="24"/>
          <w:szCs w:val="24"/>
        </w:rPr>
      </w:pPr>
      <w:r w:rsidRPr="007C6B70">
        <w:rPr>
          <w:rFonts w:ascii="Helvetica" w:hAnsi="Helvetica"/>
          <w:kern w:val="0"/>
          <w:sz w:val="24"/>
          <w:szCs w:val="24"/>
        </w:rPr>
        <w:t xml:space="preserve">In the present study, the </w:t>
      </w:r>
      <w:proofErr w:type="spellStart"/>
      <w:r w:rsidR="007978ED" w:rsidRPr="007C6B70">
        <w:rPr>
          <w:rFonts w:ascii="Helvetica" w:hAnsi="Helvetica" w:hint="eastAsia"/>
          <w:kern w:val="0"/>
          <w:sz w:val="24"/>
          <w:szCs w:val="24"/>
        </w:rPr>
        <w:t>p</w:t>
      </w:r>
      <w:r w:rsidRPr="007C6B70">
        <w:rPr>
          <w:rFonts w:ascii="Helvetica" w:hAnsi="Helvetica"/>
          <w:kern w:val="0"/>
          <w:sz w:val="24"/>
          <w:szCs w:val="24"/>
        </w:rPr>
        <w:t>CR</w:t>
      </w:r>
      <w:proofErr w:type="spellEnd"/>
      <w:r w:rsidRPr="007C6B70">
        <w:rPr>
          <w:rFonts w:ascii="Helvetica" w:hAnsi="Helvetica"/>
          <w:kern w:val="0"/>
          <w:sz w:val="24"/>
          <w:szCs w:val="24"/>
        </w:rPr>
        <w:t xml:space="preserve"> rate of the PC group was 23</w:t>
      </w:r>
      <w:r w:rsidR="00346396" w:rsidRPr="007C6B70">
        <w:rPr>
          <w:rFonts w:ascii="Helvetica" w:hAnsi="Helvetica"/>
          <w:kern w:val="0"/>
          <w:sz w:val="24"/>
          <w:szCs w:val="24"/>
        </w:rPr>
        <w:t>.</w:t>
      </w:r>
      <w:r w:rsidRPr="007C6B70">
        <w:rPr>
          <w:rFonts w:ascii="Helvetica" w:hAnsi="Helvetica"/>
          <w:kern w:val="0"/>
          <w:sz w:val="24"/>
          <w:szCs w:val="24"/>
        </w:rPr>
        <w:t>6%, which was higher than that in the FLOT4 study</w:t>
      </w:r>
      <w:r w:rsidR="00E1725F" w:rsidRPr="007C6B70">
        <w:rPr>
          <w:rFonts w:ascii="Helvetica" w:hAnsi="Helvetica" w:hint="eastAsia"/>
          <w:kern w:val="0"/>
          <w:sz w:val="24"/>
          <w:szCs w:val="24"/>
        </w:rPr>
        <w:t xml:space="preserve"> [1]</w:t>
      </w:r>
      <w:r w:rsidRPr="007C6B70">
        <w:rPr>
          <w:rFonts w:ascii="Helvetica" w:hAnsi="Helvetica"/>
          <w:kern w:val="0"/>
          <w:sz w:val="24"/>
          <w:szCs w:val="24"/>
        </w:rPr>
        <w:t>. It may suggest that the SOX regimen seemed to be a good choice in this regard</w:t>
      </w:r>
      <w:r w:rsidR="00B3266B" w:rsidRPr="007C6B70">
        <w:rPr>
          <w:rFonts w:ascii="Helvetica" w:hAnsi="Helvetica" w:hint="eastAsia"/>
          <w:kern w:val="0"/>
          <w:sz w:val="24"/>
          <w:szCs w:val="24"/>
        </w:rPr>
        <w:t xml:space="preserve">, although the relationship between </w:t>
      </w:r>
      <w:proofErr w:type="spellStart"/>
      <w:r w:rsidR="00B3266B" w:rsidRPr="007C6B70">
        <w:rPr>
          <w:rFonts w:ascii="Helvetica" w:hAnsi="Helvetica" w:hint="eastAsia"/>
          <w:kern w:val="0"/>
          <w:sz w:val="24"/>
          <w:szCs w:val="24"/>
        </w:rPr>
        <w:t>pCR</w:t>
      </w:r>
      <w:proofErr w:type="spellEnd"/>
      <w:r w:rsidR="00B3266B" w:rsidRPr="007C6B70">
        <w:rPr>
          <w:rFonts w:ascii="Helvetica" w:hAnsi="Helvetica" w:hint="eastAsia"/>
          <w:kern w:val="0"/>
          <w:sz w:val="24"/>
          <w:szCs w:val="24"/>
        </w:rPr>
        <w:t xml:space="preserve"> rate and patients</w:t>
      </w:r>
      <w:r w:rsidR="00B3266B" w:rsidRPr="007C6B70">
        <w:rPr>
          <w:rFonts w:ascii="Helvetica" w:hAnsi="Helvetica"/>
          <w:kern w:val="0"/>
          <w:sz w:val="24"/>
          <w:szCs w:val="24"/>
        </w:rPr>
        <w:t>’</w:t>
      </w:r>
      <w:r w:rsidR="00B3266B" w:rsidRPr="007C6B70">
        <w:rPr>
          <w:rFonts w:ascii="Helvetica" w:hAnsi="Helvetica" w:hint="eastAsia"/>
          <w:kern w:val="0"/>
          <w:sz w:val="24"/>
          <w:szCs w:val="24"/>
        </w:rPr>
        <w:t xml:space="preserve"> survival has not been confirmed</w:t>
      </w:r>
      <w:r w:rsidRPr="007C6B70">
        <w:rPr>
          <w:rFonts w:ascii="Helvetica" w:hAnsi="Helvetica"/>
          <w:kern w:val="0"/>
          <w:sz w:val="24"/>
          <w:szCs w:val="24"/>
        </w:rPr>
        <w:t xml:space="preserve">. However, firstly, compared with the FLOT4 study, the PC arm included more patients in a relatively early stage, which seemed to prompt us that it was one of the reasons for the high </w:t>
      </w:r>
      <w:proofErr w:type="spellStart"/>
      <w:r w:rsidR="007978ED" w:rsidRPr="007C6B70">
        <w:rPr>
          <w:rFonts w:ascii="Helvetica" w:hAnsi="Helvetica" w:hint="eastAsia"/>
          <w:kern w:val="0"/>
          <w:sz w:val="24"/>
          <w:szCs w:val="24"/>
        </w:rPr>
        <w:t>p</w:t>
      </w:r>
      <w:r w:rsidRPr="007C6B70">
        <w:rPr>
          <w:rFonts w:ascii="Helvetica" w:hAnsi="Helvetica"/>
          <w:kern w:val="0"/>
          <w:sz w:val="24"/>
          <w:szCs w:val="24"/>
        </w:rPr>
        <w:t>CR</w:t>
      </w:r>
      <w:proofErr w:type="spellEnd"/>
      <w:r w:rsidRPr="007C6B70">
        <w:rPr>
          <w:rFonts w:ascii="Helvetica" w:hAnsi="Helvetica"/>
          <w:kern w:val="0"/>
          <w:sz w:val="24"/>
          <w:szCs w:val="24"/>
        </w:rPr>
        <w:t xml:space="preserve"> rate. There may also be deviations in the stage evaluation because a small number of researchers did not conduct blind evaluation, and especially use laparoscopic exploration as an option, which may even lead to the inclusion of some stage I patients. The percentage of patients with </w:t>
      </w:r>
      <w:proofErr w:type="spellStart"/>
      <w:r w:rsidRPr="007C6B70">
        <w:rPr>
          <w:rFonts w:ascii="Helvetica" w:hAnsi="Helvetica" w:hint="eastAsia"/>
          <w:kern w:val="0"/>
          <w:sz w:val="24"/>
          <w:szCs w:val="24"/>
        </w:rPr>
        <w:t>pCR</w:t>
      </w:r>
      <w:proofErr w:type="spellEnd"/>
      <w:r w:rsidRPr="007C6B70">
        <w:rPr>
          <w:rFonts w:ascii="Helvetica" w:hAnsi="Helvetica" w:hint="eastAsia"/>
          <w:kern w:val="0"/>
          <w:sz w:val="24"/>
          <w:szCs w:val="24"/>
        </w:rPr>
        <w:t xml:space="preserve"> </w:t>
      </w:r>
      <w:r w:rsidRPr="007C6B70">
        <w:rPr>
          <w:rFonts w:ascii="Helvetica" w:hAnsi="Helvetica"/>
          <w:kern w:val="0"/>
          <w:sz w:val="24"/>
          <w:szCs w:val="24"/>
        </w:rPr>
        <w:t>assessed by the third party w</w:t>
      </w:r>
      <w:r w:rsidRPr="007C6B70">
        <w:rPr>
          <w:rFonts w:ascii="Helvetica" w:hAnsi="Helvetica" w:hint="eastAsia"/>
          <w:kern w:val="0"/>
          <w:sz w:val="24"/>
          <w:szCs w:val="24"/>
        </w:rPr>
        <w:t xml:space="preserve">as </w:t>
      </w:r>
      <w:r w:rsidRPr="007C6B70">
        <w:rPr>
          <w:rFonts w:ascii="Helvetica" w:hAnsi="Helvetica"/>
          <w:kern w:val="0"/>
          <w:sz w:val="24"/>
          <w:szCs w:val="24"/>
        </w:rPr>
        <w:t>lower than that by investigators</w:t>
      </w:r>
      <w:r w:rsidR="00DA7454" w:rsidRPr="007C6B70">
        <w:rPr>
          <w:rFonts w:ascii="Helvetica" w:hAnsi="Helvetica" w:hint="eastAsia"/>
          <w:kern w:val="0"/>
          <w:sz w:val="24"/>
          <w:szCs w:val="24"/>
        </w:rPr>
        <w:t xml:space="preserve"> (22.3% vs 23.6%)</w:t>
      </w:r>
      <w:r w:rsidRPr="007C6B70">
        <w:rPr>
          <w:rFonts w:ascii="Helvetica" w:hAnsi="Helvetica"/>
          <w:kern w:val="0"/>
          <w:sz w:val="24"/>
          <w:szCs w:val="24"/>
        </w:rPr>
        <w:t xml:space="preserve">. </w:t>
      </w:r>
      <w:r w:rsidR="00B3266B" w:rsidRPr="007C6B70">
        <w:rPr>
          <w:rFonts w:ascii="Helvetica" w:hAnsi="Helvetica" w:hint="eastAsia"/>
          <w:kern w:val="0"/>
          <w:sz w:val="24"/>
          <w:szCs w:val="24"/>
        </w:rPr>
        <w:t>Secondly</w:t>
      </w:r>
      <w:r w:rsidRPr="007C6B70">
        <w:rPr>
          <w:rFonts w:ascii="Helvetica" w:hAnsi="Helvetica"/>
          <w:kern w:val="0"/>
          <w:sz w:val="24"/>
          <w:szCs w:val="24"/>
        </w:rPr>
        <w:t>,</w:t>
      </w:r>
      <w:r w:rsidR="00B3266B" w:rsidRPr="007C6B70">
        <w:rPr>
          <w:rFonts w:ascii="Helvetica" w:hAnsi="Helvetica" w:hint="eastAsia"/>
          <w:kern w:val="0"/>
          <w:sz w:val="24"/>
          <w:szCs w:val="24"/>
        </w:rPr>
        <w:t xml:space="preserve"> </w:t>
      </w:r>
      <w:r w:rsidRPr="007C6B70">
        <w:rPr>
          <w:rFonts w:ascii="Helvetica" w:hAnsi="Helvetica"/>
          <w:kern w:val="0"/>
          <w:sz w:val="24"/>
          <w:szCs w:val="24"/>
        </w:rPr>
        <w:t>patients with adenocarcinoma of the esophagogastric junction (AEG) were included in the study. The fact that some patients had little response to the SOX regimen could be caused by the pathology type. Lauren’s classification and microsatellite instability status w</w:t>
      </w:r>
      <w:r w:rsidR="003114EC" w:rsidRPr="007C6B70">
        <w:rPr>
          <w:rFonts w:ascii="Helvetica" w:hAnsi="Helvetica"/>
          <w:kern w:val="0"/>
          <w:sz w:val="24"/>
          <w:szCs w:val="24"/>
        </w:rPr>
        <w:t>ere</w:t>
      </w:r>
      <w:r w:rsidRPr="007C6B70">
        <w:rPr>
          <w:rFonts w:ascii="Helvetica" w:hAnsi="Helvetica"/>
          <w:kern w:val="0"/>
          <w:sz w:val="24"/>
          <w:szCs w:val="24"/>
        </w:rPr>
        <w:t xml:space="preserve"> not used in the study and may be used for further analysis.</w:t>
      </w:r>
    </w:p>
    <w:p w14:paraId="2D102AB7" w14:textId="59167A09" w:rsidR="001F539B" w:rsidRPr="007C6B70" w:rsidRDefault="001F539B" w:rsidP="001F539B">
      <w:pPr>
        <w:spacing w:after="160" w:line="360" w:lineRule="auto"/>
        <w:rPr>
          <w:rFonts w:ascii="Helvetica" w:hAnsi="Helvetica"/>
          <w:kern w:val="0"/>
          <w:sz w:val="24"/>
          <w:szCs w:val="24"/>
        </w:rPr>
      </w:pPr>
      <w:r w:rsidRPr="007C6B70">
        <w:rPr>
          <w:rFonts w:ascii="Helvetica" w:hAnsi="Helvetica"/>
          <w:kern w:val="0"/>
          <w:sz w:val="24"/>
          <w:szCs w:val="24"/>
        </w:rPr>
        <w:lastRenderedPageBreak/>
        <w:t>The FLOT4 study showed that the R0 resection rates in the ECF/ECX group and FLOT group were 78% and 85%, respectively</w:t>
      </w:r>
      <w:r w:rsidRPr="007C6B70">
        <w:rPr>
          <w:rFonts w:ascii="Helvetica" w:hAnsi="Helvetica" w:hint="eastAsia"/>
          <w:kern w:val="0"/>
          <w:sz w:val="24"/>
          <w:szCs w:val="24"/>
        </w:rPr>
        <w:t xml:space="preserve"> [1]</w:t>
      </w:r>
      <w:r w:rsidRPr="007C6B70">
        <w:rPr>
          <w:rFonts w:ascii="Helvetica" w:hAnsi="Helvetica"/>
          <w:kern w:val="0"/>
          <w:sz w:val="24"/>
          <w:szCs w:val="24"/>
        </w:rPr>
        <w:t>. In the FNCLCC/FFCD 9703 study, 87% of the patients who underwent neoadjuvant chemotherapy with the CF regimen achieved R0 resection</w:t>
      </w:r>
      <w:r w:rsidRPr="007C6B70">
        <w:rPr>
          <w:rFonts w:ascii="Helvetica" w:hAnsi="Helvetica" w:hint="eastAsia"/>
          <w:kern w:val="0"/>
          <w:sz w:val="24"/>
          <w:szCs w:val="24"/>
        </w:rPr>
        <w:t xml:space="preserve"> [2]</w:t>
      </w:r>
      <w:r w:rsidRPr="007C6B70">
        <w:rPr>
          <w:rFonts w:ascii="Helvetica" w:hAnsi="Helvetica"/>
          <w:kern w:val="0"/>
          <w:sz w:val="24"/>
          <w:szCs w:val="24"/>
        </w:rPr>
        <w:t xml:space="preserve">. </w:t>
      </w:r>
      <w:r w:rsidR="003114EC" w:rsidRPr="007C6B70">
        <w:rPr>
          <w:rFonts w:ascii="Helvetica" w:hAnsi="Helvetica"/>
          <w:kern w:val="0"/>
          <w:sz w:val="24"/>
          <w:szCs w:val="24"/>
        </w:rPr>
        <w:t>The JCOG0501 study is a randomized phase 3 trial from Japan that</w:t>
      </w:r>
      <w:r w:rsidRPr="007C6B70">
        <w:rPr>
          <w:rFonts w:ascii="Helvetica" w:hAnsi="Helvetica"/>
          <w:kern w:val="0"/>
          <w:sz w:val="24"/>
          <w:szCs w:val="24"/>
        </w:rPr>
        <w:t xml:space="preserve"> compared gastrectomy plus adjuvant chemotherapy</w:t>
      </w:r>
      <w:r w:rsidR="00FF335F" w:rsidRPr="007C6B70">
        <w:rPr>
          <w:rFonts w:ascii="Helvetica" w:hAnsi="Helvetica" w:hint="eastAsia"/>
          <w:kern w:val="0"/>
          <w:sz w:val="24"/>
          <w:szCs w:val="24"/>
        </w:rPr>
        <w:t xml:space="preserve"> </w:t>
      </w:r>
      <w:r w:rsidRPr="007C6B70">
        <w:rPr>
          <w:rFonts w:ascii="Helvetica" w:hAnsi="Helvetica"/>
          <w:kern w:val="0"/>
          <w:sz w:val="24"/>
          <w:szCs w:val="24"/>
        </w:rPr>
        <w:t xml:space="preserve">with preoperative chemotherapy followed by gastrectomy </w:t>
      </w:r>
      <w:r w:rsidR="00FF335F" w:rsidRPr="007C6B70">
        <w:rPr>
          <w:rFonts w:ascii="Helvetica" w:hAnsi="Helvetica" w:hint="eastAsia"/>
          <w:kern w:val="0"/>
          <w:sz w:val="24"/>
          <w:szCs w:val="24"/>
        </w:rPr>
        <w:t>and</w:t>
      </w:r>
      <w:r w:rsidRPr="007C6B70">
        <w:rPr>
          <w:rFonts w:ascii="Helvetica" w:hAnsi="Helvetica"/>
          <w:kern w:val="0"/>
          <w:sz w:val="24"/>
          <w:szCs w:val="24"/>
        </w:rPr>
        <w:t xml:space="preserve"> adjuvant chemotherapy. Short-term results showed that 80</w:t>
      </w:r>
      <w:r w:rsidR="00346396" w:rsidRPr="007C6B70">
        <w:rPr>
          <w:rFonts w:ascii="Helvetica" w:hAnsi="Helvetica"/>
          <w:kern w:val="0"/>
          <w:sz w:val="24"/>
          <w:szCs w:val="24"/>
        </w:rPr>
        <w:t>.</w:t>
      </w:r>
      <w:r w:rsidRPr="007C6B70">
        <w:rPr>
          <w:rFonts w:ascii="Helvetica" w:hAnsi="Helvetica"/>
          <w:kern w:val="0"/>
          <w:sz w:val="24"/>
          <w:szCs w:val="24"/>
        </w:rPr>
        <w:t>6% of patients receiving preoperative chemotherapy with S-1/CDDP achieved R0 resection</w:t>
      </w:r>
      <w:r w:rsidR="00FF335F" w:rsidRPr="007C6B70">
        <w:rPr>
          <w:rFonts w:ascii="Helvetica" w:hAnsi="Helvetica" w:hint="eastAsia"/>
          <w:kern w:val="0"/>
          <w:sz w:val="24"/>
          <w:szCs w:val="24"/>
        </w:rPr>
        <w:t xml:space="preserve"> [3]</w:t>
      </w:r>
      <w:r w:rsidRPr="007C6B70">
        <w:rPr>
          <w:rFonts w:ascii="Helvetica" w:hAnsi="Helvetica"/>
          <w:kern w:val="0"/>
          <w:sz w:val="24"/>
          <w:szCs w:val="24"/>
        </w:rPr>
        <w:t>. In the present study, the R0 resection rate in the PC arm was 94</w:t>
      </w:r>
      <w:r w:rsidR="00346396" w:rsidRPr="007C6B70">
        <w:rPr>
          <w:rFonts w:ascii="Helvetica" w:hAnsi="Helvetica"/>
          <w:kern w:val="0"/>
          <w:sz w:val="24"/>
          <w:szCs w:val="24"/>
        </w:rPr>
        <w:t>.</w:t>
      </w:r>
      <w:r w:rsidRPr="007C6B70">
        <w:rPr>
          <w:rFonts w:ascii="Helvetica" w:hAnsi="Helvetica"/>
          <w:kern w:val="0"/>
          <w:sz w:val="24"/>
          <w:szCs w:val="24"/>
        </w:rPr>
        <w:t xml:space="preserve">9%, which was significantly higher than that in the AC arm </w:t>
      </w:r>
      <w:r w:rsidR="00FF335F" w:rsidRPr="007C6B70">
        <w:rPr>
          <w:rFonts w:ascii="Helvetica" w:hAnsi="Helvetica"/>
          <w:kern w:val="0"/>
          <w:sz w:val="24"/>
          <w:szCs w:val="24"/>
        </w:rPr>
        <w:t>and</w:t>
      </w:r>
      <w:r w:rsidRPr="007C6B70">
        <w:rPr>
          <w:rFonts w:ascii="Helvetica" w:hAnsi="Helvetica"/>
          <w:kern w:val="0"/>
          <w:sz w:val="24"/>
          <w:szCs w:val="24"/>
        </w:rPr>
        <w:t xml:space="preserve"> higher than that in the studies mentioned above. Although in the present study, CT, EUS, and diagnostic laparoscopic exploration were used to evaluate the stage, the clinical staging was still required to be more precise because a lack of precise clinical staging could result in a higher R0 resection rate. </w:t>
      </w:r>
    </w:p>
    <w:p w14:paraId="60436F38" w14:textId="493D76BF" w:rsidR="001F539B" w:rsidRPr="007C6B70" w:rsidRDefault="008F0919" w:rsidP="001F539B">
      <w:pPr>
        <w:spacing w:after="160" w:line="360" w:lineRule="auto"/>
        <w:rPr>
          <w:rFonts w:ascii="Helvetica" w:hAnsi="Helvetica"/>
          <w:kern w:val="0"/>
          <w:sz w:val="24"/>
          <w:szCs w:val="24"/>
        </w:rPr>
      </w:pPr>
      <w:r w:rsidRPr="007C6B70">
        <w:rPr>
          <w:rFonts w:ascii="Helvetica" w:hAnsi="Helvetica" w:hint="eastAsia"/>
          <w:kern w:val="0"/>
          <w:sz w:val="24"/>
          <w:szCs w:val="24"/>
        </w:rPr>
        <w:t xml:space="preserve">According to the </w:t>
      </w:r>
      <w:r w:rsidR="001F539B" w:rsidRPr="007C6B70">
        <w:rPr>
          <w:rFonts w:ascii="Helvetica" w:hAnsi="Helvetica"/>
          <w:kern w:val="0"/>
          <w:sz w:val="24"/>
          <w:szCs w:val="24"/>
        </w:rPr>
        <w:t>CSCO (Chinese Society of Clinical Oncology) guidelines, patients in stage cT3-4aN+M0</w:t>
      </w:r>
      <w:r w:rsidRPr="007C6B70">
        <w:rPr>
          <w:rFonts w:ascii="Helvetica" w:hAnsi="Helvetica" w:hint="eastAsia"/>
          <w:kern w:val="0"/>
          <w:sz w:val="24"/>
          <w:szCs w:val="24"/>
        </w:rPr>
        <w:t>/</w:t>
      </w:r>
      <w:r w:rsidR="00506C8B" w:rsidRPr="007C6B70">
        <w:rPr>
          <w:rFonts w:ascii="Helvetica" w:hAnsi="Helvetica" w:hint="eastAsia"/>
          <w:kern w:val="0"/>
          <w:sz w:val="24"/>
          <w:szCs w:val="24"/>
        </w:rPr>
        <w:t xml:space="preserve">stage </w:t>
      </w:r>
      <w:proofErr w:type="spellStart"/>
      <w:r w:rsidR="001F539B" w:rsidRPr="007C6B70">
        <w:rPr>
          <w:rFonts w:ascii="Helvetica" w:hAnsi="Helvetica"/>
          <w:kern w:val="0"/>
          <w:sz w:val="24"/>
          <w:szCs w:val="24"/>
        </w:rPr>
        <w:t>cIII</w:t>
      </w:r>
      <w:proofErr w:type="spellEnd"/>
      <w:r w:rsidR="001F539B" w:rsidRPr="007C6B70">
        <w:rPr>
          <w:rFonts w:ascii="Helvetica" w:hAnsi="Helvetica"/>
          <w:kern w:val="0"/>
          <w:sz w:val="24"/>
          <w:szCs w:val="24"/>
        </w:rPr>
        <w:t xml:space="preserve"> are recommended neoadjuvant chemotherapy</w:t>
      </w:r>
      <w:r w:rsidRPr="007C6B70">
        <w:rPr>
          <w:rFonts w:ascii="Helvetica" w:hAnsi="Helvetica" w:hint="eastAsia"/>
          <w:kern w:val="0"/>
          <w:sz w:val="24"/>
          <w:szCs w:val="24"/>
        </w:rPr>
        <w:t xml:space="preserve"> [4]</w:t>
      </w:r>
      <w:r w:rsidR="001F539B" w:rsidRPr="007C6B70">
        <w:rPr>
          <w:rFonts w:ascii="Helvetica" w:hAnsi="Helvetica"/>
          <w:kern w:val="0"/>
          <w:sz w:val="24"/>
          <w:szCs w:val="24"/>
        </w:rPr>
        <w:t xml:space="preserve">. In our study, </w:t>
      </w:r>
      <w:r w:rsidR="001F539B" w:rsidRPr="00F37A3C">
        <w:rPr>
          <w:rFonts w:ascii="Helvetica" w:hAnsi="Helvetica"/>
          <w:kern w:val="0"/>
          <w:sz w:val="24"/>
          <w:szCs w:val="24"/>
          <w:highlight w:val="yellow"/>
        </w:rPr>
        <w:t>the results showed that DFS</w:t>
      </w:r>
      <w:r w:rsidR="00F37A3C" w:rsidRPr="00F37A3C">
        <w:rPr>
          <w:rFonts w:ascii="Helvetica" w:hAnsi="Helvetica" w:hint="eastAsia"/>
          <w:kern w:val="0"/>
          <w:sz w:val="24"/>
          <w:szCs w:val="24"/>
          <w:highlight w:val="yellow"/>
        </w:rPr>
        <w:t xml:space="preserve"> of stage III</w:t>
      </w:r>
      <w:r w:rsidR="001F539B" w:rsidRPr="00F37A3C">
        <w:rPr>
          <w:rFonts w:ascii="Helvetica" w:hAnsi="Helvetica"/>
          <w:kern w:val="0"/>
          <w:sz w:val="24"/>
          <w:szCs w:val="24"/>
          <w:highlight w:val="yellow"/>
        </w:rPr>
        <w:t xml:space="preserve"> and R0 resection rates of stage III</w:t>
      </w:r>
      <w:r w:rsidR="00F37A3C">
        <w:rPr>
          <w:rFonts w:ascii="Helvetica" w:hAnsi="Helvetica" w:hint="eastAsia"/>
          <w:kern w:val="0"/>
          <w:sz w:val="24"/>
          <w:szCs w:val="24"/>
          <w:highlight w:val="yellow"/>
        </w:rPr>
        <w:t>C</w:t>
      </w:r>
      <w:r w:rsidR="001F539B" w:rsidRPr="00F37A3C">
        <w:rPr>
          <w:rFonts w:ascii="Helvetica" w:hAnsi="Helvetica"/>
          <w:kern w:val="0"/>
          <w:sz w:val="24"/>
          <w:szCs w:val="24"/>
          <w:highlight w:val="yellow"/>
        </w:rPr>
        <w:t xml:space="preserve"> in the PC group were higher than those in the AC group</w:t>
      </w:r>
      <w:r w:rsidR="001F539B" w:rsidRPr="007C6B70">
        <w:rPr>
          <w:rFonts w:ascii="Helvetica" w:hAnsi="Helvetica"/>
          <w:kern w:val="0"/>
          <w:sz w:val="24"/>
          <w:szCs w:val="24"/>
        </w:rPr>
        <w:t>, which may indicate that neoadjuvant chemotherapy using SOX regimen could bring more benefits to Chinese gastric cancer patients with stage III</w:t>
      </w:r>
      <w:r w:rsidR="001E2AAA">
        <w:rPr>
          <w:rFonts w:ascii="Helvetica" w:hAnsi="Helvetica" w:hint="eastAsia"/>
          <w:kern w:val="0"/>
          <w:sz w:val="24"/>
          <w:szCs w:val="24"/>
        </w:rPr>
        <w:t xml:space="preserve"> </w:t>
      </w:r>
      <w:r w:rsidR="001F539B" w:rsidRPr="007C6B70">
        <w:rPr>
          <w:rFonts w:ascii="Helvetica" w:hAnsi="Helvetica"/>
          <w:kern w:val="0"/>
          <w:sz w:val="24"/>
          <w:szCs w:val="24"/>
        </w:rPr>
        <w:t>disease.</w:t>
      </w:r>
    </w:p>
    <w:p w14:paraId="160E8ECA" w14:textId="763F2DAD" w:rsidR="001F539B" w:rsidRPr="007C6B70" w:rsidRDefault="001F539B" w:rsidP="001F539B">
      <w:pPr>
        <w:spacing w:after="160" w:line="360" w:lineRule="auto"/>
        <w:rPr>
          <w:rFonts w:ascii="Helvetica" w:hAnsi="Helvetica"/>
          <w:kern w:val="0"/>
          <w:sz w:val="24"/>
          <w:szCs w:val="24"/>
        </w:rPr>
      </w:pPr>
      <w:r w:rsidRPr="007C6B70">
        <w:rPr>
          <w:rFonts w:ascii="Helvetica" w:hAnsi="Helvetica"/>
          <w:kern w:val="0"/>
          <w:sz w:val="24"/>
          <w:szCs w:val="24"/>
        </w:rPr>
        <w:t>In this study, most patients in the PC arm completed at least two cycles of preoperative chemotherapy. The ECF/ECX and FLOT regimen were performed in the FLOT4 study, in which the preoperative chemotherapy complete rates were 92% and 93%</w:t>
      </w:r>
      <w:r w:rsidR="005657D3" w:rsidRPr="007C6B70">
        <w:rPr>
          <w:rFonts w:ascii="Helvetica" w:hAnsi="Helvetica" w:hint="eastAsia"/>
          <w:kern w:val="0"/>
          <w:sz w:val="24"/>
          <w:szCs w:val="24"/>
        </w:rPr>
        <w:t xml:space="preserve"> [1]</w:t>
      </w:r>
      <w:r w:rsidRPr="007C6B70">
        <w:rPr>
          <w:rFonts w:ascii="Helvetica" w:hAnsi="Helvetica"/>
          <w:kern w:val="0"/>
          <w:sz w:val="24"/>
          <w:szCs w:val="24"/>
        </w:rPr>
        <w:t>. In the FNCLCC/FFCD 9703 study, patients underwent two or three cycles of preoperative chemotherapy, with a complete rate of 87% (at least two cycles of chemotherapy)</w:t>
      </w:r>
      <w:r w:rsidR="005657D3" w:rsidRPr="007C6B70">
        <w:rPr>
          <w:rFonts w:ascii="Helvetica" w:hAnsi="Helvetica" w:hint="eastAsia"/>
          <w:kern w:val="0"/>
          <w:sz w:val="24"/>
          <w:szCs w:val="24"/>
        </w:rPr>
        <w:t xml:space="preserve"> [2]</w:t>
      </w:r>
      <w:r w:rsidRPr="007C6B70">
        <w:rPr>
          <w:rFonts w:ascii="Helvetica" w:hAnsi="Helvetica"/>
          <w:kern w:val="0"/>
          <w:sz w:val="24"/>
          <w:szCs w:val="24"/>
        </w:rPr>
        <w:t xml:space="preserve">. The preoperative chemotherapy completion rate in our study was in line with the results from other studies, showing that the SOX regimen can be well tolerated. </w:t>
      </w:r>
      <w:bookmarkStart w:id="0" w:name="_Hlk159682320"/>
      <w:r w:rsidRPr="007C6B70">
        <w:rPr>
          <w:rFonts w:ascii="Helvetica" w:hAnsi="Helvetica"/>
          <w:kern w:val="0"/>
          <w:sz w:val="24"/>
          <w:szCs w:val="24"/>
        </w:rPr>
        <w:t xml:space="preserve">Patients often cannot </w:t>
      </w:r>
      <w:r w:rsidRPr="007C6B70">
        <w:rPr>
          <w:rFonts w:ascii="Helvetica" w:hAnsi="Helvetica"/>
          <w:kern w:val="0"/>
          <w:sz w:val="24"/>
          <w:szCs w:val="24"/>
        </w:rPr>
        <w:lastRenderedPageBreak/>
        <w:t>accept all perioperative chemotherapy due to intolerance, which will affect the efficacy of perioperative chemotherapy.</w:t>
      </w:r>
      <w:r w:rsidR="000C0684" w:rsidRPr="007C6B70">
        <w:rPr>
          <w:rFonts w:ascii="Helvetica" w:hAnsi="Helvetica" w:hint="eastAsia"/>
          <w:kern w:val="0"/>
          <w:sz w:val="24"/>
          <w:szCs w:val="24"/>
        </w:rPr>
        <w:t xml:space="preserve"> </w:t>
      </w:r>
      <w:bookmarkStart w:id="1" w:name="_Hlk159682306"/>
      <w:r w:rsidR="000C0684" w:rsidRPr="007C6B70">
        <w:rPr>
          <w:rFonts w:ascii="Helvetica" w:hAnsi="Helvetica" w:hint="eastAsia"/>
          <w:kern w:val="0"/>
          <w:sz w:val="24"/>
          <w:szCs w:val="24"/>
        </w:rPr>
        <w:t>Just as i</w:t>
      </w:r>
      <w:r w:rsidR="000C0684" w:rsidRPr="007C6B70">
        <w:rPr>
          <w:rFonts w:ascii="Helvetica" w:hAnsi="Helvetica"/>
          <w:kern w:val="0"/>
          <w:sz w:val="24"/>
          <w:szCs w:val="24"/>
        </w:rPr>
        <w:t xml:space="preserve">n the AC group, </w:t>
      </w:r>
      <w:proofErr w:type="gramStart"/>
      <w:r w:rsidR="000C0684" w:rsidRPr="007C6B70">
        <w:rPr>
          <w:rFonts w:ascii="Helvetica" w:hAnsi="Helvetica"/>
          <w:kern w:val="0"/>
          <w:sz w:val="24"/>
          <w:szCs w:val="24"/>
        </w:rPr>
        <w:t>the majority of</w:t>
      </w:r>
      <w:proofErr w:type="gramEnd"/>
      <w:r w:rsidR="000C0684" w:rsidRPr="007C6B70">
        <w:rPr>
          <w:rFonts w:ascii="Helvetica" w:hAnsi="Helvetica"/>
          <w:kern w:val="0"/>
          <w:sz w:val="24"/>
          <w:szCs w:val="24"/>
        </w:rPr>
        <w:t xml:space="preserve"> patients did not complete the full 8 cycles of postoperative chemotherapy</w:t>
      </w:r>
      <w:r w:rsidR="000C0684" w:rsidRPr="007C6B70">
        <w:rPr>
          <w:rFonts w:ascii="Helvetica" w:hAnsi="Helvetica" w:hint="eastAsia"/>
          <w:kern w:val="0"/>
          <w:sz w:val="24"/>
          <w:szCs w:val="24"/>
        </w:rPr>
        <w:t xml:space="preserve"> (Additional file 2: Table S3).</w:t>
      </w:r>
      <w:bookmarkEnd w:id="0"/>
      <w:bookmarkEnd w:id="1"/>
      <w:r w:rsidRPr="007C6B70">
        <w:rPr>
          <w:rFonts w:ascii="Helvetica" w:hAnsi="Helvetica"/>
          <w:kern w:val="0"/>
          <w:sz w:val="24"/>
          <w:szCs w:val="24"/>
        </w:rPr>
        <w:t xml:space="preserve"> Neoadjuvant chemotherapy facilitates the chemotherapy process and increases the completion rate of chemotherapy, thereby improving the survival of patients. However, even in the PC arm, only 41</w:t>
      </w:r>
      <w:r w:rsidR="00346396" w:rsidRPr="007C6B70">
        <w:rPr>
          <w:rFonts w:ascii="Helvetica" w:hAnsi="Helvetica"/>
          <w:kern w:val="0"/>
          <w:sz w:val="24"/>
          <w:szCs w:val="24"/>
        </w:rPr>
        <w:t>.</w:t>
      </w:r>
      <w:r w:rsidRPr="007C6B70">
        <w:rPr>
          <w:rFonts w:ascii="Helvetica" w:hAnsi="Helvetica"/>
          <w:kern w:val="0"/>
          <w:sz w:val="24"/>
          <w:szCs w:val="24"/>
        </w:rPr>
        <w:t>1% of patients completed all perioperative chemotherapy in the present study, which was relatively low.</w:t>
      </w:r>
    </w:p>
    <w:p w14:paraId="47888DE2" w14:textId="245CB3B1" w:rsidR="001F539B" w:rsidRPr="007C6B70" w:rsidRDefault="001F539B" w:rsidP="001F539B">
      <w:pPr>
        <w:spacing w:after="160" w:line="360" w:lineRule="auto"/>
        <w:rPr>
          <w:rFonts w:ascii="Helvetica" w:hAnsi="Helvetica"/>
          <w:kern w:val="0"/>
          <w:sz w:val="24"/>
          <w:szCs w:val="24"/>
        </w:rPr>
      </w:pPr>
      <w:r w:rsidRPr="007C6B70">
        <w:rPr>
          <w:rFonts w:ascii="Helvetica" w:hAnsi="Helvetica"/>
          <w:kern w:val="0"/>
          <w:sz w:val="24"/>
          <w:szCs w:val="24"/>
        </w:rPr>
        <w:t>In a phase 3 study called CRITICS from the Netherlands, the ECC/EOC regimen (epirubicin, cisplatin or oxaliplatin, and capecitabine) was used in neoadjuvant chemotherapy for gastric cancer patients over 70 years old and under 70 years old. Adjuvant chemotherapy or chemoradiotherapy was followed by surgery. The results showed that 30% and 28% of patients had general postoperative complications, and 25% and 22% had surgery-related complications in the older group and younger group</w:t>
      </w:r>
      <w:r w:rsidR="003114EC" w:rsidRPr="007C6B70">
        <w:rPr>
          <w:rFonts w:ascii="Helvetica" w:hAnsi="Helvetica"/>
          <w:kern w:val="0"/>
          <w:sz w:val="24"/>
          <w:szCs w:val="24"/>
        </w:rPr>
        <w:t>,</w:t>
      </w:r>
      <w:r w:rsidRPr="007C6B70">
        <w:rPr>
          <w:rFonts w:ascii="Helvetica" w:hAnsi="Helvetica"/>
          <w:kern w:val="0"/>
          <w:sz w:val="24"/>
          <w:szCs w:val="24"/>
        </w:rPr>
        <w:t xml:space="preserve"> respectively</w:t>
      </w:r>
      <w:r w:rsidR="005657D3" w:rsidRPr="007C6B70">
        <w:rPr>
          <w:rFonts w:ascii="Helvetica" w:hAnsi="Helvetica" w:hint="eastAsia"/>
          <w:kern w:val="0"/>
          <w:sz w:val="24"/>
          <w:szCs w:val="24"/>
        </w:rPr>
        <w:t xml:space="preserve"> [5]</w:t>
      </w:r>
      <w:r w:rsidRPr="007C6B70">
        <w:rPr>
          <w:rFonts w:ascii="Helvetica" w:hAnsi="Helvetica"/>
          <w:kern w:val="0"/>
          <w:sz w:val="24"/>
          <w:szCs w:val="24"/>
        </w:rPr>
        <w:t>. In the present study, the proportions of postoperative complications in the PC arm and AC arm were 18</w:t>
      </w:r>
      <w:r w:rsidR="00346396" w:rsidRPr="007C6B70">
        <w:rPr>
          <w:rFonts w:ascii="Helvetica" w:hAnsi="Helvetica"/>
          <w:kern w:val="0"/>
          <w:sz w:val="24"/>
          <w:szCs w:val="24"/>
        </w:rPr>
        <w:t>.</w:t>
      </w:r>
      <w:r w:rsidRPr="007C6B70">
        <w:rPr>
          <w:rFonts w:ascii="Helvetica" w:hAnsi="Helvetica"/>
          <w:kern w:val="0"/>
          <w:sz w:val="24"/>
          <w:szCs w:val="24"/>
        </w:rPr>
        <w:t>1% and 19</w:t>
      </w:r>
      <w:r w:rsidR="00346396" w:rsidRPr="007C6B70">
        <w:rPr>
          <w:rFonts w:ascii="Helvetica" w:hAnsi="Helvetica"/>
          <w:kern w:val="0"/>
          <w:sz w:val="24"/>
          <w:szCs w:val="24"/>
        </w:rPr>
        <w:t>.</w:t>
      </w:r>
      <w:r w:rsidRPr="007C6B70">
        <w:rPr>
          <w:rFonts w:ascii="Helvetica" w:hAnsi="Helvetica"/>
          <w:kern w:val="0"/>
          <w:sz w:val="24"/>
          <w:szCs w:val="24"/>
        </w:rPr>
        <w:t>5%, respectively, a result basically in line with that of the CRITICS study. The difference between proportions may be explained by the fact that our study did not perform adjuvant chemoradiotherapy but only chemotherapy. The results indicated the safety of the SOX regimen in the occurrence of postoperative complications.</w:t>
      </w:r>
    </w:p>
    <w:p w14:paraId="1A15C308" w14:textId="7C84BAC4" w:rsidR="001F539B" w:rsidRPr="007C6B70" w:rsidRDefault="001F539B" w:rsidP="001F539B">
      <w:pPr>
        <w:spacing w:after="160" w:line="360" w:lineRule="auto"/>
        <w:rPr>
          <w:rFonts w:ascii="Helvetica" w:hAnsi="Helvetica"/>
          <w:kern w:val="0"/>
          <w:sz w:val="24"/>
          <w:szCs w:val="24"/>
        </w:rPr>
      </w:pPr>
      <w:proofErr w:type="gramStart"/>
      <w:r w:rsidRPr="007C6B70">
        <w:rPr>
          <w:rFonts w:ascii="Helvetica" w:hAnsi="Helvetica"/>
          <w:kern w:val="0"/>
          <w:sz w:val="24"/>
          <w:szCs w:val="24"/>
        </w:rPr>
        <w:t>The study has</w:t>
      </w:r>
      <w:proofErr w:type="gramEnd"/>
      <w:r w:rsidRPr="007C6B70">
        <w:rPr>
          <w:rFonts w:ascii="Helvetica" w:hAnsi="Helvetica"/>
          <w:kern w:val="0"/>
          <w:sz w:val="24"/>
          <w:szCs w:val="24"/>
        </w:rPr>
        <w:t xml:space="preserve"> some limitations. Firstly, Lauren’s classification and microsatellite instability status w</w:t>
      </w:r>
      <w:r w:rsidR="003114EC" w:rsidRPr="007C6B70">
        <w:rPr>
          <w:rFonts w:ascii="Helvetica" w:hAnsi="Helvetica"/>
          <w:kern w:val="0"/>
          <w:sz w:val="24"/>
          <w:szCs w:val="24"/>
        </w:rPr>
        <w:t>ere</w:t>
      </w:r>
      <w:r w:rsidRPr="007C6B70">
        <w:rPr>
          <w:rFonts w:ascii="Helvetica" w:hAnsi="Helvetica"/>
          <w:kern w:val="0"/>
          <w:sz w:val="24"/>
          <w:szCs w:val="24"/>
        </w:rPr>
        <w:t xml:space="preserve"> not used in the study. Secondly, there may also be deviations in the stage evaluation because a small number of researchers did not conduct blind evaluation and made laparoscopic exploration an option.</w:t>
      </w:r>
      <w:r w:rsidR="0026557C" w:rsidRPr="007C6B70">
        <w:rPr>
          <w:rFonts w:ascii="Helvetica" w:hAnsi="Helvetica" w:hint="eastAsia"/>
          <w:kern w:val="0"/>
          <w:sz w:val="24"/>
          <w:szCs w:val="24"/>
        </w:rPr>
        <w:t xml:space="preserve"> </w:t>
      </w:r>
      <w:r w:rsidR="0026557C" w:rsidRPr="007C6B70">
        <w:rPr>
          <w:rFonts w:ascii="Helvetica" w:hAnsi="Helvetica"/>
          <w:kern w:val="0"/>
          <w:sz w:val="24"/>
          <w:szCs w:val="24"/>
        </w:rPr>
        <w:t xml:space="preserve">During the evaluation process, there may have been instances where patients in a relatively early stage were included, and changes </w:t>
      </w:r>
      <w:r w:rsidR="003114EC" w:rsidRPr="007C6B70">
        <w:rPr>
          <w:rFonts w:ascii="Helvetica" w:hAnsi="Helvetica"/>
          <w:kern w:val="0"/>
          <w:sz w:val="24"/>
          <w:szCs w:val="24"/>
        </w:rPr>
        <w:t>in</w:t>
      </w:r>
      <w:r w:rsidR="0026557C" w:rsidRPr="007C6B70">
        <w:rPr>
          <w:rFonts w:ascii="Helvetica" w:hAnsi="Helvetica"/>
          <w:kern w:val="0"/>
          <w:sz w:val="24"/>
          <w:szCs w:val="24"/>
        </w:rPr>
        <w:t xml:space="preserve"> non-target lesions and symptoms were considered for </w:t>
      </w:r>
      <w:r w:rsidR="0026557C" w:rsidRPr="007C6B70">
        <w:rPr>
          <w:rFonts w:ascii="Helvetica" w:hAnsi="Helvetica" w:hint="eastAsia"/>
          <w:kern w:val="0"/>
          <w:sz w:val="24"/>
          <w:szCs w:val="24"/>
        </w:rPr>
        <w:t xml:space="preserve">response </w:t>
      </w:r>
      <w:r w:rsidR="0026557C" w:rsidRPr="007C6B70">
        <w:rPr>
          <w:rFonts w:ascii="Helvetica" w:hAnsi="Helvetica"/>
          <w:kern w:val="0"/>
          <w:sz w:val="24"/>
          <w:szCs w:val="24"/>
        </w:rPr>
        <w:t>assessment.</w:t>
      </w:r>
      <w:r w:rsidRPr="007C6B70">
        <w:rPr>
          <w:rFonts w:ascii="Helvetica" w:hAnsi="Helvetica"/>
          <w:kern w:val="0"/>
          <w:sz w:val="24"/>
          <w:szCs w:val="24"/>
        </w:rPr>
        <w:t xml:space="preserve"> </w:t>
      </w:r>
      <w:r w:rsidR="00F37A3C" w:rsidRPr="00F37A3C">
        <w:rPr>
          <w:rFonts w:ascii="Helvetica" w:hAnsi="Helvetica" w:hint="eastAsia"/>
          <w:kern w:val="0"/>
          <w:sz w:val="24"/>
          <w:szCs w:val="24"/>
          <w:highlight w:val="yellow"/>
        </w:rPr>
        <w:t>Thirdly</w:t>
      </w:r>
      <w:r w:rsidRPr="00F37A3C">
        <w:rPr>
          <w:rFonts w:ascii="Helvetica" w:hAnsi="Helvetica"/>
          <w:kern w:val="0"/>
          <w:sz w:val="24"/>
          <w:szCs w:val="24"/>
          <w:highlight w:val="yellow"/>
        </w:rPr>
        <w:t>,</w:t>
      </w:r>
      <w:r w:rsidRPr="007C6B70">
        <w:rPr>
          <w:rFonts w:ascii="Helvetica" w:hAnsi="Helvetica"/>
          <w:kern w:val="0"/>
          <w:sz w:val="24"/>
          <w:szCs w:val="24"/>
        </w:rPr>
        <w:t xml:space="preserve"> the uneven number of patients in each medical center may lead to bias. </w:t>
      </w:r>
      <w:r w:rsidRPr="007C6B70">
        <w:rPr>
          <w:rFonts w:ascii="Helvetica" w:hAnsi="Helvetica"/>
          <w:kern w:val="0"/>
          <w:sz w:val="24"/>
          <w:szCs w:val="24"/>
        </w:rPr>
        <w:lastRenderedPageBreak/>
        <w:t xml:space="preserve">The results obtained from subgroup analysis or stratified analysis still need to be validated through </w:t>
      </w:r>
      <w:r w:rsidR="003114EC" w:rsidRPr="007C6B70">
        <w:rPr>
          <w:rFonts w:ascii="Helvetica" w:hAnsi="Helvetica" w:hint="eastAsia"/>
          <w:kern w:val="0"/>
          <w:sz w:val="24"/>
          <w:szCs w:val="24"/>
        </w:rPr>
        <w:t>large</w:t>
      </w:r>
      <w:r w:rsidRPr="007C6B70">
        <w:rPr>
          <w:rFonts w:ascii="Helvetica" w:hAnsi="Helvetica"/>
          <w:kern w:val="0"/>
          <w:sz w:val="24"/>
          <w:szCs w:val="24"/>
        </w:rPr>
        <w:t xml:space="preserve"> sample studies.</w:t>
      </w:r>
      <w:r w:rsidR="00F37A3C">
        <w:rPr>
          <w:rFonts w:ascii="Helvetica" w:hAnsi="Helvetica" w:hint="eastAsia"/>
          <w:kern w:val="0"/>
          <w:sz w:val="24"/>
          <w:szCs w:val="24"/>
        </w:rPr>
        <w:t xml:space="preserve"> </w:t>
      </w:r>
      <w:r w:rsidR="00F37A3C" w:rsidRPr="00F37A3C">
        <w:rPr>
          <w:rFonts w:ascii="Helvetica" w:hAnsi="Helvetica" w:hint="eastAsia"/>
          <w:kern w:val="0"/>
          <w:sz w:val="24"/>
          <w:szCs w:val="24"/>
          <w:highlight w:val="yellow"/>
        </w:rPr>
        <w:t xml:space="preserve">Moreover, </w:t>
      </w:r>
      <w:r w:rsidR="00F37A3C">
        <w:rPr>
          <w:rFonts w:ascii="Helvetica" w:hAnsi="Helvetica" w:hint="eastAsia"/>
          <w:kern w:val="0"/>
          <w:sz w:val="24"/>
          <w:szCs w:val="24"/>
          <w:highlight w:val="yellow"/>
        </w:rPr>
        <w:t>i</w:t>
      </w:r>
      <w:r w:rsidR="00F37A3C" w:rsidRPr="00F37A3C">
        <w:rPr>
          <w:rFonts w:ascii="Helvetica" w:hAnsi="Helvetica"/>
          <w:kern w:val="0"/>
          <w:sz w:val="24"/>
          <w:szCs w:val="24"/>
          <w:highlight w:val="yellow"/>
        </w:rPr>
        <w:t xml:space="preserve">n the sample size calculation, a two-sided alpha of 1% was set, and the p-value from the two-sided log-rank test for the comparison of </w:t>
      </w:r>
      <w:r w:rsidR="00F37A3C">
        <w:rPr>
          <w:rFonts w:ascii="Helvetica" w:hAnsi="Helvetica" w:hint="eastAsia"/>
          <w:kern w:val="0"/>
          <w:sz w:val="24"/>
          <w:szCs w:val="24"/>
          <w:highlight w:val="yellow"/>
        </w:rPr>
        <w:t xml:space="preserve">DFS rate </w:t>
      </w:r>
      <w:r w:rsidR="00F37A3C" w:rsidRPr="00F37A3C">
        <w:rPr>
          <w:rFonts w:ascii="Helvetica" w:hAnsi="Helvetica"/>
          <w:kern w:val="0"/>
          <w:sz w:val="24"/>
          <w:szCs w:val="24"/>
          <w:highlight w:val="yellow"/>
        </w:rPr>
        <w:t>between the two groups was 0.019. From a statistical perspective, the difference in DFS did not reach significance. Therefore, in this study, we reported the p-value</w:t>
      </w:r>
      <w:r w:rsidR="00F37A3C">
        <w:rPr>
          <w:rFonts w:ascii="Helvetica" w:hAnsi="Helvetica" w:hint="eastAsia"/>
          <w:kern w:val="0"/>
          <w:sz w:val="24"/>
          <w:szCs w:val="24"/>
          <w:highlight w:val="yellow"/>
        </w:rPr>
        <w:t xml:space="preserve">, </w:t>
      </w:r>
      <w:r w:rsidR="00F37A3C" w:rsidRPr="00F37A3C">
        <w:rPr>
          <w:rFonts w:ascii="Helvetica" w:hAnsi="Helvetica"/>
          <w:kern w:val="0"/>
          <w:sz w:val="24"/>
          <w:szCs w:val="24"/>
          <w:highlight w:val="yellow"/>
        </w:rPr>
        <w:t xml:space="preserve">described the trend of </w:t>
      </w:r>
      <w:r w:rsidR="00F37A3C">
        <w:rPr>
          <w:rFonts w:ascii="Helvetica" w:hAnsi="Helvetica" w:hint="eastAsia"/>
          <w:kern w:val="0"/>
          <w:sz w:val="24"/>
          <w:szCs w:val="24"/>
          <w:highlight w:val="yellow"/>
        </w:rPr>
        <w:t>increased</w:t>
      </w:r>
      <w:r w:rsidR="00F37A3C" w:rsidRPr="00F37A3C">
        <w:rPr>
          <w:rFonts w:ascii="Helvetica" w:hAnsi="Helvetica"/>
          <w:kern w:val="0"/>
          <w:sz w:val="24"/>
          <w:szCs w:val="24"/>
          <w:highlight w:val="yellow"/>
        </w:rPr>
        <w:t xml:space="preserve"> DFS </w:t>
      </w:r>
      <w:r w:rsidR="00F37A3C">
        <w:rPr>
          <w:rFonts w:ascii="Helvetica" w:hAnsi="Helvetica" w:hint="eastAsia"/>
          <w:kern w:val="0"/>
          <w:sz w:val="24"/>
          <w:szCs w:val="24"/>
          <w:highlight w:val="yellow"/>
        </w:rPr>
        <w:t xml:space="preserve">rate </w:t>
      </w:r>
      <w:r w:rsidR="00F37A3C" w:rsidRPr="00F37A3C">
        <w:rPr>
          <w:rFonts w:ascii="Helvetica" w:hAnsi="Helvetica"/>
          <w:kern w:val="0"/>
          <w:sz w:val="24"/>
          <w:szCs w:val="24"/>
          <w:highlight w:val="yellow"/>
        </w:rPr>
        <w:t xml:space="preserve">from a clinical standpoint, </w:t>
      </w:r>
      <w:r w:rsidR="00F37A3C">
        <w:rPr>
          <w:rFonts w:ascii="Helvetica" w:hAnsi="Helvetica" w:hint="eastAsia"/>
          <w:kern w:val="0"/>
          <w:sz w:val="24"/>
          <w:szCs w:val="24"/>
          <w:highlight w:val="yellow"/>
        </w:rPr>
        <w:t xml:space="preserve">and explained </w:t>
      </w:r>
      <w:r w:rsidR="00F37A3C" w:rsidRPr="00F37A3C">
        <w:rPr>
          <w:rFonts w:ascii="Helvetica" w:hAnsi="Helvetica"/>
          <w:kern w:val="0"/>
          <w:sz w:val="24"/>
          <w:szCs w:val="24"/>
          <w:highlight w:val="yellow"/>
        </w:rPr>
        <w:t xml:space="preserve">the potential clinical significance. However, further research is </w:t>
      </w:r>
      <w:r w:rsidR="00F37A3C">
        <w:rPr>
          <w:rFonts w:ascii="Helvetica" w:hAnsi="Helvetica" w:hint="eastAsia"/>
          <w:kern w:val="0"/>
          <w:sz w:val="24"/>
          <w:szCs w:val="24"/>
          <w:highlight w:val="yellow"/>
        </w:rPr>
        <w:t xml:space="preserve">still </w:t>
      </w:r>
      <w:r w:rsidR="00F37A3C" w:rsidRPr="00F37A3C">
        <w:rPr>
          <w:rFonts w:ascii="Helvetica" w:hAnsi="Helvetica"/>
          <w:kern w:val="0"/>
          <w:sz w:val="24"/>
          <w:szCs w:val="24"/>
          <w:highlight w:val="yellow"/>
        </w:rPr>
        <w:t>needed</w:t>
      </w:r>
      <w:r w:rsidR="00F37A3C">
        <w:rPr>
          <w:rFonts w:ascii="Helvetica" w:hAnsi="Helvetica" w:hint="eastAsia"/>
          <w:kern w:val="0"/>
          <w:sz w:val="24"/>
          <w:szCs w:val="24"/>
          <w:highlight w:val="yellow"/>
        </w:rPr>
        <w:t>.</w:t>
      </w:r>
      <w:r w:rsidR="00F37A3C">
        <w:rPr>
          <w:rFonts w:ascii="Helvetica" w:hAnsi="Helvetica" w:hint="eastAsia"/>
          <w:kern w:val="0"/>
          <w:sz w:val="24"/>
          <w:szCs w:val="24"/>
        </w:rPr>
        <w:t xml:space="preserve"> </w:t>
      </w:r>
    </w:p>
    <w:p w14:paraId="3C77EE7A" w14:textId="768746E1" w:rsidR="00B55EA4" w:rsidRPr="007C6B70" w:rsidRDefault="001F539B" w:rsidP="001F539B">
      <w:pPr>
        <w:spacing w:after="160" w:line="360" w:lineRule="auto"/>
        <w:rPr>
          <w:rFonts w:ascii="Helvetica" w:hAnsi="Helvetica"/>
          <w:kern w:val="0"/>
          <w:sz w:val="24"/>
          <w:szCs w:val="24"/>
        </w:rPr>
      </w:pPr>
      <w:r w:rsidRPr="00F37A3C">
        <w:rPr>
          <w:rFonts w:ascii="Helvetica" w:hAnsi="Helvetica"/>
          <w:kern w:val="0"/>
          <w:sz w:val="24"/>
          <w:szCs w:val="24"/>
          <w:highlight w:val="yellow"/>
        </w:rPr>
        <w:t>The results of our study</w:t>
      </w:r>
      <w:r w:rsidR="00F37A3C" w:rsidRPr="00F37A3C">
        <w:rPr>
          <w:rFonts w:ascii="Helvetica" w:hAnsi="Helvetica" w:hint="eastAsia"/>
          <w:kern w:val="0"/>
          <w:sz w:val="24"/>
          <w:szCs w:val="24"/>
          <w:highlight w:val="yellow"/>
        </w:rPr>
        <w:t xml:space="preserve"> suggested a tendency towards a higher three-year disease-free survival rate with perioperative SOX in </w:t>
      </w:r>
      <w:r w:rsidR="00F37A3C" w:rsidRPr="00F37A3C">
        <w:rPr>
          <w:rFonts w:ascii="Helvetica" w:hAnsi="Helvetica"/>
          <w:kern w:val="0"/>
          <w:sz w:val="24"/>
          <w:szCs w:val="24"/>
          <w:highlight w:val="yellow"/>
        </w:rPr>
        <w:t>patients with resectable stage II/III gastric cancer</w:t>
      </w:r>
      <w:r w:rsidR="00F37A3C" w:rsidRPr="00F37A3C">
        <w:rPr>
          <w:rFonts w:ascii="Helvetica" w:hAnsi="Helvetica" w:hint="eastAsia"/>
          <w:kern w:val="0"/>
          <w:sz w:val="24"/>
          <w:szCs w:val="24"/>
          <w:highlight w:val="yellow"/>
        </w:rPr>
        <w:t xml:space="preserve"> compared to adjuvant SOX.</w:t>
      </w:r>
      <w:r w:rsidR="00D178F3" w:rsidRPr="007C6B70">
        <w:rPr>
          <w:rFonts w:ascii="Helvetica" w:hAnsi="Helvetica" w:hint="eastAsia"/>
          <w:kern w:val="0"/>
          <w:sz w:val="24"/>
          <w:szCs w:val="24"/>
        </w:rPr>
        <w:t xml:space="preserve"> </w:t>
      </w:r>
      <w:r w:rsidR="00D178F3" w:rsidRPr="007C6B70">
        <w:rPr>
          <w:rFonts w:ascii="Helvetica" w:hAnsi="Helvetica"/>
          <w:kern w:val="0"/>
          <w:sz w:val="24"/>
          <w:szCs w:val="24"/>
        </w:rPr>
        <w:t xml:space="preserve">Considering the current application of S-1 and oxaliplatin in Asian countries, as well as the feasibility of perioperative chemotherapy, which has been confirmed by large-scale clinical </w:t>
      </w:r>
      <w:r w:rsidR="00D178F3" w:rsidRPr="007C6B70">
        <w:rPr>
          <w:rFonts w:ascii="Helvetica" w:hAnsi="Helvetica" w:hint="eastAsia"/>
          <w:kern w:val="0"/>
          <w:sz w:val="24"/>
          <w:szCs w:val="24"/>
        </w:rPr>
        <w:t>trials</w:t>
      </w:r>
      <w:r w:rsidR="00D178F3" w:rsidRPr="007C6B70">
        <w:rPr>
          <w:rFonts w:ascii="Helvetica" w:hAnsi="Helvetica"/>
          <w:kern w:val="0"/>
          <w:sz w:val="24"/>
          <w:szCs w:val="24"/>
        </w:rPr>
        <w:t xml:space="preserve">, we </w:t>
      </w:r>
      <w:r w:rsidR="0049762F" w:rsidRPr="0049762F">
        <w:rPr>
          <w:rFonts w:ascii="Helvetica" w:hAnsi="Helvetica" w:hint="eastAsia"/>
          <w:kern w:val="0"/>
          <w:sz w:val="24"/>
          <w:szCs w:val="24"/>
          <w:highlight w:val="yellow"/>
        </w:rPr>
        <w:t>think</w:t>
      </w:r>
      <w:r w:rsidR="00D178F3" w:rsidRPr="007C6B70">
        <w:rPr>
          <w:rFonts w:ascii="Helvetica" w:hAnsi="Helvetica"/>
          <w:kern w:val="0"/>
          <w:sz w:val="24"/>
          <w:szCs w:val="24"/>
        </w:rPr>
        <w:t xml:space="preserve"> that this </w:t>
      </w:r>
      <w:r w:rsidR="00D178F3" w:rsidRPr="007C6B70">
        <w:rPr>
          <w:rFonts w:ascii="Helvetica" w:hAnsi="Helvetica" w:hint="eastAsia"/>
          <w:kern w:val="0"/>
          <w:sz w:val="24"/>
          <w:szCs w:val="24"/>
        </w:rPr>
        <w:t>study</w:t>
      </w:r>
      <w:r w:rsidR="00D178F3" w:rsidRPr="007C6B70">
        <w:rPr>
          <w:rFonts w:ascii="Helvetica" w:hAnsi="Helvetica"/>
          <w:kern w:val="0"/>
          <w:sz w:val="24"/>
          <w:szCs w:val="24"/>
        </w:rPr>
        <w:t xml:space="preserve"> </w:t>
      </w:r>
      <w:r w:rsidR="00A86933" w:rsidRPr="0049762F">
        <w:rPr>
          <w:rFonts w:ascii="Helvetica" w:hAnsi="Helvetica" w:hint="eastAsia"/>
          <w:kern w:val="0"/>
          <w:sz w:val="24"/>
          <w:szCs w:val="24"/>
          <w:highlight w:val="yellow"/>
        </w:rPr>
        <w:t>might</w:t>
      </w:r>
      <w:r w:rsidR="00D178F3" w:rsidRPr="007C6B70">
        <w:rPr>
          <w:rFonts w:ascii="Helvetica" w:hAnsi="Helvetica"/>
          <w:kern w:val="0"/>
          <w:sz w:val="24"/>
          <w:szCs w:val="24"/>
        </w:rPr>
        <w:t xml:space="preserve"> provide a theoretical basis for the clinical application of SOX perioperative chemotherapy.</w:t>
      </w:r>
    </w:p>
    <w:p w14:paraId="7D565149" w14:textId="77777777" w:rsidR="001F539B" w:rsidRPr="007C6B70" w:rsidRDefault="001F539B" w:rsidP="001F539B">
      <w:pPr>
        <w:spacing w:after="160" w:line="360" w:lineRule="auto"/>
        <w:rPr>
          <w:rFonts w:ascii="Helvetica" w:hAnsi="Helvetica"/>
          <w:kern w:val="0"/>
          <w:sz w:val="24"/>
          <w:szCs w:val="24"/>
        </w:rPr>
      </w:pPr>
    </w:p>
    <w:p w14:paraId="404E7146" w14:textId="77777777" w:rsidR="001F539B" w:rsidRPr="007C6B70" w:rsidRDefault="001F539B" w:rsidP="001F539B">
      <w:pPr>
        <w:widowControl/>
        <w:spacing w:after="160" w:line="360" w:lineRule="auto"/>
        <w:rPr>
          <w:rFonts w:ascii="Helvetica" w:hAnsi="Helvetica"/>
          <w:b/>
          <w:bCs/>
          <w:kern w:val="0"/>
          <w:szCs w:val="21"/>
        </w:rPr>
      </w:pPr>
      <w:r w:rsidRPr="007C6B70">
        <w:rPr>
          <w:rFonts w:ascii="Helvetica" w:hAnsi="Helvetica" w:hint="eastAsia"/>
          <w:b/>
          <w:bCs/>
          <w:kern w:val="0"/>
          <w:szCs w:val="21"/>
        </w:rPr>
        <w:t>References</w:t>
      </w:r>
    </w:p>
    <w:p w14:paraId="0B015D5C" w14:textId="59C502C1" w:rsidR="005D35AF" w:rsidRPr="007C6B70" w:rsidRDefault="001F539B" w:rsidP="001F539B">
      <w:pPr>
        <w:widowControl/>
        <w:spacing w:after="160" w:line="360" w:lineRule="auto"/>
        <w:rPr>
          <w:rFonts w:ascii="Helvetica" w:hAnsi="Helvetica"/>
          <w:kern w:val="0"/>
          <w:szCs w:val="21"/>
        </w:rPr>
      </w:pPr>
      <w:r w:rsidRPr="007C6B70">
        <w:rPr>
          <w:rFonts w:ascii="Helvetica" w:hAnsi="Helvetica"/>
          <w:kern w:val="0"/>
          <w:szCs w:val="21"/>
        </w:rPr>
        <w:t>1.</w:t>
      </w:r>
      <w:r w:rsidRPr="007C6B70">
        <w:rPr>
          <w:rFonts w:ascii="Helvetica" w:hAnsi="Helvetica"/>
          <w:kern w:val="0"/>
          <w:szCs w:val="21"/>
        </w:rPr>
        <w:tab/>
      </w:r>
      <w:r w:rsidR="005D35AF" w:rsidRPr="007C6B70">
        <w:rPr>
          <w:rFonts w:ascii="Helvetica" w:hAnsi="Helvetica"/>
          <w:kern w:val="0"/>
          <w:szCs w:val="21"/>
        </w:rPr>
        <w:t>Al-</w:t>
      </w:r>
      <w:proofErr w:type="spellStart"/>
      <w:r w:rsidR="005D35AF" w:rsidRPr="007C6B70">
        <w:rPr>
          <w:rFonts w:ascii="Helvetica" w:hAnsi="Helvetica"/>
          <w:kern w:val="0"/>
          <w:szCs w:val="21"/>
        </w:rPr>
        <w:t>Batran</w:t>
      </w:r>
      <w:proofErr w:type="spellEnd"/>
      <w:r w:rsidR="005D35AF" w:rsidRPr="007C6B70">
        <w:rPr>
          <w:rFonts w:ascii="Helvetica" w:hAnsi="Helvetica"/>
          <w:kern w:val="0"/>
          <w:szCs w:val="21"/>
        </w:rPr>
        <w:t xml:space="preserve"> SE, Homann N, </w:t>
      </w:r>
      <w:proofErr w:type="spellStart"/>
      <w:r w:rsidR="005D35AF" w:rsidRPr="007C6B70">
        <w:rPr>
          <w:rFonts w:ascii="Helvetica" w:hAnsi="Helvetica"/>
          <w:kern w:val="0"/>
          <w:szCs w:val="21"/>
        </w:rPr>
        <w:t>Pauligk</w:t>
      </w:r>
      <w:proofErr w:type="spellEnd"/>
      <w:r w:rsidR="005D35AF" w:rsidRPr="007C6B70">
        <w:rPr>
          <w:rFonts w:ascii="Helvetica" w:hAnsi="Helvetica"/>
          <w:kern w:val="0"/>
          <w:szCs w:val="21"/>
        </w:rPr>
        <w:t xml:space="preserve"> C, Goetze TO, Meiler J, Kasper S, </w:t>
      </w:r>
      <w:r w:rsidR="005D35AF" w:rsidRPr="007C6B70">
        <w:rPr>
          <w:rFonts w:ascii="Helvetica" w:hAnsi="Helvetica" w:hint="eastAsia"/>
          <w:kern w:val="0"/>
          <w:szCs w:val="21"/>
        </w:rPr>
        <w:t>et al</w:t>
      </w:r>
      <w:r w:rsidR="005D35AF" w:rsidRPr="007C6B70">
        <w:rPr>
          <w:rFonts w:ascii="Helvetica" w:hAnsi="Helvetica"/>
          <w:kern w:val="0"/>
          <w:szCs w:val="21"/>
        </w:rPr>
        <w:t>. Perioperative chemotherapy with fluorouracil plus leucovorin, oxaliplatin, and docetaxel versus fluorouracil or capecitabine plus cisplatin and epirubicin for locally advanced, resectable gastric or gastro-</w:t>
      </w:r>
      <w:proofErr w:type="spellStart"/>
      <w:r w:rsidR="005D35AF" w:rsidRPr="007C6B70">
        <w:rPr>
          <w:rFonts w:ascii="Helvetica" w:hAnsi="Helvetica"/>
          <w:kern w:val="0"/>
          <w:szCs w:val="21"/>
        </w:rPr>
        <w:t>oesophageal</w:t>
      </w:r>
      <w:proofErr w:type="spellEnd"/>
      <w:r w:rsidR="005D35AF" w:rsidRPr="007C6B70">
        <w:rPr>
          <w:rFonts w:ascii="Helvetica" w:hAnsi="Helvetica"/>
          <w:kern w:val="0"/>
          <w:szCs w:val="21"/>
        </w:rPr>
        <w:t xml:space="preserve"> junction adenocarcinoma (FLOT4): a </w:t>
      </w:r>
      <w:proofErr w:type="spellStart"/>
      <w:r w:rsidR="005D35AF" w:rsidRPr="007C6B70">
        <w:rPr>
          <w:rFonts w:ascii="Helvetica" w:hAnsi="Helvetica"/>
          <w:kern w:val="0"/>
          <w:szCs w:val="21"/>
        </w:rPr>
        <w:t>randomised</w:t>
      </w:r>
      <w:proofErr w:type="spellEnd"/>
      <w:r w:rsidR="005D35AF" w:rsidRPr="007C6B70">
        <w:rPr>
          <w:rFonts w:ascii="Helvetica" w:hAnsi="Helvetica"/>
          <w:kern w:val="0"/>
          <w:szCs w:val="21"/>
        </w:rPr>
        <w:t>, phase 2/3 trial. Lancet. 2019;</w:t>
      </w:r>
      <w:r w:rsidR="005D35AF" w:rsidRPr="007C6B70">
        <w:rPr>
          <w:rFonts w:ascii="Helvetica" w:hAnsi="Helvetica" w:hint="eastAsia"/>
          <w:kern w:val="0"/>
          <w:szCs w:val="21"/>
        </w:rPr>
        <w:t xml:space="preserve"> </w:t>
      </w:r>
      <w:r w:rsidR="005D35AF" w:rsidRPr="007C6B70">
        <w:rPr>
          <w:rFonts w:ascii="Helvetica" w:hAnsi="Helvetica"/>
          <w:kern w:val="0"/>
          <w:szCs w:val="21"/>
        </w:rPr>
        <w:t>393(10184):</w:t>
      </w:r>
      <w:r w:rsidR="005D35AF" w:rsidRPr="007C6B70">
        <w:rPr>
          <w:rFonts w:ascii="Helvetica" w:hAnsi="Helvetica" w:hint="eastAsia"/>
          <w:kern w:val="0"/>
          <w:szCs w:val="21"/>
        </w:rPr>
        <w:t xml:space="preserve"> </w:t>
      </w:r>
      <w:r w:rsidR="005D35AF" w:rsidRPr="007C6B70">
        <w:rPr>
          <w:rFonts w:ascii="Helvetica" w:hAnsi="Helvetica"/>
          <w:kern w:val="0"/>
          <w:szCs w:val="21"/>
        </w:rPr>
        <w:t>1948-57.</w:t>
      </w:r>
    </w:p>
    <w:p w14:paraId="48F65797" w14:textId="42482B31" w:rsidR="005D35AF" w:rsidRPr="007C6B70" w:rsidRDefault="005D35AF" w:rsidP="001F539B">
      <w:pPr>
        <w:widowControl/>
        <w:spacing w:after="160" w:line="360" w:lineRule="auto"/>
        <w:rPr>
          <w:rFonts w:ascii="Helvetica" w:hAnsi="Helvetica"/>
          <w:kern w:val="0"/>
          <w:szCs w:val="21"/>
        </w:rPr>
      </w:pPr>
      <w:r w:rsidRPr="007C6B70">
        <w:rPr>
          <w:rFonts w:ascii="Helvetica" w:hAnsi="Helvetica" w:hint="eastAsia"/>
          <w:kern w:val="0"/>
          <w:szCs w:val="21"/>
        </w:rPr>
        <w:t xml:space="preserve">2. </w:t>
      </w:r>
      <w:proofErr w:type="spellStart"/>
      <w:r w:rsidRPr="007C6B70">
        <w:rPr>
          <w:rFonts w:ascii="Helvetica" w:hAnsi="Helvetica"/>
          <w:kern w:val="0"/>
          <w:szCs w:val="21"/>
        </w:rPr>
        <w:t>Ychou</w:t>
      </w:r>
      <w:proofErr w:type="spellEnd"/>
      <w:r w:rsidRPr="007C6B70">
        <w:rPr>
          <w:rFonts w:ascii="Helvetica" w:hAnsi="Helvetica"/>
          <w:kern w:val="0"/>
          <w:szCs w:val="21"/>
        </w:rPr>
        <w:t xml:space="preserve"> M, </w:t>
      </w:r>
      <w:proofErr w:type="spellStart"/>
      <w:r w:rsidRPr="007C6B70">
        <w:rPr>
          <w:rFonts w:ascii="Helvetica" w:hAnsi="Helvetica"/>
          <w:kern w:val="0"/>
          <w:szCs w:val="21"/>
        </w:rPr>
        <w:t>Boige</w:t>
      </w:r>
      <w:proofErr w:type="spellEnd"/>
      <w:r w:rsidRPr="007C6B70">
        <w:rPr>
          <w:rFonts w:ascii="Helvetica" w:hAnsi="Helvetica"/>
          <w:kern w:val="0"/>
          <w:szCs w:val="21"/>
        </w:rPr>
        <w:t xml:space="preserve"> V, </w:t>
      </w:r>
      <w:proofErr w:type="spellStart"/>
      <w:r w:rsidRPr="007C6B70">
        <w:rPr>
          <w:rFonts w:ascii="Helvetica" w:hAnsi="Helvetica"/>
          <w:kern w:val="0"/>
          <w:szCs w:val="21"/>
        </w:rPr>
        <w:t>Pignon</w:t>
      </w:r>
      <w:proofErr w:type="spellEnd"/>
      <w:r w:rsidRPr="007C6B70">
        <w:rPr>
          <w:rFonts w:ascii="Helvetica" w:hAnsi="Helvetica"/>
          <w:kern w:val="0"/>
          <w:szCs w:val="21"/>
        </w:rPr>
        <w:t xml:space="preserve"> JP, Conroy T, Bouché O, </w:t>
      </w:r>
      <w:proofErr w:type="spellStart"/>
      <w:r w:rsidRPr="007C6B70">
        <w:rPr>
          <w:rFonts w:ascii="Helvetica" w:hAnsi="Helvetica"/>
          <w:kern w:val="0"/>
          <w:szCs w:val="21"/>
        </w:rPr>
        <w:t>Lebreton</w:t>
      </w:r>
      <w:proofErr w:type="spellEnd"/>
      <w:r w:rsidRPr="007C6B70">
        <w:rPr>
          <w:rFonts w:ascii="Helvetica" w:hAnsi="Helvetica"/>
          <w:kern w:val="0"/>
          <w:szCs w:val="21"/>
        </w:rPr>
        <w:t xml:space="preserve"> G, </w:t>
      </w:r>
      <w:r w:rsidRPr="007C6B70">
        <w:rPr>
          <w:rFonts w:ascii="Helvetica" w:hAnsi="Helvetica" w:hint="eastAsia"/>
          <w:kern w:val="0"/>
          <w:szCs w:val="21"/>
        </w:rPr>
        <w:t>et al</w:t>
      </w:r>
      <w:r w:rsidRPr="007C6B70">
        <w:rPr>
          <w:rFonts w:ascii="Helvetica" w:hAnsi="Helvetica"/>
          <w:kern w:val="0"/>
          <w:szCs w:val="21"/>
        </w:rPr>
        <w:t>. Perioperative chemotherapy compared with surgery alone for resectable gastroesophageal adenocarcinoma: an FNCLCC and FFCD multicenter phase III trial. J Clin Oncol. 2011;</w:t>
      </w:r>
      <w:r w:rsidRPr="007C6B70">
        <w:rPr>
          <w:rFonts w:ascii="Helvetica" w:hAnsi="Helvetica" w:hint="eastAsia"/>
          <w:kern w:val="0"/>
          <w:szCs w:val="21"/>
        </w:rPr>
        <w:t xml:space="preserve"> </w:t>
      </w:r>
      <w:r w:rsidRPr="007C6B70">
        <w:rPr>
          <w:rFonts w:ascii="Helvetica" w:hAnsi="Helvetica"/>
          <w:kern w:val="0"/>
          <w:szCs w:val="21"/>
        </w:rPr>
        <w:t>29(13):</w:t>
      </w:r>
      <w:r w:rsidRPr="007C6B70">
        <w:rPr>
          <w:rFonts w:ascii="Helvetica" w:hAnsi="Helvetica" w:hint="eastAsia"/>
          <w:kern w:val="0"/>
          <w:szCs w:val="21"/>
        </w:rPr>
        <w:t xml:space="preserve"> </w:t>
      </w:r>
      <w:r w:rsidRPr="007C6B70">
        <w:rPr>
          <w:rFonts w:ascii="Helvetica" w:hAnsi="Helvetica"/>
          <w:kern w:val="0"/>
          <w:szCs w:val="21"/>
        </w:rPr>
        <w:t>1715-21.</w:t>
      </w:r>
    </w:p>
    <w:p w14:paraId="1C5F3BCD" w14:textId="17558013" w:rsidR="005D35AF" w:rsidRPr="007C6B70" w:rsidRDefault="005D35AF" w:rsidP="001F539B">
      <w:pPr>
        <w:widowControl/>
        <w:spacing w:after="160" w:line="360" w:lineRule="auto"/>
        <w:rPr>
          <w:rFonts w:ascii="Helvetica" w:hAnsi="Helvetica"/>
          <w:kern w:val="0"/>
          <w:szCs w:val="21"/>
        </w:rPr>
      </w:pPr>
      <w:r w:rsidRPr="007C6B70">
        <w:rPr>
          <w:rFonts w:ascii="Helvetica" w:hAnsi="Helvetica" w:hint="eastAsia"/>
          <w:kern w:val="0"/>
          <w:szCs w:val="21"/>
        </w:rPr>
        <w:lastRenderedPageBreak/>
        <w:t>3.</w:t>
      </w:r>
      <w:r w:rsidR="001B4525" w:rsidRPr="007C6B70">
        <w:rPr>
          <w:rFonts w:ascii="Helvetica" w:hAnsi="Helvetica" w:hint="eastAsia"/>
          <w:kern w:val="0"/>
          <w:szCs w:val="21"/>
        </w:rPr>
        <w:t xml:space="preserve"> </w:t>
      </w:r>
      <w:r w:rsidR="001B4525" w:rsidRPr="007C6B70">
        <w:rPr>
          <w:rFonts w:ascii="Helvetica" w:hAnsi="Helvetica"/>
          <w:kern w:val="0"/>
          <w:szCs w:val="21"/>
        </w:rPr>
        <w:t xml:space="preserve">Terashima M, Iwasaki Y, Mizusawa J, Katayama H, Nakamura K, Katai H, </w:t>
      </w:r>
      <w:r w:rsidR="001B4525" w:rsidRPr="007C6B70">
        <w:rPr>
          <w:rFonts w:ascii="Helvetica" w:hAnsi="Helvetica" w:hint="eastAsia"/>
          <w:kern w:val="0"/>
          <w:szCs w:val="21"/>
        </w:rPr>
        <w:t>et al</w:t>
      </w:r>
      <w:r w:rsidR="001B4525" w:rsidRPr="007C6B70">
        <w:rPr>
          <w:rFonts w:ascii="Helvetica" w:hAnsi="Helvetica"/>
          <w:kern w:val="0"/>
          <w:szCs w:val="21"/>
        </w:rPr>
        <w:t xml:space="preserve">. Randomized phase III trial of gastrectomy with or without neoadjuvant S-1 plus cisplatin for type 4 or large type 3 gastric cancer, the short-term </w:t>
      </w:r>
      <w:proofErr w:type="gramStart"/>
      <w:r w:rsidR="001B4525" w:rsidRPr="007C6B70">
        <w:rPr>
          <w:rFonts w:ascii="Helvetica" w:hAnsi="Helvetica"/>
          <w:kern w:val="0"/>
          <w:szCs w:val="21"/>
        </w:rPr>
        <w:t>safety</w:t>
      </w:r>
      <w:proofErr w:type="gramEnd"/>
      <w:r w:rsidR="001B4525" w:rsidRPr="007C6B70">
        <w:rPr>
          <w:rFonts w:ascii="Helvetica" w:hAnsi="Helvetica"/>
          <w:kern w:val="0"/>
          <w:szCs w:val="21"/>
        </w:rPr>
        <w:t xml:space="preserve"> and surgical results: Japan Clinical Oncology Group Study (JCOG0501). Gastric Cancer. 2019;</w:t>
      </w:r>
      <w:r w:rsidR="001B4525" w:rsidRPr="007C6B70">
        <w:rPr>
          <w:rFonts w:ascii="Helvetica" w:hAnsi="Helvetica" w:hint="eastAsia"/>
          <w:kern w:val="0"/>
          <w:szCs w:val="21"/>
        </w:rPr>
        <w:t xml:space="preserve"> </w:t>
      </w:r>
      <w:r w:rsidR="001B4525" w:rsidRPr="007C6B70">
        <w:rPr>
          <w:rFonts w:ascii="Helvetica" w:hAnsi="Helvetica"/>
          <w:kern w:val="0"/>
          <w:szCs w:val="21"/>
        </w:rPr>
        <w:t>22(5):</w:t>
      </w:r>
      <w:r w:rsidR="001B4525" w:rsidRPr="007C6B70">
        <w:rPr>
          <w:rFonts w:ascii="Helvetica" w:hAnsi="Helvetica" w:hint="eastAsia"/>
          <w:kern w:val="0"/>
          <w:szCs w:val="21"/>
        </w:rPr>
        <w:t xml:space="preserve"> </w:t>
      </w:r>
      <w:r w:rsidR="001B4525" w:rsidRPr="007C6B70">
        <w:rPr>
          <w:rFonts w:ascii="Helvetica" w:hAnsi="Helvetica"/>
          <w:kern w:val="0"/>
          <w:szCs w:val="21"/>
        </w:rPr>
        <w:t>1044-52.</w:t>
      </w:r>
    </w:p>
    <w:p w14:paraId="7A913DA3" w14:textId="41AE7B3C" w:rsidR="00506C8B" w:rsidRPr="007C6B70" w:rsidRDefault="00506C8B" w:rsidP="001F539B">
      <w:pPr>
        <w:widowControl/>
        <w:spacing w:after="160" w:line="360" w:lineRule="auto"/>
        <w:rPr>
          <w:rFonts w:ascii="Helvetica" w:hAnsi="Helvetica"/>
          <w:kern w:val="0"/>
          <w:szCs w:val="21"/>
        </w:rPr>
      </w:pPr>
      <w:r w:rsidRPr="007C6B70">
        <w:rPr>
          <w:rFonts w:ascii="Helvetica" w:hAnsi="Helvetica" w:hint="eastAsia"/>
          <w:kern w:val="0"/>
          <w:szCs w:val="21"/>
        </w:rPr>
        <w:t xml:space="preserve">4. </w:t>
      </w:r>
      <w:r w:rsidRPr="007C6B70">
        <w:rPr>
          <w:rFonts w:ascii="Helvetica" w:hAnsi="Helvetica"/>
          <w:kern w:val="0"/>
          <w:szCs w:val="21"/>
        </w:rPr>
        <w:t xml:space="preserve">Wang FH, Zhang XT, Tang L, Wu Q, Cai MY, Li YF, </w:t>
      </w:r>
      <w:r w:rsidRPr="007C6B70">
        <w:rPr>
          <w:rFonts w:ascii="Helvetica" w:hAnsi="Helvetica" w:hint="eastAsia"/>
          <w:kern w:val="0"/>
          <w:szCs w:val="21"/>
        </w:rPr>
        <w:t>et al</w:t>
      </w:r>
      <w:r w:rsidRPr="007C6B70">
        <w:rPr>
          <w:rFonts w:ascii="Helvetica" w:hAnsi="Helvetica"/>
          <w:kern w:val="0"/>
          <w:szCs w:val="21"/>
        </w:rPr>
        <w:t xml:space="preserve">. The Chinese Society of Clinical Oncology (CSCO): Clinical guidelines for the diagnosis and treatment of gastric cancer, 2023. Cancer </w:t>
      </w:r>
      <w:proofErr w:type="spellStart"/>
      <w:r w:rsidRPr="007C6B70">
        <w:rPr>
          <w:rFonts w:ascii="Helvetica" w:hAnsi="Helvetica"/>
          <w:kern w:val="0"/>
          <w:szCs w:val="21"/>
        </w:rPr>
        <w:t>Commun</w:t>
      </w:r>
      <w:proofErr w:type="spellEnd"/>
      <w:r w:rsidRPr="007C6B70">
        <w:rPr>
          <w:rFonts w:ascii="Helvetica" w:hAnsi="Helvetica"/>
          <w:kern w:val="0"/>
          <w:szCs w:val="21"/>
        </w:rPr>
        <w:t xml:space="preserve"> (Lond). 2024;</w:t>
      </w:r>
      <w:r w:rsidRPr="007C6B70">
        <w:rPr>
          <w:rFonts w:ascii="Helvetica" w:hAnsi="Helvetica" w:hint="eastAsia"/>
          <w:kern w:val="0"/>
          <w:szCs w:val="21"/>
        </w:rPr>
        <w:t xml:space="preserve"> </w:t>
      </w:r>
      <w:r w:rsidRPr="007C6B70">
        <w:rPr>
          <w:rFonts w:ascii="Helvetica" w:hAnsi="Helvetica"/>
          <w:kern w:val="0"/>
          <w:szCs w:val="21"/>
        </w:rPr>
        <w:t>44(1):</w:t>
      </w:r>
      <w:r w:rsidRPr="007C6B70">
        <w:rPr>
          <w:rFonts w:ascii="Helvetica" w:hAnsi="Helvetica" w:hint="eastAsia"/>
          <w:kern w:val="0"/>
          <w:szCs w:val="21"/>
        </w:rPr>
        <w:t xml:space="preserve"> </w:t>
      </w:r>
      <w:r w:rsidRPr="007C6B70">
        <w:rPr>
          <w:rFonts w:ascii="Helvetica" w:hAnsi="Helvetica"/>
          <w:kern w:val="0"/>
          <w:szCs w:val="21"/>
        </w:rPr>
        <w:t>127-72.</w:t>
      </w:r>
    </w:p>
    <w:p w14:paraId="0FAECF2B" w14:textId="6F576D78" w:rsidR="001F539B" w:rsidRPr="00DC620C" w:rsidRDefault="00DC620C" w:rsidP="00DC620C">
      <w:pPr>
        <w:widowControl/>
        <w:spacing w:after="160" w:line="360" w:lineRule="auto"/>
        <w:rPr>
          <w:rFonts w:ascii="Helvetica" w:hAnsi="Helvetica"/>
          <w:kern w:val="0"/>
          <w:szCs w:val="21"/>
        </w:rPr>
      </w:pPr>
      <w:r w:rsidRPr="007C6B70">
        <w:rPr>
          <w:rFonts w:ascii="Helvetica" w:hAnsi="Helvetica" w:hint="eastAsia"/>
          <w:kern w:val="0"/>
          <w:szCs w:val="21"/>
        </w:rPr>
        <w:t xml:space="preserve">5. </w:t>
      </w:r>
      <w:r w:rsidRPr="007C6B70">
        <w:rPr>
          <w:rFonts w:ascii="Helvetica" w:hAnsi="Helvetica"/>
          <w:kern w:val="0"/>
          <w:szCs w:val="21"/>
        </w:rPr>
        <w:t xml:space="preserve">Slagter AE, Tudela B, van </w:t>
      </w:r>
      <w:proofErr w:type="spellStart"/>
      <w:r w:rsidRPr="007C6B70">
        <w:rPr>
          <w:rFonts w:ascii="Helvetica" w:hAnsi="Helvetica"/>
          <w:kern w:val="0"/>
          <w:szCs w:val="21"/>
        </w:rPr>
        <w:t>Amelsfoort</w:t>
      </w:r>
      <w:proofErr w:type="spellEnd"/>
      <w:r w:rsidRPr="007C6B70">
        <w:rPr>
          <w:rFonts w:ascii="Helvetica" w:hAnsi="Helvetica"/>
          <w:kern w:val="0"/>
          <w:szCs w:val="21"/>
        </w:rPr>
        <w:t xml:space="preserve"> RM, Sikorska K, van </w:t>
      </w:r>
      <w:proofErr w:type="spellStart"/>
      <w:r w:rsidRPr="007C6B70">
        <w:rPr>
          <w:rFonts w:ascii="Helvetica" w:hAnsi="Helvetica"/>
          <w:kern w:val="0"/>
          <w:szCs w:val="21"/>
        </w:rPr>
        <w:t>Sandick</w:t>
      </w:r>
      <w:proofErr w:type="spellEnd"/>
      <w:r w:rsidRPr="007C6B70">
        <w:rPr>
          <w:rFonts w:ascii="Helvetica" w:hAnsi="Helvetica"/>
          <w:kern w:val="0"/>
          <w:szCs w:val="21"/>
        </w:rPr>
        <w:t xml:space="preserve"> JW, van de Velde CJH, </w:t>
      </w:r>
      <w:r w:rsidRPr="007C6B70">
        <w:rPr>
          <w:rFonts w:ascii="Helvetica" w:hAnsi="Helvetica" w:hint="eastAsia"/>
          <w:kern w:val="0"/>
          <w:szCs w:val="21"/>
        </w:rPr>
        <w:t>et al</w:t>
      </w:r>
      <w:r w:rsidRPr="007C6B70">
        <w:rPr>
          <w:rFonts w:ascii="Helvetica" w:hAnsi="Helvetica"/>
          <w:kern w:val="0"/>
          <w:szCs w:val="21"/>
        </w:rPr>
        <w:t xml:space="preserve">. Older versus younger adults with gastric cancer receiving perioperative treatment: Results from the CRITICS trial. </w:t>
      </w:r>
      <w:proofErr w:type="spellStart"/>
      <w:r w:rsidRPr="007C6B70">
        <w:rPr>
          <w:rFonts w:ascii="Helvetica" w:hAnsi="Helvetica"/>
          <w:kern w:val="0"/>
          <w:szCs w:val="21"/>
        </w:rPr>
        <w:t>Eur</w:t>
      </w:r>
      <w:proofErr w:type="spellEnd"/>
      <w:r w:rsidRPr="007C6B70">
        <w:rPr>
          <w:rFonts w:ascii="Helvetica" w:hAnsi="Helvetica"/>
          <w:kern w:val="0"/>
          <w:szCs w:val="21"/>
        </w:rPr>
        <w:t xml:space="preserve"> J Cancer. 2020;</w:t>
      </w:r>
      <w:r w:rsidRPr="007C6B70">
        <w:rPr>
          <w:rFonts w:ascii="Helvetica" w:hAnsi="Helvetica" w:hint="eastAsia"/>
          <w:kern w:val="0"/>
          <w:szCs w:val="21"/>
        </w:rPr>
        <w:t xml:space="preserve"> </w:t>
      </w:r>
      <w:r w:rsidRPr="007C6B70">
        <w:rPr>
          <w:rFonts w:ascii="Helvetica" w:hAnsi="Helvetica"/>
          <w:kern w:val="0"/>
          <w:szCs w:val="21"/>
        </w:rPr>
        <w:t>130:</w:t>
      </w:r>
      <w:r w:rsidRPr="007C6B70">
        <w:rPr>
          <w:rFonts w:ascii="Helvetica" w:hAnsi="Helvetica" w:hint="eastAsia"/>
          <w:kern w:val="0"/>
          <w:szCs w:val="21"/>
        </w:rPr>
        <w:t xml:space="preserve"> </w:t>
      </w:r>
      <w:r w:rsidRPr="007C6B70">
        <w:rPr>
          <w:rFonts w:ascii="Helvetica" w:hAnsi="Helvetica"/>
          <w:kern w:val="0"/>
          <w:szCs w:val="21"/>
        </w:rPr>
        <w:t>146-154.</w:t>
      </w:r>
    </w:p>
    <w:sectPr w:rsidR="001F539B" w:rsidRPr="00DC620C">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6E7DCB" w14:textId="77777777" w:rsidR="000826E5" w:rsidRDefault="000826E5" w:rsidP="001F539B">
      <w:r>
        <w:separator/>
      </w:r>
    </w:p>
  </w:endnote>
  <w:endnote w:type="continuationSeparator" w:id="0">
    <w:p w14:paraId="4295D403" w14:textId="77777777" w:rsidR="000826E5" w:rsidRDefault="000826E5" w:rsidP="001F5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5704462"/>
      <w:docPartObj>
        <w:docPartGallery w:val="Page Numbers (Bottom of Page)"/>
        <w:docPartUnique/>
      </w:docPartObj>
    </w:sdtPr>
    <w:sdtContent>
      <w:p w14:paraId="04439C46" w14:textId="0C988F77" w:rsidR="00346396" w:rsidRDefault="00346396">
        <w:pPr>
          <w:pStyle w:val="af0"/>
          <w:jc w:val="right"/>
        </w:pPr>
        <w:r>
          <w:fldChar w:fldCharType="begin"/>
        </w:r>
        <w:r>
          <w:instrText>PAGE   \* MERGEFORMAT</w:instrText>
        </w:r>
        <w:r>
          <w:fldChar w:fldCharType="separate"/>
        </w:r>
        <w:r>
          <w:rPr>
            <w:lang w:val="zh-CN"/>
          </w:rPr>
          <w:t>2</w:t>
        </w:r>
        <w:r>
          <w:fldChar w:fldCharType="end"/>
        </w:r>
      </w:p>
    </w:sdtContent>
  </w:sdt>
  <w:p w14:paraId="593EC269" w14:textId="77777777" w:rsidR="00346396" w:rsidRDefault="0034639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48E7E3" w14:textId="77777777" w:rsidR="000826E5" w:rsidRDefault="000826E5" w:rsidP="001F539B">
      <w:r>
        <w:separator/>
      </w:r>
    </w:p>
  </w:footnote>
  <w:footnote w:type="continuationSeparator" w:id="0">
    <w:p w14:paraId="49F25A76" w14:textId="77777777" w:rsidR="000826E5" w:rsidRDefault="000826E5" w:rsidP="001F53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a0NDU3tLQ0MwLxlHSUglOLizPz80AKTGsBN+d6tCwAAAA="/>
  </w:docVars>
  <w:rsids>
    <w:rsidRoot w:val="00032D36"/>
    <w:rsid w:val="00032D36"/>
    <w:rsid w:val="0008020B"/>
    <w:rsid w:val="000826E5"/>
    <w:rsid w:val="000C0684"/>
    <w:rsid w:val="001B4525"/>
    <w:rsid w:val="001E2AAA"/>
    <w:rsid w:val="001F539B"/>
    <w:rsid w:val="002547D7"/>
    <w:rsid w:val="0026557C"/>
    <w:rsid w:val="002C6728"/>
    <w:rsid w:val="003114EC"/>
    <w:rsid w:val="00346396"/>
    <w:rsid w:val="003B5115"/>
    <w:rsid w:val="0049762F"/>
    <w:rsid w:val="00500C70"/>
    <w:rsid w:val="00506C8B"/>
    <w:rsid w:val="005608C8"/>
    <w:rsid w:val="00561678"/>
    <w:rsid w:val="005657D3"/>
    <w:rsid w:val="005D35AF"/>
    <w:rsid w:val="00642FCC"/>
    <w:rsid w:val="006756F5"/>
    <w:rsid w:val="006B0FC7"/>
    <w:rsid w:val="007978ED"/>
    <w:rsid w:val="007C6B70"/>
    <w:rsid w:val="0082692A"/>
    <w:rsid w:val="008F0919"/>
    <w:rsid w:val="00A86933"/>
    <w:rsid w:val="00AE1379"/>
    <w:rsid w:val="00B3266B"/>
    <w:rsid w:val="00B55EA4"/>
    <w:rsid w:val="00C64E40"/>
    <w:rsid w:val="00D178F3"/>
    <w:rsid w:val="00D52980"/>
    <w:rsid w:val="00DA7454"/>
    <w:rsid w:val="00DC620C"/>
    <w:rsid w:val="00E13697"/>
    <w:rsid w:val="00E1725F"/>
    <w:rsid w:val="00F37A3C"/>
    <w:rsid w:val="00F42C70"/>
    <w:rsid w:val="00FF33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69E53"/>
  <w15:chartTrackingRefBased/>
  <w15:docId w15:val="{09AEA4B4-19DB-4DA7-A6ED-014B10A65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32D3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32D3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32D3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32D3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32D36"/>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032D36"/>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32D3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32D3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32D3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32D3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32D3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32D3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32D36"/>
    <w:rPr>
      <w:rFonts w:cstheme="majorBidi"/>
      <w:color w:val="0F4761" w:themeColor="accent1" w:themeShade="BF"/>
      <w:sz w:val="28"/>
      <w:szCs w:val="28"/>
    </w:rPr>
  </w:style>
  <w:style w:type="character" w:customStyle="1" w:styleId="50">
    <w:name w:val="标题 5 字符"/>
    <w:basedOn w:val="a0"/>
    <w:link w:val="5"/>
    <w:uiPriority w:val="9"/>
    <w:semiHidden/>
    <w:rsid w:val="00032D36"/>
    <w:rPr>
      <w:rFonts w:cstheme="majorBidi"/>
      <w:color w:val="0F4761" w:themeColor="accent1" w:themeShade="BF"/>
      <w:sz w:val="24"/>
      <w:szCs w:val="24"/>
    </w:rPr>
  </w:style>
  <w:style w:type="character" w:customStyle="1" w:styleId="60">
    <w:name w:val="标题 6 字符"/>
    <w:basedOn w:val="a0"/>
    <w:link w:val="6"/>
    <w:uiPriority w:val="9"/>
    <w:semiHidden/>
    <w:rsid w:val="00032D36"/>
    <w:rPr>
      <w:rFonts w:cstheme="majorBidi"/>
      <w:b/>
      <w:bCs/>
      <w:color w:val="0F4761" w:themeColor="accent1" w:themeShade="BF"/>
    </w:rPr>
  </w:style>
  <w:style w:type="character" w:customStyle="1" w:styleId="70">
    <w:name w:val="标题 7 字符"/>
    <w:basedOn w:val="a0"/>
    <w:link w:val="7"/>
    <w:uiPriority w:val="9"/>
    <w:semiHidden/>
    <w:rsid w:val="00032D36"/>
    <w:rPr>
      <w:rFonts w:cstheme="majorBidi"/>
      <w:b/>
      <w:bCs/>
      <w:color w:val="595959" w:themeColor="text1" w:themeTint="A6"/>
    </w:rPr>
  </w:style>
  <w:style w:type="character" w:customStyle="1" w:styleId="80">
    <w:name w:val="标题 8 字符"/>
    <w:basedOn w:val="a0"/>
    <w:link w:val="8"/>
    <w:uiPriority w:val="9"/>
    <w:semiHidden/>
    <w:rsid w:val="00032D36"/>
    <w:rPr>
      <w:rFonts w:cstheme="majorBidi"/>
      <w:color w:val="595959" w:themeColor="text1" w:themeTint="A6"/>
    </w:rPr>
  </w:style>
  <w:style w:type="character" w:customStyle="1" w:styleId="90">
    <w:name w:val="标题 9 字符"/>
    <w:basedOn w:val="a0"/>
    <w:link w:val="9"/>
    <w:uiPriority w:val="9"/>
    <w:semiHidden/>
    <w:rsid w:val="00032D36"/>
    <w:rPr>
      <w:rFonts w:eastAsiaTheme="majorEastAsia" w:cstheme="majorBidi"/>
      <w:color w:val="595959" w:themeColor="text1" w:themeTint="A6"/>
    </w:rPr>
  </w:style>
  <w:style w:type="paragraph" w:styleId="a3">
    <w:name w:val="Title"/>
    <w:basedOn w:val="a"/>
    <w:next w:val="a"/>
    <w:link w:val="a4"/>
    <w:uiPriority w:val="10"/>
    <w:qFormat/>
    <w:rsid w:val="00032D3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32D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2D3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32D3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32D36"/>
    <w:pPr>
      <w:spacing w:before="160" w:after="160"/>
      <w:jc w:val="center"/>
    </w:pPr>
    <w:rPr>
      <w:i/>
      <w:iCs/>
      <w:color w:val="404040" w:themeColor="text1" w:themeTint="BF"/>
    </w:rPr>
  </w:style>
  <w:style w:type="character" w:customStyle="1" w:styleId="a8">
    <w:name w:val="引用 字符"/>
    <w:basedOn w:val="a0"/>
    <w:link w:val="a7"/>
    <w:uiPriority w:val="29"/>
    <w:rsid w:val="00032D36"/>
    <w:rPr>
      <w:i/>
      <w:iCs/>
      <w:color w:val="404040" w:themeColor="text1" w:themeTint="BF"/>
    </w:rPr>
  </w:style>
  <w:style w:type="paragraph" w:styleId="a9">
    <w:name w:val="List Paragraph"/>
    <w:basedOn w:val="a"/>
    <w:uiPriority w:val="34"/>
    <w:qFormat/>
    <w:rsid w:val="00032D36"/>
    <w:pPr>
      <w:ind w:left="720"/>
      <w:contextualSpacing/>
    </w:pPr>
  </w:style>
  <w:style w:type="character" w:styleId="aa">
    <w:name w:val="Intense Emphasis"/>
    <w:basedOn w:val="a0"/>
    <w:uiPriority w:val="21"/>
    <w:qFormat/>
    <w:rsid w:val="00032D36"/>
    <w:rPr>
      <w:i/>
      <w:iCs/>
      <w:color w:val="0F4761" w:themeColor="accent1" w:themeShade="BF"/>
    </w:rPr>
  </w:style>
  <w:style w:type="paragraph" w:styleId="ab">
    <w:name w:val="Intense Quote"/>
    <w:basedOn w:val="a"/>
    <w:next w:val="a"/>
    <w:link w:val="ac"/>
    <w:uiPriority w:val="30"/>
    <w:qFormat/>
    <w:rsid w:val="00032D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32D36"/>
    <w:rPr>
      <w:i/>
      <w:iCs/>
      <w:color w:val="0F4761" w:themeColor="accent1" w:themeShade="BF"/>
    </w:rPr>
  </w:style>
  <w:style w:type="character" w:styleId="ad">
    <w:name w:val="Intense Reference"/>
    <w:basedOn w:val="a0"/>
    <w:uiPriority w:val="32"/>
    <w:qFormat/>
    <w:rsid w:val="00032D36"/>
    <w:rPr>
      <w:b/>
      <w:bCs/>
      <w:smallCaps/>
      <w:color w:val="0F4761" w:themeColor="accent1" w:themeShade="BF"/>
      <w:spacing w:val="5"/>
    </w:rPr>
  </w:style>
  <w:style w:type="paragraph" w:styleId="ae">
    <w:name w:val="header"/>
    <w:basedOn w:val="a"/>
    <w:link w:val="af"/>
    <w:uiPriority w:val="99"/>
    <w:unhideWhenUsed/>
    <w:rsid w:val="001F539B"/>
    <w:pPr>
      <w:tabs>
        <w:tab w:val="center" w:pos="4153"/>
        <w:tab w:val="right" w:pos="8306"/>
      </w:tabs>
      <w:snapToGrid w:val="0"/>
      <w:jc w:val="center"/>
    </w:pPr>
    <w:rPr>
      <w:sz w:val="18"/>
      <w:szCs w:val="18"/>
    </w:rPr>
  </w:style>
  <w:style w:type="character" w:customStyle="1" w:styleId="af">
    <w:name w:val="页眉 字符"/>
    <w:basedOn w:val="a0"/>
    <w:link w:val="ae"/>
    <w:uiPriority w:val="99"/>
    <w:rsid w:val="001F539B"/>
    <w:rPr>
      <w:sz w:val="18"/>
      <w:szCs w:val="18"/>
    </w:rPr>
  </w:style>
  <w:style w:type="paragraph" w:styleId="af0">
    <w:name w:val="footer"/>
    <w:basedOn w:val="a"/>
    <w:link w:val="af1"/>
    <w:uiPriority w:val="99"/>
    <w:unhideWhenUsed/>
    <w:rsid w:val="001F539B"/>
    <w:pPr>
      <w:tabs>
        <w:tab w:val="center" w:pos="4153"/>
        <w:tab w:val="right" w:pos="8306"/>
      </w:tabs>
      <w:snapToGrid w:val="0"/>
      <w:jc w:val="left"/>
    </w:pPr>
    <w:rPr>
      <w:sz w:val="18"/>
      <w:szCs w:val="18"/>
    </w:rPr>
  </w:style>
  <w:style w:type="character" w:customStyle="1" w:styleId="af1">
    <w:name w:val="页脚 字符"/>
    <w:basedOn w:val="a0"/>
    <w:link w:val="af0"/>
    <w:uiPriority w:val="99"/>
    <w:rsid w:val="001F539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5</Pages>
  <Words>1323</Words>
  <Characters>7348</Characters>
  <Application>Microsoft Office Word</Application>
  <DocSecurity>0</DocSecurity>
  <Lines>367</Lines>
  <Paragraphs>64</Paragraphs>
  <ScaleCrop>false</ScaleCrop>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Shuo Li</dc:creator>
  <cp:keywords/>
  <dc:description/>
  <cp:lastModifiedBy>Shuo Li</cp:lastModifiedBy>
  <cp:revision>29</cp:revision>
  <dcterms:created xsi:type="dcterms:W3CDTF">2024-02-23T21:01:00Z</dcterms:created>
  <dcterms:modified xsi:type="dcterms:W3CDTF">2024-03-15T09:44:00Z</dcterms:modified>
</cp:coreProperties>
</file>