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33" w:rsidRDefault="00023A33" w:rsidP="00837C2E">
      <w:pPr>
        <w:spacing w:afterLines="80" w:after="192" w:line="480" w:lineRule="auto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ADDITIONAL FILE 2</w:t>
      </w:r>
    </w:p>
    <w:p w:rsidR="00023A33" w:rsidRPr="00A6790F" w:rsidRDefault="00837C2E" w:rsidP="00837C2E">
      <w:pPr>
        <w:spacing w:afterLines="80" w:after="192" w:line="480" w:lineRule="auto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Supplementary R</w:t>
      </w:r>
      <w:r w:rsidR="00023A33">
        <w:rPr>
          <w:rFonts w:asciiTheme="majorBidi" w:hAnsiTheme="majorBidi" w:cstheme="majorBidi"/>
          <w:b/>
        </w:rPr>
        <w:t>esults</w:t>
      </w:r>
    </w:p>
    <w:p w:rsidR="00023A33" w:rsidRPr="00D21B9E" w:rsidRDefault="00023A33" w:rsidP="00837C2E">
      <w:pPr>
        <w:spacing w:afterLines="80" w:after="192" w:line="480" w:lineRule="auto"/>
        <w:rPr>
          <w:rFonts w:asciiTheme="majorBidi" w:hAnsiTheme="majorBidi" w:cstheme="majorBidi"/>
          <w:b/>
        </w:rPr>
      </w:pPr>
      <w:r w:rsidRPr="00D21B9E">
        <w:rPr>
          <w:rFonts w:asciiTheme="majorBidi" w:hAnsiTheme="majorBidi" w:cstheme="majorBidi"/>
          <w:b/>
        </w:rPr>
        <w:t>Patient characteristics and outcomes</w:t>
      </w:r>
    </w:p>
    <w:p w:rsidR="00023A33" w:rsidRPr="00D21B9E" w:rsidRDefault="00023A33" w:rsidP="00023A33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t xml:space="preserve">The cohort included 180 patients with LBCL, with a median age of 66 (range 20-86) years. The most common indications for CAR-T therapy were diffuse LBCL, not otherwise specified (n=136 [76%]); high-grade B-cell lymphoma with MYC and BCL2 and/or BCL 6 rearrangement (n=25 [14%]); and high-grade B-cell lymphoma, not otherwise specified (n=7 [4%]). Most patients (70%) had a </w:t>
      </w:r>
      <w:proofErr w:type="spellStart"/>
      <w:r w:rsidRPr="00D21B9E">
        <w:rPr>
          <w:rFonts w:asciiTheme="majorBidi" w:hAnsiTheme="majorBidi" w:cstheme="majorBidi"/>
        </w:rPr>
        <w:t>Karnofsky</w:t>
      </w:r>
      <w:proofErr w:type="spellEnd"/>
      <w:r w:rsidRPr="00D21B9E">
        <w:rPr>
          <w:rFonts w:asciiTheme="majorBidi" w:hAnsiTheme="majorBidi" w:cstheme="majorBidi"/>
        </w:rPr>
        <w:t xml:space="preserve"> performance status &lt;90 prior to </w:t>
      </w:r>
      <w:proofErr w:type="spellStart"/>
      <w:r w:rsidRPr="00D21B9E">
        <w:rPr>
          <w:rFonts w:asciiTheme="majorBidi" w:hAnsiTheme="majorBidi" w:cstheme="majorBidi"/>
        </w:rPr>
        <w:t>lymphodepletion</w:t>
      </w:r>
      <w:proofErr w:type="spellEnd"/>
      <w:r w:rsidRPr="00D21B9E">
        <w:rPr>
          <w:rFonts w:asciiTheme="majorBidi" w:hAnsiTheme="majorBidi" w:cstheme="majorBidi"/>
        </w:rPr>
        <w:t xml:space="preserve"> and most (73%) received bridging therapy following apheresis. Tisa-</w:t>
      </w:r>
      <w:proofErr w:type="spellStart"/>
      <w:r w:rsidRPr="00D21B9E">
        <w:rPr>
          <w:rFonts w:asciiTheme="majorBidi" w:hAnsiTheme="majorBidi" w:cstheme="majorBidi"/>
        </w:rPr>
        <w:t>cel</w:t>
      </w:r>
      <w:proofErr w:type="spellEnd"/>
      <w:r w:rsidRPr="00D21B9E">
        <w:rPr>
          <w:rFonts w:asciiTheme="majorBidi" w:hAnsiTheme="majorBidi" w:cstheme="majorBidi"/>
        </w:rPr>
        <w:t xml:space="preserve"> and </w:t>
      </w:r>
      <w:proofErr w:type="spellStart"/>
      <w:r w:rsidRPr="00D21B9E">
        <w:rPr>
          <w:rFonts w:asciiTheme="majorBidi" w:hAnsiTheme="majorBidi" w:cstheme="majorBidi"/>
        </w:rPr>
        <w:t>liso-cel</w:t>
      </w:r>
      <w:proofErr w:type="spellEnd"/>
      <w:r w:rsidRPr="00D21B9E">
        <w:rPr>
          <w:rFonts w:asciiTheme="majorBidi" w:hAnsiTheme="majorBidi" w:cstheme="majorBidi"/>
        </w:rPr>
        <w:t xml:space="preserve"> (4-1BB costimulatory domain) were used in 52 (29%) and 35 (19%) cases, respectively, and </w:t>
      </w:r>
      <w:proofErr w:type="spellStart"/>
      <w:r w:rsidRPr="00D21B9E">
        <w:rPr>
          <w:rFonts w:asciiTheme="majorBidi" w:hAnsiTheme="majorBidi" w:cstheme="majorBidi"/>
        </w:rPr>
        <w:t>axi-cel</w:t>
      </w:r>
      <w:proofErr w:type="spellEnd"/>
      <w:r w:rsidRPr="00D21B9E">
        <w:rPr>
          <w:rFonts w:asciiTheme="majorBidi" w:hAnsiTheme="majorBidi" w:cstheme="majorBidi"/>
        </w:rPr>
        <w:t xml:space="preserve"> (CD28 costimulatory domain) was used in 93 (52%) cases. CRS and ICANS grade ≥2 were reported in 74 (41%) and 35 (19%) patients, respectively. </w:t>
      </w:r>
    </w:p>
    <w:p w:rsidR="00023A33" w:rsidRPr="00D21B9E" w:rsidRDefault="00023A33" w:rsidP="00023A33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t>At 100 days after CAR-T cell infusion, 79% of patients were classified as responders: 58% showed CR, and 21% showed PR. The median OS was 24 months (95% CI, 17 – not reached), and the median PFS was 6.2 months (95% CI, 3.4 – 9.7), with a median follow-up period of 29 months (interquartile range [IQR]</w:t>
      </w:r>
      <w:r w:rsidR="004C5D8F" w:rsidRPr="00D21B9E">
        <w:rPr>
          <w:rFonts w:asciiTheme="majorBidi" w:hAnsiTheme="majorBidi" w:cstheme="majorBidi"/>
        </w:rPr>
        <w:t>, 18 – 40).</w:t>
      </w:r>
      <w:r w:rsidR="004C5D8F" w:rsidRPr="00D21B9E">
        <w:rPr>
          <w:rFonts w:asciiTheme="majorBidi" w:hAnsiTheme="majorBidi" w:cstheme="majorBidi"/>
        </w:rPr>
        <w:br/>
      </w:r>
      <w:r w:rsidR="004C5D8F" w:rsidRPr="00D21B9E">
        <w:rPr>
          <w:rFonts w:asciiTheme="majorBidi" w:hAnsiTheme="majorBidi" w:cstheme="majorBidi"/>
        </w:rPr>
        <w:br/>
      </w:r>
      <w:r w:rsidRPr="00D21B9E">
        <w:rPr>
          <w:rFonts w:asciiTheme="majorBidi" w:hAnsiTheme="majorBidi" w:cstheme="majorBidi"/>
          <w:b/>
        </w:rPr>
        <w:t>PET features and laboratory biomarkers</w:t>
      </w:r>
    </w:p>
    <w:p w:rsidR="00023A33" w:rsidRPr="00D21B9E" w:rsidRDefault="00023A33" w:rsidP="00023A33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t xml:space="preserve">Overall, 341 PET/CT scans were evaluated, including 161 </w:t>
      </w:r>
      <w:proofErr w:type="spellStart"/>
      <w:r w:rsidRPr="00D21B9E">
        <w:rPr>
          <w:rFonts w:asciiTheme="majorBidi" w:hAnsiTheme="majorBidi" w:cstheme="majorBidi"/>
        </w:rPr>
        <w:t>aph</w:t>
      </w:r>
      <w:proofErr w:type="spellEnd"/>
      <w:r w:rsidRPr="00D21B9E">
        <w:rPr>
          <w:rFonts w:asciiTheme="majorBidi" w:hAnsiTheme="majorBidi" w:cstheme="majorBidi"/>
        </w:rPr>
        <w:t xml:space="preserve">-PET and 180 car-PET scans. On </w:t>
      </w:r>
      <w:proofErr w:type="spellStart"/>
      <w:r w:rsidRPr="00D21B9E">
        <w:rPr>
          <w:rFonts w:asciiTheme="majorBidi" w:hAnsiTheme="majorBidi" w:cstheme="majorBidi"/>
        </w:rPr>
        <w:t>aph</w:t>
      </w:r>
      <w:proofErr w:type="spellEnd"/>
      <w:r w:rsidRPr="00D21B9E">
        <w:rPr>
          <w:rFonts w:asciiTheme="majorBidi" w:hAnsiTheme="majorBidi" w:cstheme="majorBidi"/>
        </w:rPr>
        <w:t xml:space="preserve">-PET, the median values for </w:t>
      </w:r>
      <w:proofErr w:type="spellStart"/>
      <w:r w:rsidRPr="00D21B9E">
        <w:rPr>
          <w:rFonts w:asciiTheme="majorBidi" w:hAnsiTheme="majorBidi" w:cstheme="majorBidi"/>
        </w:rPr>
        <w:t>SUVmax</w:t>
      </w:r>
      <w:proofErr w:type="spellEnd"/>
      <w:r w:rsidRPr="00D21B9E">
        <w:rPr>
          <w:rFonts w:asciiTheme="majorBidi" w:hAnsiTheme="majorBidi" w:cstheme="majorBidi"/>
        </w:rPr>
        <w:t>, MTV, and TLG were 19, 56 mL, and</w:t>
      </w:r>
      <w:r w:rsidR="00A96964" w:rsidRPr="00D21B9E">
        <w:rPr>
          <w:rFonts w:asciiTheme="majorBidi" w:hAnsiTheme="majorBidi" w:cstheme="majorBidi"/>
        </w:rPr>
        <w:t xml:space="preserve"> 427 mL</w:t>
      </w:r>
      <w:r w:rsidRPr="00D21B9E">
        <w:rPr>
          <w:rFonts w:asciiTheme="majorBidi" w:hAnsiTheme="majorBidi" w:cstheme="majorBidi"/>
        </w:rPr>
        <w:t xml:space="preserve">, respectively; nodal conglomerates with a maximum diameter of 6-10 cm or &gt;10 cm were found in 22 and 28 patients, respectively. On car-PET, the median values for </w:t>
      </w:r>
      <w:proofErr w:type="spellStart"/>
      <w:r w:rsidRPr="00D21B9E">
        <w:rPr>
          <w:rFonts w:asciiTheme="majorBidi" w:hAnsiTheme="majorBidi" w:cstheme="majorBidi"/>
        </w:rPr>
        <w:t>SUVmax</w:t>
      </w:r>
      <w:proofErr w:type="spellEnd"/>
      <w:r w:rsidRPr="00D21B9E">
        <w:rPr>
          <w:rFonts w:asciiTheme="majorBidi" w:hAnsiTheme="majorBidi" w:cstheme="majorBidi"/>
        </w:rPr>
        <w:t>, MTV, and TLG were 15, 44 mL, and</w:t>
      </w:r>
      <w:r w:rsidR="00A96964" w:rsidRPr="00D21B9E">
        <w:rPr>
          <w:rFonts w:asciiTheme="majorBidi" w:hAnsiTheme="majorBidi" w:cstheme="majorBidi"/>
        </w:rPr>
        <w:t xml:space="preserve"> 338 mL</w:t>
      </w:r>
      <w:r w:rsidRPr="00D21B9E">
        <w:rPr>
          <w:rFonts w:asciiTheme="majorBidi" w:hAnsiTheme="majorBidi" w:cstheme="majorBidi"/>
        </w:rPr>
        <w:t>, respectively; residual disease with a maximum diameter of 6-10 cm or &gt;10 cm was found in 41 and 30 patients, respectively. Apheresis and infusion were approximately 5 weeks apart (median 36 days [IQR, 29-46]).</w:t>
      </w:r>
    </w:p>
    <w:p w:rsidR="00023A33" w:rsidRPr="00D21B9E" w:rsidRDefault="00023A33" w:rsidP="00023A33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lastRenderedPageBreak/>
        <w:t>Inflammatory markers have been previously demonstrated to predict CAR-T therapy outcomes</w:t>
      </w:r>
      <w:r w:rsidR="00BF026C" w:rsidRPr="00D21B9E">
        <w:rPr>
          <w:rFonts w:asciiTheme="majorBidi" w:hAnsiTheme="majorBidi" w:cstheme="majorBidi"/>
        </w:rPr>
        <w:t xml:space="preserve"> [1, 2]; </w:t>
      </w:r>
      <w:r w:rsidRPr="00D21B9E">
        <w:rPr>
          <w:rFonts w:asciiTheme="majorBidi" w:hAnsiTheme="majorBidi" w:cstheme="majorBidi"/>
        </w:rPr>
        <w:t>therefore, we investigated correlations between PET imaging features and blood laboratory values of tumor burden (LDH) and inflammation (CRP, IL-6, IL-10, TNF-α, ferritin, fibrinogen, D-dimer) in all patients at pre-apheresis and/or pre-CAR-T cell infusion time points. Overall,</w:t>
      </w:r>
      <w:r w:rsidRPr="00D21B9E">
        <w:rPr>
          <w:rFonts w:asciiTheme="majorBidi" w:hAnsiTheme="majorBidi" w:cstheme="majorBidi"/>
          <w:lang w:bidi="he-IL"/>
        </w:rPr>
        <w:t xml:space="preserve"> markers of</w:t>
      </w:r>
      <w:r w:rsidRPr="00D21B9E">
        <w:rPr>
          <w:rFonts w:asciiTheme="majorBidi" w:hAnsiTheme="majorBidi" w:cstheme="majorBidi"/>
        </w:rPr>
        <w:t xml:space="preserve"> tumor burden and inflammation were moderately correlated with </w:t>
      </w:r>
      <w:proofErr w:type="spellStart"/>
      <w:r w:rsidR="002C5AF3" w:rsidRPr="00D21B9E">
        <w:rPr>
          <w:rFonts w:asciiTheme="majorBidi" w:hAnsiTheme="majorBidi" w:cstheme="majorBidi"/>
        </w:rPr>
        <w:t>SUVmax</w:t>
      </w:r>
      <w:proofErr w:type="spellEnd"/>
      <w:r w:rsidR="002C5AF3" w:rsidRPr="00D21B9E">
        <w:rPr>
          <w:rFonts w:asciiTheme="majorBidi" w:hAnsiTheme="majorBidi" w:cstheme="majorBidi"/>
        </w:rPr>
        <w:t>, MTV</w:t>
      </w:r>
      <w:r w:rsidRPr="00D21B9E">
        <w:rPr>
          <w:rFonts w:asciiTheme="majorBidi" w:hAnsiTheme="majorBidi" w:cstheme="majorBidi"/>
        </w:rPr>
        <w:t xml:space="preserve"> and TLG in both </w:t>
      </w:r>
      <w:proofErr w:type="spellStart"/>
      <w:r w:rsidRPr="00D21B9E">
        <w:rPr>
          <w:rFonts w:asciiTheme="majorBidi" w:hAnsiTheme="majorBidi" w:cstheme="majorBidi"/>
        </w:rPr>
        <w:t>aph</w:t>
      </w:r>
      <w:proofErr w:type="spellEnd"/>
      <w:r w:rsidRPr="00D21B9E">
        <w:rPr>
          <w:rFonts w:asciiTheme="majorBidi" w:hAnsiTheme="majorBidi" w:cstheme="majorBidi"/>
        </w:rPr>
        <w:t xml:space="preserve">-PET and car-PET scans. </w:t>
      </w:r>
      <w:r w:rsidR="004C5D8F" w:rsidRPr="00D21B9E">
        <w:rPr>
          <w:rFonts w:asciiTheme="majorBidi" w:hAnsiTheme="majorBidi" w:cstheme="majorBidi"/>
        </w:rPr>
        <w:br/>
      </w:r>
      <w:r w:rsidR="004C5D8F" w:rsidRPr="00D21B9E">
        <w:rPr>
          <w:rFonts w:asciiTheme="majorBidi" w:hAnsiTheme="majorBidi" w:cstheme="majorBidi"/>
        </w:rPr>
        <w:br/>
      </w:r>
      <w:r w:rsidRPr="00D21B9E">
        <w:rPr>
          <w:rFonts w:asciiTheme="majorBidi" w:hAnsiTheme="majorBidi" w:cstheme="majorBidi"/>
          <w:b/>
        </w:rPr>
        <w:t>PET features and treatment toxicity</w:t>
      </w:r>
    </w:p>
    <w:p w:rsidR="00023A33" w:rsidRPr="00D21B9E" w:rsidRDefault="00023A33" w:rsidP="00023A33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t xml:space="preserve">In the </w:t>
      </w:r>
      <w:proofErr w:type="spellStart"/>
      <w:r w:rsidRPr="00D21B9E">
        <w:rPr>
          <w:rFonts w:asciiTheme="majorBidi" w:hAnsiTheme="majorBidi" w:cstheme="majorBidi"/>
        </w:rPr>
        <w:t>univariable</w:t>
      </w:r>
      <w:proofErr w:type="spellEnd"/>
      <w:r w:rsidRPr="00D21B9E">
        <w:rPr>
          <w:rFonts w:asciiTheme="majorBidi" w:hAnsiTheme="majorBidi" w:cstheme="majorBidi"/>
        </w:rPr>
        <w:t xml:space="preserve"> analysis, higher </w:t>
      </w:r>
      <w:proofErr w:type="spellStart"/>
      <w:r w:rsidRPr="00D21B9E">
        <w:rPr>
          <w:rFonts w:asciiTheme="majorBidi" w:hAnsiTheme="majorBidi" w:cstheme="majorBidi"/>
        </w:rPr>
        <w:t>SUVmax</w:t>
      </w:r>
      <w:proofErr w:type="spellEnd"/>
      <w:r w:rsidRPr="00D21B9E">
        <w:rPr>
          <w:rFonts w:asciiTheme="majorBidi" w:hAnsiTheme="majorBidi" w:cstheme="majorBidi"/>
        </w:rPr>
        <w:t xml:space="preserve"> and MTV at both </w:t>
      </w:r>
      <w:proofErr w:type="spellStart"/>
      <w:r w:rsidRPr="00D21B9E">
        <w:rPr>
          <w:rFonts w:asciiTheme="majorBidi" w:hAnsiTheme="majorBidi" w:cstheme="majorBidi"/>
        </w:rPr>
        <w:t>aph</w:t>
      </w:r>
      <w:proofErr w:type="spellEnd"/>
      <w:r w:rsidRPr="00D21B9E">
        <w:rPr>
          <w:rFonts w:asciiTheme="majorBidi" w:hAnsiTheme="majorBidi" w:cstheme="majorBidi"/>
        </w:rPr>
        <w:t xml:space="preserve">-PET and car-PET were associated with a higher likelihood of grade ≥2 ICANS; </w:t>
      </w:r>
      <w:r w:rsidR="00C1108F" w:rsidRPr="00D21B9E">
        <w:rPr>
          <w:rFonts w:asciiTheme="majorBidi" w:hAnsiTheme="majorBidi" w:cstheme="majorBidi"/>
        </w:rPr>
        <w:t xml:space="preserve">the association of higher car-PET MTV with a </w:t>
      </w:r>
      <w:r w:rsidRPr="00D21B9E">
        <w:rPr>
          <w:rFonts w:asciiTheme="majorBidi" w:hAnsiTheme="majorBidi" w:cstheme="majorBidi"/>
        </w:rPr>
        <w:t>higher likelihood of grade ≥2 CRS</w:t>
      </w:r>
      <w:r w:rsidR="00C1108F" w:rsidRPr="00D21B9E">
        <w:rPr>
          <w:rFonts w:asciiTheme="majorBidi" w:hAnsiTheme="majorBidi" w:cstheme="majorBidi"/>
        </w:rPr>
        <w:t xml:space="preserve"> was marginally not significant</w:t>
      </w:r>
      <w:r w:rsidRPr="00D21B9E">
        <w:rPr>
          <w:rFonts w:asciiTheme="majorBidi" w:hAnsiTheme="majorBidi" w:cstheme="majorBidi"/>
        </w:rPr>
        <w:t xml:space="preserve"> (</w:t>
      </w:r>
      <w:r w:rsidRPr="00D21B9E">
        <w:rPr>
          <w:rFonts w:asciiTheme="majorBidi" w:hAnsiTheme="majorBidi" w:cstheme="majorBidi"/>
          <w:i/>
        </w:rPr>
        <w:t>P</w:t>
      </w:r>
      <w:r w:rsidRPr="00D21B9E">
        <w:rPr>
          <w:rFonts w:asciiTheme="majorBidi" w:hAnsiTheme="majorBidi" w:cstheme="majorBidi"/>
        </w:rPr>
        <w:t xml:space="preserve">=0.053). In the multivariable analysis, only car-PET MTV showed an association (OR 1.08 for 100-unit increase [95%CI 1.01-1.20], </w:t>
      </w:r>
      <w:r w:rsidRPr="00D21B9E">
        <w:rPr>
          <w:rFonts w:asciiTheme="majorBidi" w:hAnsiTheme="majorBidi" w:cstheme="majorBidi"/>
          <w:i/>
        </w:rPr>
        <w:t>P</w:t>
      </w:r>
      <w:r w:rsidRPr="00D21B9E">
        <w:rPr>
          <w:rFonts w:asciiTheme="majorBidi" w:hAnsiTheme="majorBidi" w:cstheme="majorBidi"/>
        </w:rPr>
        <w:t>=0.031) with CRS following adjustment for age, bridging therapy, pre-</w:t>
      </w:r>
      <w:proofErr w:type="spellStart"/>
      <w:r w:rsidRPr="00D21B9E">
        <w:rPr>
          <w:rFonts w:asciiTheme="majorBidi" w:hAnsiTheme="majorBidi" w:cstheme="majorBidi"/>
        </w:rPr>
        <w:t>lymphodepletion</w:t>
      </w:r>
      <w:proofErr w:type="spellEnd"/>
      <w:r w:rsidRPr="00D21B9E">
        <w:rPr>
          <w:rFonts w:asciiTheme="majorBidi" w:hAnsiTheme="majorBidi" w:cstheme="majorBidi"/>
        </w:rPr>
        <w:t xml:space="preserve"> LDH, and CAR-T product categorized by costimulatory domain. Thus, higher MTV at last disease assessment before </w:t>
      </w:r>
      <w:proofErr w:type="spellStart"/>
      <w:r w:rsidRPr="00D21B9E">
        <w:rPr>
          <w:rFonts w:asciiTheme="majorBidi" w:hAnsiTheme="majorBidi" w:cstheme="majorBidi"/>
        </w:rPr>
        <w:t>lymphodepletion</w:t>
      </w:r>
      <w:proofErr w:type="spellEnd"/>
      <w:r w:rsidRPr="00D21B9E">
        <w:rPr>
          <w:rFonts w:asciiTheme="majorBidi" w:hAnsiTheme="majorBidi" w:cstheme="majorBidi"/>
        </w:rPr>
        <w:t xml:space="preserve"> appears to be an independent risk factor for CRS, after adjust</w:t>
      </w:r>
      <w:r w:rsidR="004C5D8F" w:rsidRPr="00D21B9E">
        <w:rPr>
          <w:rFonts w:asciiTheme="majorBidi" w:hAnsiTheme="majorBidi" w:cstheme="majorBidi"/>
        </w:rPr>
        <w:t>ing for other clinical factors.</w:t>
      </w:r>
      <w:r w:rsidR="004C5D8F" w:rsidRPr="00D21B9E">
        <w:rPr>
          <w:rFonts w:asciiTheme="majorBidi" w:hAnsiTheme="majorBidi" w:cstheme="majorBidi"/>
        </w:rPr>
        <w:br/>
      </w:r>
      <w:r w:rsidR="004C5D8F" w:rsidRPr="00D21B9E">
        <w:rPr>
          <w:rFonts w:asciiTheme="majorBidi" w:hAnsiTheme="majorBidi" w:cstheme="majorBidi"/>
        </w:rPr>
        <w:br/>
      </w:r>
      <w:r w:rsidRPr="00D21B9E">
        <w:rPr>
          <w:rFonts w:asciiTheme="majorBidi" w:hAnsiTheme="majorBidi" w:cstheme="majorBidi"/>
          <w:b/>
        </w:rPr>
        <w:t>PET features and clinical outcomes</w:t>
      </w:r>
    </w:p>
    <w:p w:rsidR="00023A33" w:rsidRPr="00D21B9E" w:rsidRDefault="00023A33" w:rsidP="00023A33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t xml:space="preserve">We hypothesized that PET features would (1) predict the likelihood of achieving CR, and (2) show associations with OS and PFS following CAR-T therapy. </w:t>
      </w:r>
      <w:r w:rsidR="00BF026C" w:rsidRPr="00D21B9E">
        <w:rPr>
          <w:rFonts w:asciiTheme="majorBidi" w:hAnsiTheme="majorBidi" w:cstheme="majorBidi"/>
        </w:rPr>
        <w:t xml:space="preserve">The factor most consistently associated with durable long-term remissions and survival following CAR-T cell therapy is the depth of initial response to treatment; hence, we focused on CR as our primary endpoint for </w:t>
      </w:r>
      <w:proofErr w:type="spellStart"/>
      <w:r w:rsidR="00BF026C" w:rsidRPr="00D21B9E">
        <w:rPr>
          <w:rFonts w:asciiTheme="majorBidi" w:hAnsiTheme="majorBidi" w:cstheme="majorBidi"/>
        </w:rPr>
        <w:t>radiomic</w:t>
      </w:r>
      <w:proofErr w:type="spellEnd"/>
      <w:r w:rsidR="00BF026C" w:rsidRPr="00D21B9E">
        <w:rPr>
          <w:rFonts w:asciiTheme="majorBidi" w:hAnsiTheme="majorBidi" w:cstheme="majorBidi"/>
        </w:rPr>
        <w:t xml:space="preserve"> analysis [3].</w:t>
      </w:r>
    </w:p>
    <w:p w:rsidR="00023A33" w:rsidRPr="00D21B9E" w:rsidRDefault="00023A33" w:rsidP="00023A33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  <w:b/>
          <w:i/>
          <w:iCs/>
        </w:rPr>
        <w:t>Conventional features.</w:t>
      </w:r>
      <w:r w:rsidRPr="00D21B9E">
        <w:rPr>
          <w:rFonts w:asciiTheme="majorBidi" w:hAnsiTheme="majorBidi" w:cstheme="majorBidi"/>
        </w:rPr>
        <w:t xml:space="preserve"> Failure to </w:t>
      </w:r>
      <w:proofErr w:type="spellStart"/>
      <w:r w:rsidRPr="00D21B9E">
        <w:rPr>
          <w:rFonts w:asciiTheme="majorBidi" w:hAnsiTheme="majorBidi" w:cstheme="majorBidi"/>
        </w:rPr>
        <w:t>acheive</w:t>
      </w:r>
      <w:proofErr w:type="spellEnd"/>
      <w:r w:rsidRPr="00D21B9E">
        <w:rPr>
          <w:rFonts w:asciiTheme="majorBidi" w:hAnsiTheme="majorBidi" w:cstheme="majorBidi"/>
        </w:rPr>
        <w:t xml:space="preserve"> day 100 CR after CAR-T therapy was associated with higher </w:t>
      </w:r>
      <w:proofErr w:type="spellStart"/>
      <w:r w:rsidRPr="00D21B9E">
        <w:rPr>
          <w:rFonts w:asciiTheme="majorBidi" w:hAnsiTheme="majorBidi" w:cstheme="majorBidi"/>
        </w:rPr>
        <w:t>aph</w:t>
      </w:r>
      <w:proofErr w:type="spellEnd"/>
      <w:r w:rsidRPr="00D21B9E">
        <w:rPr>
          <w:rFonts w:asciiTheme="majorBidi" w:hAnsiTheme="majorBidi" w:cstheme="majorBidi"/>
        </w:rPr>
        <w:t xml:space="preserve">-PET and car-PET </w:t>
      </w:r>
      <w:proofErr w:type="spellStart"/>
      <w:r w:rsidRPr="00D21B9E">
        <w:rPr>
          <w:rFonts w:asciiTheme="majorBidi" w:hAnsiTheme="majorBidi" w:cstheme="majorBidi"/>
        </w:rPr>
        <w:t>SUVmax</w:t>
      </w:r>
      <w:proofErr w:type="spellEnd"/>
      <w:r w:rsidRPr="00D21B9E">
        <w:rPr>
          <w:rFonts w:asciiTheme="majorBidi" w:hAnsiTheme="majorBidi" w:cstheme="majorBidi"/>
        </w:rPr>
        <w:t>, MTV, and TLG, as well as pre-</w:t>
      </w:r>
      <w:proofErr w:type="spellStart"/>
      <w:r w:rsidRPr="00D21B9E">
        <w:rPr>
          <w:rFonts w:asciiTheme="majorBidi" w:hAnsiTheme="majorBidi" w:cstheme="majorBidi"/>
        </w:rPr>
        <w:t>lymphodepletion</w:t>
      </w:r>
      <w:proofErr w:type="spellEnd"/>
      <w:r w:rsidRPr="00D21B9E">
        <w:rPr>
          <w:rFonts w:asciiTheme="majorBidi" w:hAnsiTheme="majorBidi" w:cstheme="majorBidi"/>
        </w:rPr>
        <w:t xml:space="preserve"> LDH on </w:t>
      </w:r>
      <w:proofErr w:type="spellStart"/>
      <w:r w:rsidRPr="00D21B9E">
        <w:rPr>
          <w:rFonts w:asciiTheme="majorBidi" w:hAnsiTheme="majorBidi" w:cstheme="majorBidi"/>
        </w:rPr>
        <w:t>univariable</w:t>
      </w:r>
      <w:proofErr w:type="spellEnd"/>
      <w:r w:rsidRPr="00D21B9E">
        <w:rPr>
          <w:rFonts w:asciiTheme="majorBidi" w:hAnsiTheme="majorBidi" w:cstheme="majorBidi"/>
        </w:rPr>
        <w:t xml:space="preserve"> analysis. In a multivariable model adjusted for age, pre-</w:t>
      </w:r>
      <w:proofErr w:type="spellStart"/>
      <w:r w:rsidRPr="00D21B9E">
        <w:rPr>
          <w:rFonts w:asciiTheme="majorBidi" w:hAnsiTheme="majorBidi" w:cstheme="majorBidi"/>
        </w:rPr>
        <w:t>lymphodepletion</w:t>
      </w:r>
      <w:proofErr w:type="spellEnd"/>
      <w:r w:rsidRPr="00D21B9E">
        <w:rPr>
          <w:rFonts w:asciiTheme="majorBidi" w:hAnsiTheme="majorBidi" w:cstheme="majorBidi"/>
        </w:rPr>
        <w:t xml:space="preserve"> LDH, CAR-T costimulatory domain, and bridging therapy, the odds of non-CR were higher for those with a higher </w:t>
      </w:r>
      <w:r w:rsidRPr="00D21B9E">
        <w:rPr>
          <w:rFonts w:asciiTheme="majorBidi" w:hAnsiTheme="majorBidi" w:cstheme="majorBidi"/>
        </w:rPr>
        <w:lastRenderedPageBreak/>
        <w:t xml:space="preserve">car-PET </w:t>
      </w:r>
      <w:proofErr w:type="spellStart"/>
      <w:r w:rsidRPr="00D21B9E">
        <w:rPr>
          <w:rFonts w:asciiTheme="majorBidi" w:hAnsiTheme="majorBidi" w:cstheme="majorBidi"/>
        </w:rPr>
        <w:t>SUVmax</w:t>
      </w:r>
      <w:proofErr w:type="spellEnd"/>
      <w:r w:rsidRPr="00D21B9E">
        <w:rPr>
          <w:rFonts w:asciiTheme="majorBidi" w:hAnsiTheme="majorBidi" w:cstheme="majorBidi"/>
        </w:rPr>
        <w:t xml:space="preserve"> (OR 1.72 for 10-unit increase [95% CI 1.24-2.43], </w:t>
      </w:r>
      <w:r w:rsidRPr="00D21B9E">
        <w:rPr>
          <w:rFonts w:asciiTheme="majorBidi" w:hAnsiTheme="majorBidi" w:cstheme="majorBidi"/>
          <w:i/>
        </w:rPr>
        <w:t>P</w:t>
      </w:r>
      <w:r w:rsidRPr="00D21B9E">
        <w:rPr>
          <w:rFonts w:asciiTheme="majorBidi" w:hAnsiTheme="majorBidi" w:cstheme="majorBidi"/>
        </w:rPr>
        <w:t xml:space="preserve">&lt;0.001), whereas MTV lacked such an association. </w:t>
      </w:r>
    </w:p>
    <w:p w:rsidR="00023A33" w:rsidRPr="00D21B9E" w:rsidRDefault="00023A33" w:rsidP="00023A33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  <w:b/>
          <w:i/>
          <w:iCs/>
        </w:rPr>
        <w:t>Novel features.</w:t>
      </w:r>
      <w:r w:rsidRPr="00D21B9E">
        <w:rPr>
          <w:rFonts w:asciiTheme="majorBidi" w:hAnsiTheme="majorBidi" w:cstheme="majorBidi"/>
        </w:rPr>
        <w:t xml:space="preserve"> Of 116 car-PET </w:t>
      </w:r>
      <w:proofErr w:type="spellStart"/>
      <w:r w:rsidRPr="00D21B9E">
        <w:rPr>
          <w:rFonts w:asciiTheme="majorBidi" w:hAnsiTheme="majorBidi" w:cstheme="majorBidi"/>
        </w:rPr>
        <w:t>radiomic</w:t>
      </w:r>
      <w:proofErr w:type="spellEnd"/>
      <w:r w:rsidRPr="00D21B9E">
        <w:rPr>
          <w:rFonts w:asciiTheme="majorBidi" w:hAnsiTheme="majorBidi" w:cstheme="majorBidi"/>
        </w:rPr>
        <w:t xml:space="preserve"> and segmentation features, 47 were associated with CR. In the GEE models adjusted for age, costimulatory factor, LDH, and transformed NHL, </w:t>
      </w:r>
      <w:proofErr w:type="spellStart"/>
      <w:r w:rsidRPr="00D21B9E">
        <w:rPr>
          <w:rFonts w:asciiTheme="majorBidi" w:hAnsiTheme="majorBidi" w:cstheme="majorBidi"/>
        </w:rPr>
        <w:t>radiomic</w:t>
      </w:r>
      <w:proofErr w:type="spellEnd"/>
      <w:r w:rsidRPr="00D21B9E">
        <w:rPr>
          <w:rFonts w:asciiTheme="majorBidi" w:hAnsiTheme="majorBidi" w:cstheme="majorBidi"/>
        </w:rPr>
        <w:t xml:space="preserve"> texture features, from feature groups such as gray-level dependence and run-length matrix, which are based on the distribution of interconnected voxels with identical or dependent gray levels, and shape-based features had significant differential expression between CR and non-CR ROIs (adjusted </w:t>
      </w:r>
      <w:r w:rsidRPr="00D21B9E">
        <w:rPr>
          <w:rFonts w:asciiTheme="majorBidi" w:hAnsiTheme="majorBidi" w:cstheme="majorBidi"/>
          <w:i/>
        </w:rPr>
        <w:t>P</w:t>
      </w:r>
      <w:r w:rsidRPr="00D21B9E">
        <w:rPr>
          <w:rFonts w:asciiTheme="majorBidi" w:hAnsiTheme="majorBidi" w:cstheme="majorBidi"/>
        </w:rPr>
        <w:t xml:space="preserve">&lt;0.05). Thus, in addition to conventional PET metabolic features, more granular </w:t>
      </w:r>
      <w:proofErr w:type="spellStart"/>
      <w:r w:rsidRPr="00D21B9E">
        <w:rPr>
          <w:rFonts w:asciiTheme="majorBidi" w:hAnsiTheme="majorBidi" w:cstheme="majorBidi"/>
        </w:rPr>
        <w:t>radiomic</w:t>
      </w:r>
      <w:proofErr w:type="spellEnd"/>
      <w:r w:rsidRPr="00D21B9E">
        <w:rPr>
          <w:rFonts w:asciiTheme="majorBidi" w:hAnsiTheme="majorBidi" w:cstheme="majorBidi"/>
        </w:rPr>
        <w:t xml:space="preserve"> features describing </w:t>
      </w:r>
      <w:proofErr w:type="spellStart"/>
      <w:r w:rsidRPr="00D21B9E">
        <w:rPr>
          <w:rFonts w:asciiTheme="majorBidi" w:hAnsiTheme="majorBidi" w:cstheme="majorBidi"/>
        </w:rPr>
        <w:t>intralesional</w:t>
      </w:r>
      <w:proofErr w:type="spellEnd"/>
      <w:r w:rsidRPr="00D21B9E">
        <w:rPr>
          <w:rFonts w:asciiTheme="majorBidi" w:hAnsiTheme="majorBidi" w:cstheme="majorBidi"/>
        </w:rPr>
        <w:t xml:space="preserve"> metabolic heterogeneity beyond the perception of the human eye might be able to predict resistance to CAR-T therapy.</w:t>
      </w:r>
    </w:p>
    <w:p w:rsidR="00023A33" w:rsidRPr="00D21B9E" w:rsidRDefault="00023A33" w:rsidP="00023A33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t xml:space="preserve">Shorter PFS was significantly associated with higher </w:t>
      </w:r>
      <w:proofErr w:type="spellStart"/>
      <w:r w:rsidRPr="00D21B9E">
        <w:rPr>
          <w:rFonts w:asciiTheme="majorBidi" w:hAnsiTheme="majorBidi" w:cstheme="majorBidi"/>
        </w:rPr>
        <w:t>aph</w:t>
      </w:r>
      <w:proofErr w:type="spellEnd"/>
      <w:r w:rsidRPr="00D21B9E">
        <w:rPr>
          <w:rFonts w:asciiTheme="majorBidi" w:hAnsiTheme="majorBidi" w:cstheme="majorBidi"/>
        </w:rPr>
        <w:t xml:space="preserve">-PET MTV and TLG, as well as with higher car-PET </w:t>
      </w:r>
      <w:proofErr w:type="spellStart"/>
      <w:r w:rsidRPr="00D21B9E">
        <w:rPr>
          <w:rFonts w:asciiTheme="majorBidi" w:hAnsiTheme="majorBidi" w:cstheme="majorBidi"/>
        </w:rPr>
        <w:t>SUVmax</w:t>
      </w:r>
      <w:proofErr w:type="spellEnd"/>
      <w:r w:rsidRPr="00D21B9E">
        <w:rPr>
          <w:rFonts w:asciiTheme="majorBidi" w:hAnsiTheme="majorBidi" w:cstheme="majorBidi"/>
        </w:rPr>
        <w:t xml:space="preserve">, MTV, TLG, and bulk on </w:t>
      </w:r>
      <w:proofErr w:type="spellStart"/>
      <w:r w:rsidRPr="00D21B9E">
        <w:rPr>
          <w:rFonts w:asciiTheme="majorBidi" w:hAnsiTheme="majorBidi" w:cstheme="majorBidi"/>
        </w:rPr>
        <w:t>univariable</w:t>
      </w:r>
      <w:proofErr w:type="spellEnd"/>
      <w:r w:rsidRPr="00D21B9E">
        <w:rPr>
          <w:rFonts w:asciiTheme="majorBidi" w:hAnsiTheme="majorBidi" w:cstheme="majorBidi"/>
        </w:rPr>
        <w:t xml:space="preserve"> Cox regression analysis. In the multivariable analysis, higher </w:t>
      </w:r>
      <w:proofErr w:type="spellStart"/>
      <w:r w:rsidRPr="00D21B9E">
        <w:rPr>
          <w:rFonts w:asciiTheme="majorBidi" w:hAnsiTheme="majorBidi" w:cstheme="majorBidi"/>
        </w:rPr>
        <w:t>aph</w:t>
      </w:r>
      <w:proofErr w:type="spellEnd"/>
      <w:r w:rsidRPr="00D21B9E">
        <w:rPr>
          <w:rFonts w:asciiTheme="majorBidi" w:hAnsiTheme="majorBidi" w:cstheme="majorBidi"/>
        </w:rPr>
        <w:t xml:space="preserve">-PET MTV was significantly associated with shorter PFS (HR 1.11 for 10-unit increase [95% CI 1.05-1.17], </w:t>
      </w:r>
      <w:r w:rsidRPr="00D21B9E">
        <w:rPr>
          <w:rFonts w:asciiTheme="majorBidi" w:hAnsiTheme="majorBidi" w:cstheme="majorBidi"/>
          <w:i/>
        </w:rPr>
        <w:t>P</w:t>
      </w:r>
      <w:r w:rsidRPr="00D21B9E">
        <w:rPr>
          <w:rFonts w:asciiTheme="majorBidi" w:hAnsiTheme="majorBidi" w:cstheme="majorBidi"/>
        </w:rPr>
        <w:t xml:space="preserve">&lt;0.001); higher car-PET MTV (HR 1.04 for 10-unit increase [95% CI 1.02-1.07], </w:t>
      </w:r>
      <w:r w:rsidRPr="00D21B9E">
        <w:rPr>
          <w:rFonts w:asciiTheme="majorBidi" w:hAnsiTheme="majorBidi" w:cstheme="majorBidi"/>
          <w:i/>
        </w:rPr>
        <w:t>P</w:t>
      </w:r>
      <w:r w:rsidRPr="00D21B9E">
        <w:rPr>
          <w:rFonts w:asciiTheme="majorBidi" w:hAnsiTheme="majorBidi" w:cstheme="majorBidi"/>
        </w:rPr>
        <w:t xml:space="preserve">&lt;0.001) and elevated LDH (HR 1.59 [1.05-2.41], </w:t>
      </w:r>
      <w:r w:rsidRPr="00D21B9E">
        <w:rPr>
          <w:rFonts w:asciiTheme="majorBidi" w:hAnsiTheme="majorBidi" w:cstheme="majorBidi"/>
          <w:i/>
        </w:rPr>
        <w:t>P</w:t>
      </w:r>
      <w:r w:rsidRPr="00D21B9E">
        <w:rPr>
          <w:rFonts w:asciiTheme="majorBidi" w:hAnsiTheme="majorBidi" w:cstheme="majorBidi"/>
        </w:rPr>
        <w:t xml:space="preserve">=0.029) also remained significant predictors of PFS. Similarly, shorter OS was associated with higher </w:t>
      </w:r>
      <w:proofErr w:type="spellStart"/>
      <w:r w:rsidRPr="00D21B9E">
        <w:rPr>
          <w:rFonts w:asciiTheme="majorBidi" w:hAnsiTheme="majorBidi" w:cstheme="majorBidi"/>
        </w:rPr>
        <w:t>SUVmax</w:t>
      </w:r>
      <w:proofErr w:type="spellEnd"/>
      <w:r w:rsidRPr="00D21B9E">
        <w:rPr>
          <w:rFonts w:asciiTheme="majorBidi" w:hAnsiTheme="majorBidi" w:cstheme="majorBidi"/>
        </w:rPr>
        <w:t xml:space="preserve">, MTV, TLG, and bulk category at both time points. In a multivariable Cox regression model, </w:t>
      </w:r>
      <w:proofErr w:type="spellStart"/>
      <w:r w:rsidRPr="00D21B9E">
        <w:rPr>
          <w:rFonts w:asciiTheme="majorBidi" w:hAnsiTheme="majorBidi" w:cstheme="majorBidi"/>
        </w:rPr>
        <w:t>aph</w:t>
      </w:r>
      <w:proofErr w:type="spellEnd"/>
      <w:r w:rsidRPr="00D21B9E">
        <w:rPr>
          <w:rFonts w:asciiTheme="majorBidi" w:hAnsiTheme="majorBidi" w:cstheme="majorBidi"/>
        </w:rPr>
        <w:t xml:space="preserve">-PET MTV was associated with shorter OS (HR 1.14 for 100-unit increase [95% CI 1.07-1.21], </w:t>
      </w:r>
      <w:r w:rsidRPr="00D21B9E">
        <w:rPr>
          <w:rFonts w:asciiTheme="majorBidi" w:hAnsiTheme="majorBidi" w:cstheme="majorBidi"/>
          <w:i/>
        </w:rPr>
        <w:t>P</w:t>
      </w:r>
      <w:r w:rsidRPr="00D21B9E">
        <w:rPr>
          <w:rFonts w:asciiTheme="majorBidi" w:hAnsiTheme="majorBidi" w:cstheme="majorBidi"/>
        </w:rPr>
        <w:t xml:space="preserve">&lt;0.001); higher car-PET MTV (HR 1.04 for 100-unit increase [95% CI 1.02-1.06], </w:t>
      </w:r>
      <w:r w:rsidRPr="00D21B9E">
        <w:rPr>
          <w:rFonts w:asciiTheme="majorBidi" w:hAnsiTheme="majorBidi" w:cstheme="majorBidi"/>
          <w:i/>
        </w:rPr>
        <w:t>P</w:t>
      </w:r>
      <w:r w:rsidRPr="00D21B9E">
        <w:rPr>
          <w:rFonts w:asciiTheme="majorBidi" w:hAnsiTheme="majorBidi" w:cstheme="majorBidi"/>
        </w:rPr>
        <w:t>&lt;0.001) and elevated pre-</w:t>
      </w:r>
      <w:proofErr w:type="spellStart"/>
      <w:r w:rsidRPr="00D21B9E">
        <w:rPr>
          <w:rFonts w:asciiTheme="majorBidi" w:hAnsiTheme="majorBidi" w:cstheme="majorBidi"/>
        </w:rPr>
        <w:t>lymphodepletion</w:t>
      </w:r>
      <w:proofErr w:type="spellEnd"/>
      <w:r w:rsidRPr="00D21B9E">
        <w:rPr>
          <w:rFonts w:asciiTheme="majorBidi" w:hAnsiTheme="majorBidi" w:cstheme="majorBidi"/>
        </w:rPr>
        <w:t xml:space="preserve"> LDH (HR 2.65 [95%CI 1.59-4.41], </w:t>
      </w:r>
      <w:r w:rsidRPr="00D21B9E">
        <w:rPr>
          <w:rFonts w:asciiTheme="majorBidi" w:hAnsiTheme="majorBidi" w:cstheme="majorBidi"/>
          <w:i/>
        </w:rPr>
        <w:t>P</w:t>
      </w:r>
      <w:r w:rsidRPr="00D21B9E">
        <w:rPr>
          <w:rFonts w:asciiTheme="majorBidi" w:hAnsiTheme="majorBidi" w:cstheme="majorBidi"/>
        </w:rPr>
        <w:t xml:space="preserve">&lt;0.001) also remained associated with shorter OS. Since MTV was consistently associated with worse outcome, we calculated an optimal threshold (MTV=24 mL) at car-PET to separate patients with favorable and unfavorable PFS. </w:t>
      </w:r>
    </w:p>
    <w:p w:rsidR="00BF026C" w:rsidRPr="00D21B9E" w:rsidRDefault="00023A33" w:rsidP="00BF026C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t xml:space="preserve">Since MTV and LDH were </w:t>
      </w:r>
      <w:r w:rsidR="006961B2" w:rsidRPr="00D21B9E">
        <w:rPr>
          <w:rFonts w:asciiTheme="majorBidi" w:hAnsiTheme="majorBidi" w:cstheme="majorBidi"/>
        </w:rPr>
        <w:t>significant</w:t>
      </w:r>
      <w:r w:rsidRPr="00D21B9E">
        <w:rPr>
          <w:rFonts w:asciiTheme="majorBidi" w:hAnsiTheme="majorBidi" w:cstheme="majorBidi"/>
        </w:rPr>
        <w:t xml:space="preserve"> predictors of PFS</w:t>
      </w:r>
      <w:r w:rsidR="009F7A68" w:rsidRPr="00D21B9E">
        <w:rPr>
          <w:rFonts w:asciiTheme="majorBidi" w:hAnsiTheme="majorBidi" w:cstheme="majorBidi"/>
        </w:rPr>
        <w:t xml:space="preserve"> and OS</w:t>
      </w:r>
      <w:r w:rsidR="006961B2" w:rsidRPr="00D21B9E">
        <w:rPr>
          <w:rFonts w:asciiTheme="majorBidi" w:hAnsiTheme="majorBidi" w:cstheme="majorBidi"/>
        </w:rPr>
        <w:t xml:space="preserve"> on multivariable analysis</w:t>
      </w:r>
      <w:r w:rsidRPr="00D21B9E">
        <w:rPr>
          <w:rFonts w:asciiTheme="majorBidi" w:hAnsiTheme="majorBidi" w:cstheme="majorBidi"/>
        </w:rPr>
        <w:t>,</w:t>
      </w:r>
      <w:r w:rsidR="002966A6" w:rsidRPr="00D21B9E">
        <w:rPr>
          <w:rFonts w:asciiTheme="majorBidi" w:hAnsiTheme="majorBidi" w:cstheme="majorBidi"/>
        </w:rPr>
        <w:t xml:space="preserve"> showing that both had independent prognostic </w:t>
      </w:r>
      <w:r w:rsidR="001E78DA" w:rsidRPr="00D21B9E">
        <w:rPr>
          <w:rFonts w:asciiTheme="majorBidi" w:hAnsiTheme="majorBidi" w:cstheme="majorBidi"/>
        </w:rPr>
        <w:t>relevance</w:t>
      </w:r>
      <w:r w:rsidR="002966A6" w:rsidRPr="00D21B9E">
        <w:rPr>
          <w:rFonts w:asciiTheme="majorBidi" w:hAnsiTheme="majorBidi" w:cstheme="majorBidi"/>
        </w:rPr>
        <w:t>,</w:t>
      </w:r>
      <w:r w:rsidRPr="00D21B9E">
        <w:rPr>
          <w:rFonts w:asciiTheme="majorBidi" w:hAnsiTheme="majorBidi" w:cstheme="majorBidi"/>
        </w:rPr>
        <w:t xml:space="preserve"> we investigated </w:t>
      </w:r>
      <w:r w:rsidR="00FD6F6A" w:rsidRPr="00D21B9E">
        <w:rPr>
          <w:rFonts w:asciiTheme="majorBidi" w:hAnsiTheme="majorBidi" w:cstheme="majorBidi"/>
        </w:rPr>
        <w:t>their combined</w:t>
      </w:r>
      <w:r w:rsidR="001E78DA" w:rsidRPr="00D21B9E">
        <w:rPr>
          <w:rFonts w:asciiTheme="majorBidi" w:hAnsiTheme="majorBidi" w:cstheme="majorBidi"/>
        </w:rPr>
        <w:t xml:space="preserve"> prognostic</w:t>
      </w:r>
      <w:r w:rsidR="00FD6F6A" w:rsidRPr="00D21B9E">
        <w:rPr>
          <w:rFonts w:asciiTheme="majorBidi" w:hAnsiTheme="majorBidi" w:cstheme="majorBidi"/>
        </w:rPr>
        <w:t xml:space="preserve"> value</w:t>
      </w:r>
      <w:r w:rsidRPr="00D21B9E">
        <w:rPr>
          <w:rFonts w:asciiTheme="majorBidi" w:hAnsiTheme="majorBidi" w:cstheme="majorBidi"/>
        </w:rPr>
        <w:t xml:space="preserve">, and observed that the combination of both parameters further separated high and low PFS and OS risk groups, as well as two intermediate risk groups. </w:t>
      </w:r>
      <w:r w:rsidR="00FD6F6A" w:rsidRPr="00D21B9E">
        <w:rPr>
          <w:rFonts w:asciiTheme="majorBidi" w:hAnsiTheme="majorBidi" w:cstheme="majorBidi"/>
        </w:rPr>
        <w:t xml:space="preserve">The threshold for MTV (cutoff of 24 mL) in this </w:t>
      </w:r>
      <w:r w:rsidR="00FD6F6A" w:rsidRPr="00D21B9E">
        <w:rPr>
          <w:rFonts w:asciiTheme="majorBidi" w:hAnsiTheme="majorBidi" w:cstheme="majorBidi"/>
        </w:rPr>
        <w:lastRenderedPageBreak/>
        <w:t xml:space="preserve">combination was chosen statistically, using maximally selected rank statistics, independently from LDH. </w:t>
      </w:r>
      <w:r w:rsidRPr="00D21B9E">
        <w:rPr>
          <w:rFonts w:asciiTheme="majorBidi" w:hAnsiTheme="majorBidi" w:cstheme="majorBidi"/>
        </w:rPr>
        <w:t xml:space="preserve">Both parameters are easily accessible and may therefore prove useful in clinical practice.  </w:t>
      </w:r>
    </w:p>
    <w:p w:rsidR="00BF026C" w:rsidRPr="00D21B9E" w:rsidRDefault="00BF026C" w:rsidP="00BF026C">
      <w:pPr>
        <w:spacing w:afterLines="80" w:after="192" w:line="480" w:lineRule="auto"/>
        <w:rPr>
          <w:rFonts w:asciiTheme="majorBidi" w:hAnsiTheme="majorBidi" w:cstheme="majorBidi"/>
        </w:rPr>
      </w:pPr>
    </w:p>
    <w:p w:rsidR="00BF026C" w:rsidRPr="00D21B9E" w:rsidRDefault="00BF026C" w:rsidP="00BF026C">
      <w:pPr>
        <w:spacing w:afterLines="80" w:after="192" w:line="480" w:lineRule="auto"/>
        <w:rPr>
          <w:rFonts w:asciiTheme="majorBidi" w:hAnsiTheme="majorBidi" w:cstheme="majorBidi"/>
          <w:b/>
        </w:rPr>
      </w:pPr>
      <w:r w:rsidRPr="00D21B9E">
        <w:rPr>
          <w:rFonts w:asciiTheme="majorBidi" w:hAnsiTheme="majorBidi" w:cstheme="majorBidi"/>
          <w:b/>
        </w:rPr>
        <w:t>REFERENCES</w:t>
      </w:r>
    </w:p>
    <w:p w:rsidR="00BF026C" w:rsidRPr="00D21B9E" w:rsidRDefault="00BF026C" w:rsidP="00BF026C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t xml:space="preserve">1. Locke FL, </w:t>
      </w:r>
      <w:proofErr w:type="spellStart"/>
      <w:r w:rsidRPr="00D21B9E">
        <w:rPr>
          <w:rFonts w:asciiTheme="majorBidi" w:hAnsiTheme="majorBidi" w:cstheme="majorBidi"/>
        </w:rPr>
        <w:t>Ghobadi</w:t>
      </w:r>
      <w:proofErr w:type="spellEnd"/>
      <w:r w:rsidRPr="00D21B9E">
        <w:rPr>
          <w:rFonts w:asciiTheme="majorBidi" w:hAnsiTheme="majorBidi" w:cstheme="majorBidi"/>
        </w:rPr>
        <w:t xml:space="preserve"> A, Jacobson CA, Miklos DB, </w:t>
      </w:r>
      <w:proofErr w:type="spellStart"/>
      <w:r w:rsidRPr="00D21B9E">
        <w:rPr>
          <w:rFonts w:asciiTheme="majorBidi" w:hAnsiTheme="majorBidi" w:cstheme="majorBidi"/>
        </w:rPr>
        <w:t>Lekakis</w:t>
      </w:r>
      <w:proofErr w:type="spellEnd"/>
      <w:r w:rsidRPr="00D21B9E">
        <w:rPr>
          <w:rFonts w:asciiTheme="majorBidi" w:hAnsiTheme="majorBidi" w:cstheme="majorBidi"/>
        </w:rPr>
        <w:t xml:space="preserve"> LJ, </w:t>
      </w:r>
      <w:proofErr w:type="spellStart"/>
      <w:r w:rsidRPr="00D21B9E">
        <w:rPr>
          <w:rFonts w:asciiTheme="majorBidi" w:hAnsiTheme="majorBidi" w:cstheme="majorBidi"/>
        </w:rPr>
        <w:t>Oluwole</w:t>
      </w:r>
      <w:proofErr w:type="spellEnd"/>
      <w:r w:rsidRPr="00D21B9E">
        <w:rPr>
          <w:rFonts w:asciiTheme="majorBidi" w:hAnsiTheme="majorBidi" w:cstheme="majorBidi"/>
        </w:rPr>
        <w:t xml:space="preserve"> OO, et al. Long-term safety and activity of </w:t>
      </w:r>
      <w:proofErr w:type="spellStart"/>
      <w:r w:rsidRPr="00D21B9E">
        <w:rPr>
          <w:rFonts w:asciiTheme="majorBidi" w:hAnsiTheme="majorBidi" w:cstheme="majorBidi"/>
        </w:rPr>
        <w:t>axicabtagene</w:t>
      </w:r>
      <w:proofErr w:type="spellEnd"/>
      <w:r w:rsidRPr="00D21B9E">
        <w:rPr>
          <w:rFonts w:asciiTheme="majorBidi" w:hAnsiTheme="majorBidi" w:cstheme="majorBidi"/>
        </w:rPr>
        <w:t xml:space="preserve"> </w:t>
      </w:r>
      <w:proofErr w:type="spellStart"/>
      <w:r w:rsidRPr="00D21B9E">
        <w:rPr>
          <w:rFonts w:asciiTheme="majorBidi" w:hAnsiTheme="majorBidi" w:cstheme="majorBidi"/>
        </w:rPr>
        <w:t>ciloleucel</w:t>
      </w:r>
      <w:proofErr w:type="spellEnd"/>
      <w:r w:rsidRPr="00D21B9E">
        <w:rPr>
          <w:rFonts w:asciiTheme="majorBidi" w:hAnsiTheme="majorBidi" w:cstheme="majorBidi"/>
        </w:rPr>
        <w:t xml:space="preserve"> in refractory large B-cell lymphoma (ZUMA-1): a single-arm, multicenter, phase 1-2 trial. Lancet </w:t>
      </w:r>
      <w:proofErr w:type="spellStart"/>
      <w:r w:rsidRPr="00D21B9E">
        <w:rPr>
          <w:rFonts w:asciiTheme="majorBidi" w:hAnsiTheme="majorBidi" w:cstheme="majorBidi"/>
        </w:rPr>
        <w:t>Oncol</w:t>
      </w:r>
      <w:proofErr w:type="spellEnd"/>
      <w:r w:rsidRPr="00D21B9E">
        <w:rPr>
          <w:rFonts w:asciiTheme="majorBidi" w:hAnsiTheme="majorBidi" w:cstheme="majorBidi"/>
        </w:rPr>
        <w:t>. 2019</w:t>
      </w:r>
      <w:proofErr w:type="gramStart"/>
      <w:r w:rsidRPr="00D21B9E">
        <w:rPr>
          <w:rFonts w:asciiTheme="majorBidi" w:hAnsiTheme="majorBidi" w:cstheme="majorBidi"/>
        </w:rPr>
        <w:t>;20</w:t>
      </w:r>
      <w:proofErr w:type="gramEnd"/>
      <w:r w:rsidRPr="00D21B9E">
        <w:rPr>
          <w:rFonts w:asciiTheme="majorBidi" w:hAnsiTheme="majorBidi" w:cstheme="majorBidi"/>
        </w:rPr>
        <w:t>(1):31-42.</w:t>
      </w:r>
    </w:p>
    <w:p w:rsidR="00BF026C" w:rsidRPr="00D21B9E" w:rsidRDefault="00BF026C" w:rsidP="00BF026C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t xml:space="preserve">2. Jain MD, Zhao H, Wang X, Atkins R, </w:t>
      </w:r>
      <w:proofErr w:type="spellStart"/>
      <w:r w:rsidRPr="00D21B9E">
        <w:rPr>
          <w:rFonts w:asciiTheme="majorBidi" w:hAnsiTheme="majorBidi" w:cstheme="majorBidi"/>
        </w:rPr>
        <w:t>Menges</w:t>
      </w:r>
      <w:proofErr w:type="spellEnd"/>
      <w:r w:rsidRPr="00D21B9E">
        <w:rPr>
          <w:rFonts w:asciiTheme="majorBidi" w:hAnsiTheme="majorBidi" w:cstheme="majorBidi"/>
        </w:rPr>
        <w:t xml:space="preserve"> M, Reid K, et al. Tumor interferon signaling and suppressive myeloid cells are associated with CAR T-cell failure in large B-cell lymphoma. Blood. 2021</w:t>
      </w:r>
      <w:proofErr w:type="gramStart"/>
      <w:r w:rsidRPr="00D21B9E">
        <w:rPr>
          <w:rFonts w:asciiTheme="majorBidi" w:hAnsiTheme="majorBidi" w:cstheme="majorBidi"/>
        </w:rPr>
        <w:t>;137</w:t>
      </w:r>
      <w:proofErr w:type="gramEnd"/>
      <w:r w:rsidRPr="00D21B9E">
        <w:rPr>
          <w:rFonts w:asciiTheme="majorBidi" w:hAnsiTheme="majorBidi" w:cstheme="majorBidi"/>
        </w:rPr>
        <w:t>(19):2621-33.</w:t>
      </w:r>
    </w:p>
    <w:p w:rsidR="00BF026C" w:rsidRPr="00D21B9E" w:rsidRDefault="00BF026C" w:rsidP="00BF026C">
      <w:pPr>
        <w:spacing w:afterLines="80" w:after="192" w:line="480" w:lineRule="auto"/>
        <w:rPr>
          <w:rFonts w:asciiTheme="majorBidi" w:hAnsiTheme="majorBidi" w:cstheme="majorBidi"/>
        </w:rPr>
      </w:pPr>
      <w:r w:rsidRPr="00D21B9E">
        <w:rPr>
          <w:rFonts w:asciiTheme="majorBidi" w:hAnsiTheme="majorBidi" w:cstheme="majorBidi"/>
        </w:rPr>
        <w:t xml:space="preserve">3. </w:t>
      </w:r>
      <w:proofErr w:type="spellStart"/>
      <w:r w:rsidRPr="00D21B9E">
        <w:rPr>
          <w:rFonts w:asciiTheme="majorBidi" w:hAnsiTheme="majorBidi" w:cstheme="majorBidi"/>
        </w:rPr>
        <w:t>Cappell</w:t>
      </w:r>
      <w:proofErr w:type="spellEnd"/>
      <w:r w:rsidRPr="00D21B9E">
        <w:rPr>
          <w:rFonts w:asciiTheme="majorBidi" w:hAnsiTheme="majorBidi" w:cstheme="majorBidi"/>
        </w:rPr>
        <w:t xml:space="preserve"> KM, </w:t>
      </w:r>
      <w:proofErr w:type="spellStart"/>
      <w:r w:rsidRPr="00D21B9E">
        <w:rPr>
          <w:rFonts w:asciiTheme="majorBidi" w:hAnsiTheme="majorBidi" w:cstheme="majorBidi"/>
        </w:rPr>
        <w:t>Kochenderfer</w:t>
      </w:r>
      <w:proofErr w:type="spellEnd"/>
      <w:r w:rsidRPr="00D21B9E">
        <w:rPr>
          <w:rFonts w:asciiTheme="majorBidi" w:hAnsiTheme="majorBidi" w:cstheme="majorBidi"/>
        </w:rPr>
        <w:t xml:space="preserve"> JN. Long-term outcomes following CAR T cell therapy: what we know so far. Nat Rev </w:t>
      </w:r>
      <w:proofErr w:type="spellStart"/>
      <w:r w:rsidRPr="00D21B9E">
        <w:rPr>
          <w:rFonts w:asciiTheme="majorBidi" w:hAnsiTheme="majorBidi" w:cstheme="majorBidi"/>
        </w:rPr>
        <w:t>Clin</w:t>
      </w:r>
      <w:proofErr w:type="spellEnd"/>
      <w:r w:rsidRPr="00D21B9E">
        <w:rPr>
          <w:rFonts w:asciiTheme="majorBidi" w:hAnsiTheme="majorBidi" w:cstheme="majorBidi"/>
        </w:rPr>
        <w:t xml:space="preserve"> </w:t>
      </w:r>
      <w:proofErr w:type="spellStart"/>
      <w:r w:rsidRPr="00D21B9E">
        <w:rPr>
          <w:rFonts w:asciiTheme="majorBidi" w:hAnsiTheme="majorBidi" w:cstheme="majorBidi"/>
        </w:rPr>
        <w:t>Oncol</w:t>
      </w:r>
      <w:proofErr w:type="spellEnd"/>
      <w:r w:rsidRPr="00D21B9E">
        <w:rPr>
          <w:rFonts w:asciiTheme="majorBidi" w:hAnsiTheme="majorBidi" w:cstheme="majorBidi"/>
        </w:rPr>
        <w:t>. 2023</w:t>
      </w:r>
      <w:proofErr w:type="gramStart"/>
      <w:r w:rsidRPr="00D21B9E">
        <w:rPr>
          <w:rFonts w:asciiTheme="majorBidi" w:hAnsiTheme="majorBidi" w:cstheme="majorBidi"/>
        </w:rPr>
        <w:t>;29</w:t>
      </w:r>
      <w:proofErr w:type="gramEnd"/>
      <w:r w:rsidRPr="00D21B9E">
        <w:rPr>
          <w:rFonts w:asciiTheme="majorBidi" w:hAnsiTheme="majorBidi" w:cstheme="majorBidi"/>
        </w:rPr>
        <w:t xml:space="preserve">(6):359-71. </w:t>
      </w:r>
    </w:p>
    <w:p w:rsidR="00BF026C" w:rsidRPr="00D21B9E" w:rsidRDefault="00BF026C">
      <w:bookmarkStart w:id="0" w:name="_GoBack"/>
      <w:bookmarkEnd w:id="0"/>
    </w:p>
    <w:sectPr w:rsidR="00BF026C" w:rsidRPr="00D21B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33"/>
    <w:rsid w:val="00020500"/>
    <w:rsid w:val="00023A33"/>
    <w:rsid w:val="001D3726"/>
    <w:rsid w:val="001E78DA"/>
    <w:rsid w:val="002966A6"/>
    <w:rsid w:val="002C5AF3"/>
    <w:rsid w:val="004C5D8F"/>
    <w:rsid w:val="006961B2"/>
    <w:rsid w:val="006C022F"/>
    <w:rsid w:val="00837C2E"/>
    <w:rsid w:val="009F7A68"/>
    <w:rsid w:val="00A96964"/>
    <w:rsid w:val="00BF026C"/>
    <w:rsid w:val="00C1108F"/>
    <w:rsid w:val="00D21B9E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0118B-1775-4A5F-AD4D-A82BF97C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3A33"/>
    <w:pPr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BF02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026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F026C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02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026C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026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6021</Characters>
  <Application>Microsoft Office Word</Application>
  <DocSecurity>0</DocSecurity>
  <Lines>50</Lines>
  <Paragraphs>13</Paragraphs>
  <ScaleCrop>false</ScaleCrop>
  <Company>Hewlett-Packard Company</Company>
  <LinksUpToDate>false</LinksUpToDate>
  <CharactersWithSpaces>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Leithner</dc:creator>
  <cp:keywords/>
  <dc:description/>
  <cp:lastModifiedBy>Doris Leithner</cp:lastModifiedBy>
  <cp:revision>15</cp:revision>
  <dcterms:created xsi:type="dcterms:W3CDTF">2024-02-07T00:49:00Z</dcterms:created>
  <dcterms:modified xsi:type="dcterms:W3CDTF">2024-04-05T14:49:00Z</dcterms:modified>
</cp:coreProperties>
</file>