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0A4B9" w14:textId="4097FB93" w:rsidR="00734E2D" w:rsidRPr="00F400DD" w:rsidRDefault="00734E2D" w:rsidP="00734E2D">
      <w:pPr>
        <w:pStyle w:val="a3"/>
        <w:rPr>
          <w:color w:val="000000" w:themeColor="text1"/>
        </w:rPr>
      </w:pPr>
      <w:r w:rsidRPr="00F400DD">
        <w:rPr>
          <w:noProof/>
          <w:color w:val="000000" w:themeColor="text1"/>
        </w:rPr>
        <w:drawing>
          <wp:inline distT="0" distB="0" distL="0" distR="0" wp14:anchorId="1B02353A" wp14:editId="2CD348AE">
            <wp:extent cx="5274310" cy="64071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46D71" w14:textId="62D19A37" w:rsidR="00155EC0" w:rsidRPr="00F400DD" w:rsidRDefault="00D5197E" w:rsidP="00155EC0">
      <w:pPr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FigS1. METTL16 has been screened out and identified as the crucial repressor of ferroptosis in HCC.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A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 </w:t>
      </w:r>
      <w:r w:rsidR="00560585" w:rsidRPr="00F400DD">
        <w:rPr>
          <w:rFonts w:ascii="Times New Roman" w:hAnsi="Times New Roman" w:cs="Times New Roman"/>
          <w:color w:val="000000" w:themeColor="text1"/>
          <w:sz w:val="24"/>
        </w:rPr>
        <w:t xml:space="preserve">The endogenous </w:t>
      </w:r>
      <w:r w:rsidR="00560585" w:rsidRPr="00F400DD">
        <w:rPr>
          <w:rFonts w:ascii="Times New Roman" w:hAnsi="Times New Roman" w:cs="Times New Roman" w:hint="eastAsia"/>
          <w:color w:val="000000" w:themeColor="text1"/>
          <w:sz w:val="24"/>
        </w:rPr>
        <w:t>M</w:t>
      </w:r>
      <w:r w:rsidR="00560585" w:rsidRPr="00F400DD">
        <w:rPr>
          <w:rFonts w:ascii="Times New Roman" w:hAnsi="Times New Roman" w:cs="Times New Roman"/>
          <w:color w:val="000000" w:themeColor="text1"/>
          <w:sz w:val="24"/>
        </w:rPr>
        <w:t>ETTL16 expression in various HCC</w:t>
      </w:r>
      <w:r w:rsidR="00560585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560585" w:rsidRPr="00F400DD">
        <w:rPr>
          <w:rFonts w:ascii="Times New Roman" w:hAnsi="Times New Roman" w:cs="Times New Roman"/>
          <w:color w:val="000000" w:themeColor="text1"/>
          <w:sz w:val="24"/>
        </w:rPr>
        <w:t>cell lines</w:t>
      </w:r>
      <w:r w:rsidR="00C76100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D52FB0" w:rsidRPr="00F400DD">
        <w:rPr>
          <w:rFonts w:ascii="Times New Roman" w:hAnsi="Times New Roman" w:cs="Times New Roman"/>
          <w:color w:val="000000" w:themeColor="text1"/>
          <w:sz w:val="24"/>
        </w:rPr>
        <w:t>w</w:t>
      </w:r>
      <w:r w:rsidR="00C76100" w:rsidRPr="00F400DD">
        <w:rPr>
          <w:rFonts w:ascii="Times New Roman" w:hAnsi="Times New Roman" w:cs="Times New Roman" w:hint="eastAsia"/>
          <w:color w:val="000000" w:themeColor="text1"/>
          <w:sz w:val="24"/>
        </w:rPr>
        <w:t>as determined by western blotting</w:t>
      </w:r>
      <w:r w:rsidR="00560585" w:rsidRPr="00F400DD">
        <w:rPr>
          <w:rFonts w:ascii="Times New Roman" w:hAnsi="Times New Roman" w:cs="Times New Roman"/>
          <w:color w:val="000000" w:themeColor="text1"/>
          <w:sz w:val="24"/>
        </w:rPr>
        <w:t>.</w:t>
      </w:r>
      <w:r w:rsidR="00155EC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</w:t>
      </w:r>
      <w:r w:rsidR="00192A87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B</w:t>
      </w:r>
      <w:r w:rsidR="00155EC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 xml:space="preserve"> Cell viabilities of Huh7 and HCCLM3 (RSL3:</w:t>
      </w:r>
      <w:r w:rsidR="00C76100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>0.25μM, Fer-1:</w:t>
      </w:r>
      <w:r w:rsidR="00C76100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>1μM) were measured by the CCK-8 assay. (</w:t>
      </w:r>
      <w:r w:rsidR="00192A87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="00155EC0"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 xml:space="preserve"> Cell viabilities of HCCLM3 (</w:t>
      </w:r>
      <w:proofErr w:type="spellStart"/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>shNC</w:t>
      </w:r>
      <w:proofErr w:type="spellEnd"/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 xml:space="preserve"> V.S. shMETTL16-2) were measured by the CCK-8 assay</w:t>
      </w:r>
      <w:r w:rsidR="002D57C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D57CD" w:rsidRPr="00F400DD">
        <w:rPr>
          <w:rFonts w:ascii="Times New Roman" w:hAnsi="Times New Roman" w:cs="Times New Roman"/>
          <w:color w:val="000000" w:themeColor="text1"/>
          <w:sz w:val="24"/>
        </w:rPr>
        <w:t>(RSL3:</w:t>
      </w:r>
      <w:r w:rsidR="002D57CD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2D57CD" w:rsidRPr="00F400DD">
        <w:rPr>
          <w:rFonts w:ascii="Times New Roman" w:hAnsi="Times New Roman" w:cs="Times New Roman"/>
          <w:color w:val="000000" w:themeColor="text1"/>
          <w:sz w:val="24"/>
        </w:rPr>
        <w:t>0.25μM</w:t>
      </w:r>
      <w:r w:rsidR="002D57CD">
        <w:rPr>
          <w:rFonts w:ascii="Times New Roman" w:hAnsi="Times New Roman" w:cs="Times New Roman"/>
          <w:color w:val="000000" w:themeColor="text1"/>
          <w:sz w:val="24"/>
        </w:rPr>
        <w:t>)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>. (</w:t>
      </w:r>
      <w:r w:rsidR="00192A87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="00155EC0"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 xml:space="preserve"> Intracellular GSH levels, Iron content, and MDA levels of HCCLM3 (</w:t>
      </w:r>
      <w:proofErr w:type="spellStart"/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>shNC</w:t>
      </w:r>
      <w:proofErr w:type="spellEnd"/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 xml:space="preserve"> V.S. shMETTL16-2) were measured by corresponding assay kits</w:t>
      </w:r>
      <w:r w:rsidR="002D57C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D57CD" w:rsidRPr="00F400DD">
        <w:rPr>
          <w:rFonts w:ascii="Times New Roman" w:hAnsi="Times New Roman" w:cs="Times New Roman"/>
          <w:color w:val="000000" w:themeColor="text1"/>
          <w:sz w:val="24"/>
        </w:rPr>
        <w:t>(RSL3:</w:t>
      </w:r>
      <w:r w:rsidR="002D57CD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2D57CD">
        <w:rPr>
          <w:rFonts w:ascii="Times New Roman" w:hAnsi="Times New Roman" w:cs="Times New Roman"/>
          <w:color w:val="000000" w:themeColor="text1"/>
          <w:sz w:val="24"/>
        </w:rPr>
        <w:t xml:space="preserve">2 </w:t>
      </w:r>
      <w:proofErr w:type="spellStart"/>
      <w:r w:rsidR="002D57CD" w:rsidRPr="00F400DD">
        <w:rPr>
          <w:rFonts w:ascii="Times New Roman" w:hAnsi="Times New Roman" w:cs="Times New Roman"/>
          <w:color w:val="000000" w:themeColor="text1"/>
          <w:sz w:val="24"/>
        </w:rPr>
        <w:t>μM</w:t>
      </w:r>
      <w:proofErr w:type="spellEnd"/>
      <w:r w:rsidR="002D57CD">
        <w:rPr>
          <w:rFonts w:ascii="Times New Roman" w:hAnsi="Times New Roman" w:cs="Times New Roman"/>
          <w:color w:val="000000" w:themeColor="text1"/>
          <w:sz w:val="24"/>
        </w:rPr>
        <w:t>)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155EC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="00192A87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E</w:t>
      </w:r>
      <w:r w:rsidR="00155EC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="00155EC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The </w:t>
      </w:r>
      <w:r w:rsidR="00155EC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protein</w:t>
      </w:r>
      <w:r w:rsidR="00155EC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expression </w:t>
      </w:r>
      <w:r w:rsidR="00155EC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of</w:t>
      </w:r>
      <w:r w:rsidR="00155EC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>ferroptosis</w:t>
      </w:r>
      <w:r w:rsidR="002466CB" w:rsidRPr="00F400DD">
        <w:rPr>
          <w:rFonts w:ascii="Times New Roman" w:hAnsi="Times New Roman" w:cs="Times New Roman"/>
          <w:color w:val="000000" w:themeColor="text1"/>
          <w:sz w:val="24"/>
        </w:rPr>
        <w:t>-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 xml:space="preserve">related markers </w:t>
      </w:r>
      <w:r w:rsidR="00167B7D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was</w:t>
      </w:r>
      <w:r w:rsidR="00155EC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detected </w:t>
      </w:r>
      <w:r w:rsidR="00155EC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in</w:t>
      </w:r>
      <w:r w:rsidR="00155EC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155EC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indicated</w:t>
      </w:r>
      <w:r w:rsidR="00155EC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155EC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cells</w:t>
      </w:r>
      <w:r w:rsidR="00ED3B76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with or without ferroptosis induction</w:t>
      </w:r>
      <w:r w:rsidR="00155EC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.</w:t>
      </w:r>
      <w:r w:rsidR="00155EC0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192A87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="00192A87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</w:t>
      </w:r>
      <w:r w:rsidR="00192A87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="00192A87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The </w:t>
      </w:r>
      <w:r w:rsidR="00192A87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m</w:t>
      </w:r>
      <w:r w:rsidR="00192A87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RNA expression </w:t>
      </w:r>
      <w:r w:rsidR="00192A87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levels</w:t>
      </w:r>
      <w:r w:rsidR="00192A87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192A87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of</w:t>
      </w:r>
      <w:r w:rsidR="00192A87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192A87" w:rsidRPr="00F400DD">
        <w:rPr>
          <w:rFonts w:ascii="Times New Roman" w:hAnsi="Times New Roman" w:cs="Times New Roman"/>
          <w:color w:val="000000" w:themeColor="text1"/>
          <w:sz w:val="24"/>
        </w:rPr>
        <w:t xml:space="preserve">ferroptosis-related </w:t>
      </w:r>
      <w:r w:rsidR="00192A87" w:rsidRPr="00F400DD">
        <w:rPr>
          <w:rFonts w:ascii="Times New Roman" w:hAnsi="Times New Roman" w:cs="Times New Roman" w:hint="eastAsia"/>
          <w:color w:val="000000" w:themeColor="text1"/>
          <w:sz w:val="24"/>
        </w:rPr>
        <w:t>gene</w:t>
      </w:r>
      <w:r w:rsidR="00192A87" w:rsidRPr="00F400DD">
        <w:rPr>
          <w:rFonts w:ascii="Times New Roman" w:hAnsi="Times New Roman" w:cs="Times New Roman"/>
          <w:color w:val="000000" w:themeColor="text1"/>
          <w:sz w:val="24"/>
        </w:rPr>
        <w:t xml:space="preserve">s </w:t>
      </w:r>
      <w:r w:rsidR="00192A87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were</w:t>
      </w:r>
      <w:r w:rsidR="00192A87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detected </w:t>
      </w:r>
      <w:r w:rsidR="00192A87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in</w:t>
      </w:r>
      <w:r w:rsidR="00192A87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192A87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indicated</w:t>
      </w:r>
      <w:r w:rsidR="00192A87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192A87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cells with or without ferroptosis induction</w:t>
      </w:r>
      <w:r w:rsidR="00192A87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 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lastRenderedPageBreak/>
        <w:t>Statistical significance was analyzed using two-way ANOVA with Tukey’s test (</w:t>
      </w:r>
      <w:r w:rsidR="00192A87" w:rsidRPr="00F400DD">
        <w:rPr>
          <w:rFonts w:ascii="Times New Roman" w:hAnsi="Times New Roman" w:cs="Times New Roman"/>
          <w:color w:val="000000" w:themeColor="text1"/>
          <w:sz w:val="24"/>
        </w:rPr>
        <w:t>B-D</w:t>
      </w:r>
      <w:r w:rsidR="00155EC0" w:rsidRPr="00F400DD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 xml:space="preserve"> n=3)</w:t>
      </w:r>
      <w:r w:rsidR="00192A87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and</w:t>
      </w:r>
      <w:r w:rsidR="00192A87" w:rsidRPr="00F400DD">
        <w:rPr>
          <w:rFonts w:ascii="Times New Roman" w:hAnsi="Times New Roman" w:cs="Times New Roman"/>
          <w:color w:val="000000" w:themeColor="text1"/>
          <w:sz w:val="24"/>
        </w:rPr>
        <w:t xml:space="preserve"> one-way ANOVA with Tukey’s test (F, n=3</w:t>
      </w:r>
      <w:r w:rsidR="00192A87"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</w:p>
    <w:p w14:paraId="50D65F73" w14:textId="77CDFB8F" w:rsidR="00734E2D" w:rsidRPr="00F400DD" w:rsidRDefault="00734E2D" w:rsidP="00734E2D">
      <w:pPr>
        <w:pStyle w:val="a3"/>
        <w:rPr>
          <w:color w:val="000000" w:themeColor="text1"/>
        </w:rPr>
      </w:pPr>
      <w:r w:rsidRPr="00F400DD">
        <w:rPr>
          <w:noProof/>
          <w:color w:val="000000" w:themeColor="text1"/>
        </w:rPr>
        <w:drawing>
          <wp:inline distT="0" distB="0" distL="0" distR="0" wp14:anchorId="4B7489C6" wp14:editId="2FE4CE60">
            <wp:extent cx="5274310" cy="65062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18239" w14:textId="77777777" w:rsidR="007E579D" w:rsidRPr="00F400DD" w:rsidRDefault="00DC4452" w:rsidP="007E579D">
      <w:pPr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FigS2. METTL16</w:t>
      </w:r>
      <w:r w:rsidR="00155EC0"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might be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="005F70A9"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 xml:space="preserve">a 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ferroptosis suppressor</w:t>
      </w:r>
      <w:r w:rsidR="00155EC0"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="00155EC0"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in</w:t>
      </w:r>
      <w:r w:rsidR="00155EC0"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HCC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.</w:t>
      </w:r>
      <w:r w:rsidR="005841BA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D5197E"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="00155EC0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155EC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192A87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heatmap of relative mRNA fold change of m6A regulatory factors </w:t>
      </w:r>
      <w:r w:rsidR="00192A87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from</w:t>
      </w:r>
      <w:r w:rsidR="00192A87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GSE104462. 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="00155EC0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B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The correlation coefficients between </w:t>
      </w:r>
      <w:r w:rsidR="002466C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F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erroptosis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signature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score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 m6A regulatory factors expression 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from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the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TCGA-LIHC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database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2466CB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shown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by the lollipop chart. The Ferroptosis-correlation ratio was represented below the chart. </w:t>
      </w:r>
      <w:r w:rsidR="00D5197E"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="00155EC0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="00D5197E" w:rsidRPr="00F400DD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The enrichment plots of KEGG_FERROPTOSIS terms were analyzed by GSEA between the low- (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n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=185) and the high-METTL16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groups (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n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=186) 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derived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from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2466C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</w:t>
      </w:r>
      <w:r w:rsidR="00D5197E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TCGA-LIHC 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database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</w:rPr>
        <w:t>.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D5197E"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="00155EC0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="00D5197E" w:rsidRPr="00F400DD">
        <w:rPr>
          <w:rFonts w:ascii="Times New Roman" w:hAnsi="Times New Roman" w:cs="Times New Roman"/>
          <w:color w:val="000000" w:themeColor="text1"/>
          <w:sz w:val="24"/>
        </w:rPr>
        <w:t xml:space="preserve">) Pearson 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</w:rPr>
        <w:t>correlation</w:t>
      </w:r>
      <w:r w:rsidR="00D5197E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</w:rPr>
        <w:t>of</w:t>
      </w:r>
      <w:r w:rsidR="00D5197E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5197E" w:rsidRPr="00F400DD">
        <w:rPr>
          <w:rFonts w:ascii="Times New Roman" w:hAnsi="Times New Roman" w:cs="Times New Roman" w:hint="eastAsia"/>
          <w:color w:val="000000" w:themeColor="text1"/>
          <w:sz w:val="24"/>
        </w:rPr>
        <w:t>M</w:t>
      </w:r>
      <w:r w:rsidR="00D5197E" w:rsidRPr="00F400DD">
        <w:rPr>
          <w:rFonts w:ascii="Times New Roman" w:hAnsi="Times New Roman" w:cs="Times New Roman"/>
          <w:color w:val="000000" w:themeColor="text1"/>
          <w:sz w:val="24"/>
        </w:rPr>
        <w:t xml:space="preserve">ETTL16 expression in cancer cells with compounds AUC from the CTRP database. Ferroptosis inducers (ML210, ML162 and RSL3) were marked and each dot represented a certain anti-tumor compound. </w:t>
      </w:r>
      <w:r w:rsidR="00624643"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="00155EC0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E</w:t>
      </w:r>
      <w:r w:rsidR="00624643"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62464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METTL16 mRNA expression in the GSE262114</w:t>
      </w:r>
      <w:r w:rsidR="00D52FB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 </w:t>
      </w:r>
      <w:r w:rsidR="00624643"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="00155EC0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="00624643"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624643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2464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</w:t>
      </w:r>
      <w:r w:rsidR="00342FF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normalized </w:t>
      </w:r>
      <w:r w:rsidR="0062464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expression </w:t>
      </w:r>
      <w:r w:rsidR="00624643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levels</w:t>
      </w:r>
      <w:r w:rsidR="0062464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624643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of</w:t>
      </w:r>
      <w:r w:rsidR="0062464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624643" w:rsidRPr="00F400DD">
        <w:rPr>
          <w:rFonts w:ascii="Times New Roman" w:hAnsi="Times New Roman" w:cs="Times New Roman"/>
          <w:color w:val="000000" w:themeColor="text1"/>
          <w:sz w:val="24"/>
        </w:rPr>
        <w:t>ferroptosis</w:t>
      </w:r>
      <w:r w:rsidR="002466CB" w:rsidRPr="00F400DD">
        <w:rPr>
          <w:rFonts w:ascii="Times New Roman" w:hAnsi="Times New Roman" w:cs="Times New Roman"/>
          <w:color w:val="000000" w:themeColor="text1"/>
          <w:sz w:val="24"/>
        </w:rPr>
        <w:t>-</w:t>
      </w:r>
      <w:r w:rsidR="00624643" w:rsidRPr="00F400DD">
        <w:rPr>
          <w:rFonts w:ascii="Times New Roman" w:hAnsi="Times New Roman" w:cs="Times New Roman"/>
          <w:color w:val="000000" w:themeColor="text1"/>
          <w:sz w:val="24"/>
        </w:rPr>
        <w:t xml:space="preserve">related markers </w:t>
      </w:r>
      <w:r w:rsidR="00342FFC" w:rsidRPr="00F400DD">
        <w:rPr>
          <w:rFonts w:ascii="Times New Roman" w:hAnsi="Times New Roman" w:cs="Times New Roman"/>
          <w:color w:val="000000" w:themeColor="text1"/>
          <w:sz w:val="24"/>
        </w:rPr>
        <w:t xml:space="preserve">and SENP3 </w:t>
      </w:r>
      <w:r w:rsidR="00624643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were</w:t>
      </w:r>
      <w:r w:rsidR="0062464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342FF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analyzed</w:t>
      </w:r>
      <w:r w:rsidR="0062464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 visualized by heatmap</w:t>
      </w:r>
      <w:r w:rsidR="00342FF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chart ranked by METTL16 expression in the ferroptosis</w:t>
      </w:r>
      <w:r w:rsidR="002466C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-</w:t>
      </w:r>
      <w:r w:rsidR="00342FF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resistant </w:t>
      </w:r>
      <w:r w:rsidR="003371BA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gastric cancer cells</w:t>
      </w:r>
      <w:r w:rsidR="00342FF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7E579D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from</w:t>
      </w:r>
      <w:r w:rsidR="00342FF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GSE262114 (left). </w:t>
      </w:r>
      <w:r w:rsidR="0062464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</w:t>
      </w:r>
      <w:r w:rsidR="00624643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c</w:t>
      </w:r>
      <w:r w:rsidR="0062464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orrelation coefficients </w:t>
      </w:r>
      <w:r w:rsidR="007E579D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were depicted </w:t>
      </w:r>
      <w:r w:rsidR="0062464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by the lollipop chart</w:t>
      </w:r>
      <w:r w:rsidR="00342FF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(right).</w:t>
      </w:r>
      <w:r w:rsidR="007E579D" w:rsidRPr="00F400DD">
        <w:rPr>
          <w:rFonts w:ascii="Times New Roman" w:hAnsi="Times New Roman" w:cs="Times New Roman"/>
          <w:color w:val="000000" w:themeColor="text1"/>
          <w:sz w:val="24"/>
        </w:rPr>
        <w:t xml:space="preserve"> Statistical significance was analyzed using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92A87" w:rsidRPr="00F400DD">
        <w:rPr>
          <w:rFonts w:ascii="Times New Roman" w:hAnsi="Times New Roman" w:cs="Times New Roman"/>
          <w:color w:val="000000" w:themeColor="text1"/>
          <w:sz w:val="24"/>
        </w:rPr>
        <w:t>Pearson correlation analysis (A, B, D and F)</w:t>
      </w:r>
      <w:r w:rsidR="00192A87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7E579D" w:rsidRPr="00F400DD">
        <w:rPr>
          <w:rFonts w:ascii="Times New Roman" w:hAnsi="Times New Roman" w:cs="Times New Roman"/>
          <w:color w:val="000000" w:themeColor="text1"/>
          <w:sz w:val="24"/>
        </w:rPr>
        <w:t>and two-tailed Student’s t test (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>E</w:t>
      </w:r>
      <w:r w:rsidR="007E579D"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7E579D" w:rsidRPr="00F400DD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4041DF4" w14:textId="71D700CB" w:rsidR="00734E2D" w:rsidRPr="00F400DD" w:rsidRDefault="00734E2D" w:rsidP="00734E2D">
      <w:pPr>
        <w:pStyle w:val="a3"/>
        <w:rPr>
          <w:color w:val="000000" w:themeColor="text1"/>
        </w:rPr>
      </w:pPr>
      <w:r w:rsidRPr="00F400DD">
        <w:rPr>
          <w:noProof/>
          <w:color w:val="000000" w:themeColor="text1"/>
        </w:rPr>
        <w:drawing>
          <wp:inline distT="0" distB="0" distL="0" distR="0" wp14:anchorId="5B50561B" wp14:editId="20368BDD">
            <wp:extent cx="4970582" cy="65062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582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4D130" w14:textId="0EB04A8D" w:rsidR="00D5197E" w:rsidRPr="00F400DD" w:rsidRDefault="00D5197E" w:rsidP="00D5197E">
      <w:pPr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FigS</w:t>
      </w:r>
      <w:r w:rsidR="007E579D"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3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. METTL16 deletion facilitates ferroptosis and attenuates hepatic tumorigenesis.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A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 Schematic diagram of Hepa1-6 subcutaneous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xenograft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tumor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model establishment.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B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-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D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 Representative images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 statistical data of weights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 volumes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of xenografts from </w:t>
      </w:r>
      <w:r w:rsidR="002D57CD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Hepa1-6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with or without the treatment of RSL3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(</w:t>
      </w:r>
      <w:r w:rsidRPr="002D57CD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n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=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5 mice per group).</w:t>
      </w:r>
      <w:r w:rsidRPr="00F400DD">
        <w:rPr>
          <w:color w:val="000000" w:themeColor="text1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E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) The relative MDA levels in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xenograft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s.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Pr="00F400DD">
        <w:rPr>
          <w:color w:val="000000" w:themeColor="text1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Mettl16 expression in the indicated mice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livers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.</w:t>
      </w:r>
      <w:r w:rsidRPr="00F400DD">
        <w:rPr>
          <w:color w:val="000000" w:themeColor="text1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G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-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I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 The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representative liver pictures (</w:t>
      </w:r>
      <w:r w:rsidR="00E9066C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G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body/liver weight (</w:t>
      </w:r>
      <w:r w:rsidR="00E9066C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H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),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serum ALT, AST, CHO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,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TG, CHE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and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γ-GT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evels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I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 of 8</w:t>
      </w:r>
      <w:r w:rsidR="002466C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-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week</w:t>
      </w:r>
      <w:r w:rsidR="002466C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-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old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indicated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mice (</w:t>
      </w:r>
      <w:r w:rsidRPr="002D57CD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n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=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9 mice). Scale bar, 1cm.</w:t>
      </w:r>
      <w:r w:rsidRPr="00F400DD">
        <w:rPr>
          <w:color w:val="000000" w:themeColor="text1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J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Schematic diagram of hepatocyte-specific Mettl16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  <w:vertAlign w:val="superscript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knockout mice constructed using AAV8-TBG-Cre virus.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K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 Representative images of livers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(</w:t>
      </w:r>
      <w:r w:rsidRPr="002D57CD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n</w:t>
      </w:r>
      <w:r w:rsidR="002D57CD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=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9 mice per group) from the murine MYC/Trp53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  <w:vertAlign w:val="superscript"/>
        </w:rPr>
        <w:t>-/-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HCC model. Scale bar, 1cm.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 T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he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iver weight (Mann-Whitney test),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iver weight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/body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weight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ratio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(Mann-Whitney test)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,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tumor number per liver (Mann-Whitney test) and max tumor diameter in the indicated mice.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M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color w:val="000000" w:themeColor="text1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AST and ALT </w:t>
      </w:r>
      <w:r w:rsidR="002D57CD">
        <w:rPr>
          <w:rFonts w:ascii="Times New Roman" w:hAnsi="Times New Roman" w:cs="Times New Roman"/>
          <w:color w:val="000000" w:themeColor="text1"/>
          <w:sz w:val="24"/>
        </w:rPr>
        <w:t xml:space="preserve">levels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in mice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serum.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N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 The MDA concentration in mice livers. Statistical significance was analyzed using one-way ANOVA with Tukey’s test (C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and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E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, two-way ANOVA with Tukey’s test (D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) and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two-tailed Student’s t test (</w:t>
      </w:r>
      <w:r w:rsidR="00D52FB0" w:rsidRPr="00F400DD">
        <w:rPr>
          <w:rFonts w:ascii="Times New Roman" w:hAnsi="Times New Roman" w:cs="Times New Roman"/>
          <w:color w:val="000000" w:themeColor="text1"/>
          <w:sz w:val="24"/>
        </w:rPr>
        <w:t>H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,</w:t>
      </w:r>
      <w:r w:rsidR="002466CB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I,</w:t>
      </w:r>
      <w:r w:rsidR="002466CB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L,</w:t>
      </w:r>
      <w:r w:rsidR="002466CB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M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N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0136442" w14:textId="7C0DBC6B" w:rsidR="00734E2D" w:rsidRPr="00F400DD" w:rsidRDefault="00734E2D" w:rsidP="00734E2D">
      <w:pPr>
        <w:pStyle w:val="a3"/>
        <w:rPr>
          <w:color w:val="000000" w:themeColor="text1"/>
        </w:rPr>
      </w:pPr>
      <w:r w:rsidRPr="00F400DD">
        <w:rPr>
          <w:noProof/>
          <w:color w:val="000000" w:themeColor="text1"/>
        </w:rPr>
        <w:drawing>
          <wp:inline distT="0" distB="0" distL="0" distR="0" wp14:anchorId="7C2B9C2D" wp14:editId="56B86BD5">
            <wp:extent cx="5274310" cy="60782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B01C2" w14:textId="77777777" w:rsidR="00D5197E" w:rsidRPr="00F400DD" w:rsidRDefault="00D5197E" w:rsidP="00D5197E">
      <w:pPr>
        <w:rPr>
          <w:rFonts w:ascii="Times New Roman" w:hAnsi="Times New Roman" w:cs="Times New Roman"/>
          <w:color w:val="000000" w:themeColor="text1"/>
          <w:sz w:val="24"/>
        </w:rPr>
      </w:pP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FigS</w:t>
      </w:r>
      <w:r w:rsidR="00E9066C"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4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.</w:t>
      </w:r>
      <w:r w:rsidRPr="00F400DD">
        <w:rPr>
          <w:color w:val="000000" w:themeColor="text1"/>
        </w:rPr>
        <w:t xml:space="preserve"> 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METTL16 expression correlates with SENP3 levels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32"/>
          <w:szCs w:val="40"/>
        </w:rPr>
        <w:t xml:space="preserve">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i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n HCC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.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A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 T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he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UMAP plot showing the distribution of different cell</w:t>
      </w:r>
      <w:r w:rsidR="002466C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types in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the single</w:t>
      </w:r>
      <w:r w:rsidR="002466C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-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cell RNA sequencing dataset (GSE181515), colored by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cell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types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.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B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Pr="00F400DD">
        <w:rPr>
          <w:color w:val="000000" w:themeColor="text1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The</w:t>
      </w:r>
      <w:r w:rsidRPr="00F400DD">
        <w:rPr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a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verage expression and the percentage of cells expressing M</w:t>
      </w:r>
      <w:r w:rsidR="00EB261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ettl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16 and S</w:t>
      </w:r>
      <w:r w:rsidR="00EB261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enp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3 in different cell types were visualized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by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D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ot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plot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(left) and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the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expression of 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M</w:t>
      </w:r>
      <w:r w:rsidR="00EB261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ettl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16 and S</w:t>
      </w:r>
      <w:r w:rsidR="00EB261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enp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3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 low-dimensional space of different cell</w:t>
      </w:r>
      <w:r w:rsidR="002466C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types were visualized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by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Dimensional reduction plot (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right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,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colored by gene expression. The region of HCC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was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delineated by black dashed lines.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-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The METTL16 and SENP3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expression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 the indicated cells.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E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 T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he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differential genes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(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|Lo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g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2(FC)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|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≥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1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.5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and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FDR &lt;0.05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in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M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eRIP-seq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of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GSE182607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were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shown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by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2466C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volcano diagram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,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where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SENP3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was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specifically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marked.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-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H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The METTL16 and SENP3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expression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 the indicated cells.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I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C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orrelation between the expression levels of METTL16 and SENP3 in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GSE104462.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Statistical significance was analyzed using </w:t>
      </w:r>
      <w:r w:rsidR="00CD158C" w:rsidRPr="00F400DD">
        <w:rPr>
          <w:rFonts w:ascii="Times New Roman" w:hAnsi="Times New Roman" w:cs="Times New Roman"/>
          <w:color w:val="000000" w:themeColor="text1"/>
          <w:sz w:val="24"/>
        </w:rPr>
        <w:t>two-tailed Student’s t test (C, n=3)</w:t>
      </w:r>
      <w:r w:rsidR="00CD158C" w:rsidRPr="00F400DD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 w:rsidR="00CD158C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one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-way ANOVA with Tukey’s test (C,</w:t>
      </w:r>
      <w:r w:rsidR="002466CB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G</w:t>
      </w:r>
      <w:r w:rsidR="002466CB" w:rsidRPr="00F400DD">
        <w:rPr>
          <w:rFonts w:ascii="Times New Roman" w:hAnsi="Times New Roman" w:cs="Times New Roman"/>
          <w:color w:val="000000" w:themeColor="text1"/>
          <w:sz w:val="24"/>
        </w:rPr>
        <w:t>,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a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nd H, n=3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) and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Pearson correlation analysis (I).</w:t>
      </w:r>
    </w:p>
    <w:p w14:paraId="551F2B6B" w14:textId="7657BB05" w:rsidR="00D5197E" w:rsidRPr="00F400DD" w:rsidRDefault="00734E2D" w:rsidP="00734E2D">
      <w:pPr>
        <w:pStyle w:val="a3"/>
        <w:rPr>
          <w:color w:val="000000" w:themeColor="text1"/>
        </w:rPr>
      </w:pPr>
      <w:r w:rsidRPr="00F400DD">
        <w:rPr>
          <w:noProof/>
          <w:color w:val="000000" w:themeColor="text1"/>
        </w:rPr>
        <w:drawing>
          <wp:inline distT="0" distB="0" distL="0" distR="0" wp14:anchorId="4DE95F25" wp14:editId="25043CD0">
            <wp:extent cx="5274310" cy="477520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18DB3" w14:textId="77777777" w:rsidR="00D5197E" w:rsidRPr="00F400DD" w:rsidRDefault="00D5197E" w:rsidP="00D5197E">
      <w:pPr>
        <w:rPr>
          <w:rFonts w:ascii="Times New Roman" w:hAnsi="Times New Roman" w:cs="Times New Roman"/>
          <w:color w:val="000000" w:themeColor="text1"/>
          <w:sz w:val="24"/>
        </w:rPr>
      </w:pP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FigS</w:t>
      </w:r>
      <w:r w:rsidR="00E9066C"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5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.</w:t>
      </w:r>
      <w:r w:rsidRPr="00F400DD">
        <w:rPr>
          <w:color w:val="000000" w:themeColor="text1"/>
        </w:rPr>
        <w:t xml:space="preserve"> 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METTL16/IGF2BP2/SENP3 axis facilitates the </w:t>
      </w:r>
      <w:r w:rsidR="00192A87"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mRNA stability </w:t>
      </w:r>
      <w:r w:rsidR="00BD4337"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of SENP3 in an m6A</w:t>
      </w:r>
      <w:r w:rsidR="00BD4337"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-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dependent manner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.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The </w:t>
      </w:r>
      <w:r w:rsidR="00A25221" w:rsidRPr="00F400DD">
        <w:rPr>
          <w:rFonts w:ascii="Times New Roman" w:hAnsi="Times New Roman" w:cs="Times New Roman"/>
          <w:color w:val="000000" w:themeColor="text1"/>
          <w:sz w:val="24"/>
        </w:rPr>
        <w:t>immunoprecipitated</w:t>
      </w:r>
      <w:r w:rsidR="00A25221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M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ETTL16</w:t>
      </w:r>
      <w:r w:rsidR="00A25221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protein detection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from </w:t>
      </w:r>
      <w:r w:rsidR="002466CB" w:rsidRPr="00F400DD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control or METTL16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overexpression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cell</w:t>
      </w:r>
      <w:r w:rsidR="00E012D2" w:rsidRPr="00F400DD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="00A25221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in RIP assays</w:t>
      </w:r>
      <w:r w:rsidR="002F253B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with METTL16 antibod</w:t>
      </w:r>
      <w:r w:rsidR="001449B7" w:rsidRPr="00F400DD">
        <w:rPr>
          <w:rFonts w:ascii="Times New Roman" w:hAnsi="Times New Roman" w:cs="Times New Roman" w:hint="eastAsia"/>
          <w:color w:val="000000" w:themeColor="text1"/>
          <w:sz w:val="24"/>
        </w:rPr>
        <w:t>y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.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decay rate of SENP3 mRNA upon </w:t>
      </w:r>
      <w:proofErr w:type="spellStart"/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ActD</w:t>
      </w:r>
      <w:proofErr w:type="spellEnd"/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(5μg/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mL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 treatment at the indicated time points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in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HCCLM3.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The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m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RNA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expression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levels of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7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m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RNA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stability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-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related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readers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in the indicated cells.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The METTL16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level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was detected after multiply silencing different m6A readers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in the indicated cells.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E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 </w:t>
      </w:r>
      <w:r w:rsidR="00DB4041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</w:t>
      </w:r>
      <w:r w:rsidR="00DB4041" w:rsidRPr="00F400DD">
        <w:rPr>
          <w:rFonts w:ascii="Times New Roman" w:hAnsi="Times New Roman" w:cs="Times New Roman"/>
          <w:color w:val="000000" w:themeColor="text1"/>
          <w:sz w:val="24"/>
        </w:rPr>
        <w:t>immunoprecipitated</w:t>
      </w:r>
      <w:r w:rsidR="00DB4041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1449B7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IGF2BP2</w:t>
      </w:r>
      <w:r w:rsidR="00DB4041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protein detection </w:t>
      </w:r>
      <w:r w:rsidR="00DB4041" w:rsidRPr="00F400DD">
        <w:rPr>
          <w:rFonts w:ascii="Times New Roman" w:hAnsi="Times New Roman" w:cs="Times New Roman"/>
          <w:color w:val="000000" w:themeColor="text1"/>
          <w:sz w:val="24"/>
        </w:rPr>
        <w:t xml:space="preserve">from the control or METTL16 </w:t>
      </w:r>
      <w:r w:rsidR="00DB4041" w:rsidRPr="00F400DD">
        <w:rPr>
          <w:rFonts w:ascii="Times New Roman" w:hAnsi="Times New Roman" w:cs="Times New Roman" w:hint="eastAsia"/>
          <w:color w:val="000000" w:themeColor="text1"/>
          <w:sz w:val="24"/>
        </w:rPr>
        <w:t>overexpression</w:t>
      </w:r>
      <w:r w:rsidR="00DB4041" w:rsidRPr="00F400DD">
        <w:rPr>
          <w:rFonts w:ascii="Times New Roman" w:hAnsi="Times New Roman" w:cs="Times New Roman"/>
          <w:color w:val="000000" w:themeColor="text1"/>
          <w:sz w:val="24"/>
        </w:rPr>
        <w:t xml:space="preserve"> cell</w:t>
      </w:r>
      <w:r w:rsidR="00DB4041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s in RIP assays with </w:t>
      </w:r>
      <w:r w:rsidR="001449B7" w:rsidRPr="00F400DD">
        <w:rPr>
          <w:rFonts w:ascii="Times New Roman" w:hAnsi="Times New Roman" w:cs="Times New Roman" w:hint="eastAsia"/>
          <w:color w:val="000000" w:themeColor="text1"/>
          <w:sz w:val="24"/>
        </w:rPr>
        <w:t>IGF2BP2</w:t>
      </w:r>
      <w:r w:rsidR="00DB4041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antibod</w:t>
      </w:r>
      <w:r w:rsidR="001449B7" w:rsidRPr="00F400DD">
        <w:rPr>
          <w:rFonts w:ascii="Times New Roman" w:hAnsi="Times New Roman" w:cs="Times New Roman" w:hint="eastAsia"/>
          <w:color w:val="000000" w:themeColor="text1"/>
          <w:sz w:val="24"/>
        </w:rPr>
        <w:t>y</w:t>
      </w:r>
      <w:r w:rsidR="00DB4041" w:rsidRPr="00F400DD">
        <w:rPr>
          <w:rFonts w:ascii="Times New Roman" w:hAnsi="Times New Roman" w:cs="Times New Roman"/>
          <w:color w:val="000000" w:themeColor="text1"/>
          <w:sz w:val="24"/>
        </w:rPr>
        <w:t>.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 The decay rate of SENP3 mRNA upon </w:t>
      </w:r>
      <w:proofErr w:type="spellStart"/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ActD</w:t>
      </w:r>
      <w:proofErr w:type="spellEnd"/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treatment at the indicated time points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in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Hep3B.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Statistical significance was analyzed using </w:t>
      </w:r>
      <w:r w:rsidR="00CD158C" w:rsidRPr="00F400DD">
        <w:rPr>
          <w:rFonts w:ascii="Times New Roman" w:hAnsi="Times New Roman" w:cs="Times New Roman"/>
          <w:color w:val="000000" w:themeColor="text1"/>
          <w:sz w:val="24"/>
        </w:rPr>
        <w:t>two-tailed Student’s t test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C and D, n=3).</w:t>
      </w:r>
    </w:p>
    <w:p w14:paraId="2D35E019" w14:textId="6C668043" w:rsidR="00D5197E" w:rsidRPr="00F400DD" w:rsidRDefault="00734E2D" w:rsidP="00734E2D">
      <w:pPr>
        <w:pStyle w:val="a3"/>
        <w:rPr>
          <w:color w:val="000000" w:themeColor="text1"/>
        </w:rPr>
      </w:pPr>
      <w:r w:rsidRPr="00F400DD">
        <w:rPr>
          <w:noProof/>
          <w:color w:val="000000" w:themeColor="text1"/>
        </w:rPr>
        <w:drawing>
          <wp:inline distT="0" distB="0" distL="0" distR="0" wp14:anchorId="12AC16AB" wp14:editId="7785A92A">
            <wp:extent cx="5274310" cy="4968240"/>
            <wp:effectExtent l="0" t="0" r="254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2F148" w14:textId="5C8E5675" w:rsidR="00D5197E" w:rsidRPr="00F400DD" w:rsidRDefault="00D5197E" w:rsidP="00D5197E">
      <w:pPr>
        <w:rPr>
          <w:rFonts w:ascii="Times New Roman" w:hAnsi="Times New Roman" w:cs="Times New Roman"/>
          <w:color w:val="000000" w:themeColor="text1"/>
          <w:sz w:val="24"/>
        </w:rPr>
      </w:pP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FigS</w:t>
      </w:r>
      <w:r w:rsidR="00E9066C"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6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. METTL16 exerts its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anti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-ferropto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tic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effect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="003F20B4"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through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SENP3.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A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Intracellular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lipid peroxidation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content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of HepG2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(RSL3:</w:t>
      </w:r>
      <w:r w:rsidR="00834223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2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M</w:t>
      </w:r>
      <w:proofErr w:type="spellEnd"/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was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analyzed by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fluorescence microscope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with C11-BODIPY staining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) Intracellular ROS content of HepG2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(RSL3:</w:t>
      </w:r>
      <w:r w:rsidR="00834223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2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M</w:t>
      </w:r>
      <w:proofErr w:type="spellEnd"/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was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o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bserved using ROS Assay Kit by fluorescence microscope.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 xml:space="preserve"> Intracellular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lipid peroxidation</w:t>
      </w:r>
      <w:r w:rsidR="00CD158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CD158C"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="00CD158C" w:rsidRPr="00F400DD">
        <w:rPr>
          <w:rFonts w:ascii="Times New Roman" w:hAnsi="Times New Roman" w:cs="Times New Roman" w:hint="eastAsia"/>
          <w:color w:val="000000" w:themeColor="text1"/>
          <w:sz w:val="24"/>
        </w:rPr>
        <w:t>right</w:t>
      </w:r>
      <w:r w:rsidR="00CD158C"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 xml:space="preserve">and ROS content </w:t>
      </w:r>
      <w:r w:rsidR="00CD158C" w:rsidRPr="00F400DD">
        <w:rPr>
          <w:rFonts w:ascii="Times New Roman" w:hAnsi="Times New Roman" w:cs="Times New Roman"/>
          <w:color w:val="000000" w:themeColor="text1"/>
          <w:sz w:val="24"/>
        </w:rPr>
        <w:t>(left</w:t>
      </w:r>
      <w:r w:rsidR="00CD158C"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CD158C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</w:rPr>
        <w:t>of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 xml:space="preserve"> HepG2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were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 xml:space="preserve"> quantified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(RSL3:</w:t>
      </w:r>
      <w:r w:rsidR="00834223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2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M</w:t>
      </w:r>
      <w:proofErr w:type="spellEnd"/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="00E9066C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D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>Intracellular GSH levels, Iron content, and MDA levels of HepG2</w:t>
      </w:r>
      <w:r w:rsidR="00834223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cells</w:t>
      </w:r>
      <w:r w:rsidR="00EB2610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(RSL3:</w:t>
      </w:r>
      <w:r w:rsidR="00EB261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2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</w:t>
      </w:r>
      <w:r w:rsidR="00EB261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M</w:t>
      </w:r>
      <w:proofErr w:type="spellEnd"/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(</w:t>
      </w:r>
      <w:r w:rsidR="00E9066C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E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Representative images and statistical data of weights and volumes of xenografts </w:t>
      </w:r>
      <w:r w:rsidR="006C15E4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derived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from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 xml:space="preserve">HCCLM3 </w:t>
      </w:r>
      <w:r w:rsidR="006C15E4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cells 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(</w:t>
      </w:r>
      <w:r w:rsidR="00E9066C" w:rsidRPr="002D57CD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n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=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6 mice per group).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="00155EC0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>) The relative MDA levels in H</w:t>
      </w:r>
      <w:r w:rsidR="00155EC0" w:rsidRPr="00F400DD">
        <w:rPr>
          <w:rFonts w:ascii="Times New Roman" w:hAnsi="Times New Roman" w:cs="Times New Roman" w:hint="eastAsia"/>
          <w:color w:val="000000" w:themeColor="text1"/>
          <w:sz w:val="24"/>
        </w:rPr>
        <w:t>ep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 xml:space="preserve">3B </w:t>
      </w:r>
      <w:r w:rsidR="00155EC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xenograft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>s</w:t>
      </w:r>
      <w:r w:rsidR="00155EC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were measured</w:t>
      </w:r>
      <w:r w:rsidR="00155EC0" w:rsidRPr="00F400DD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="00E9066C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G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 xml:space="preserve">) The relative MDA levels in HCCLM3 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xenograft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>s</w:t>
      </w:r>
      <w:r w:rsidR="00E9066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were measured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Statistical significance was analyzed using one-way ANOVA with Tukey’s test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CD158C" w:rsidRPr="00F400DD">
        <w:rPr>
          <w:rFonts w:ascii="Times New Roman" w:hAnsi="Times New Roman" w:cs="Times New Roman"/>
          <w:color w:val="000000" w:themeColor="text1"/>
          <w:sz w:val="24"/>
        </w:rPr>
        <w:t>C (n=3)</w:t>
      </w:r>
      <w:r w:rsidR="00CD158C" w:rsidRPr="00F400DD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 w:rsidR="00CD158C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>D (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n=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>3), E (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</w:rPr>
        <w:t>n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>=</w:t>
      </w:r>
      <w:r w:rsidR="003F5545" w:rsidRPr="00F400DD">
        <w:rPr>
          <w:rFonts w:ascii="Times New Roman" w:hAnsi="Times New Roman" w:cs="Times New Roman"/>
          <w:color w:val="000000" w:themeColor="text1"/>
          <w:sz w:val="24"/>
        </w:rPr>
        <w:t>6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>), F (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</w:rPr>
        <w:t>n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>=</w:t>
      </w:r>
      <w:r w:rsidR="003F5545" w:rsidRPr="00F400DD">
        <w:rPr>
          <w:rFonts w:ascii="Times New Roman" w:hAnsi="Times New Roman" w:cs="Times New Roman"/>
          <w:color w:val="000000" w:themeColor="text1"/>
          <w:sz w:val="24"/>
        </w:rPr>
        <w:t>5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>) and G (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</w:rPr>
        <w:t>n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>=6)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 xml:space="preserve"> two-way ANOVA with Tukey’s test (</w:t>
      </w:r>
      <w:r w:rsidR="003F5545" w:rsidRPr="00F400DD">
        <w:rPr>
          <w:rFonts w:ascii="Times New Roman" w:hAnsi="Times New Roman" w:cs="Times New Roman"/>
          <w:color w:val="000000" w:themeColor="text1"/>
          <w:sz w:val="24"/>
        </w:rPr>
        <w:t>E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</w:rPr>
        <w:t>n</w:t>
      </w:r>
      <w:r w:rsidR="00E9066C" w:rsidRPr="00F400DD">
        <w:rPr>
          <w:rFonts w:ascii="Times New Roman" w:hAnsi="Times New Roman" w:cs="Times New Roman"/>
          <w:color w:val="000000" w:themeColor="text1"/>
          <w:sz w:val="24"/>
        </w:rPr>
        <w:t>=6</w:t>
      </w:r>
      <w:r w:rsidR="00E9066C"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4B4F1499" w14:textId="601C4582" w:rsidR="008C0F83" w:rsidRPr="00F400DD" w:rsidRDefault="00734E2D" w:rsidP="00734E2D">
      <w:pPr>
        <w:pStyle w:val="a3"/>
        <w:rPr>
          <w:color w:val="000000" w:themeColor="text1"/>
        </w:rPr>
      </w:pPr>
      <w:r w:rsidRPr="00F400DD">
        <w:rPr>
          <w:noProof/>
          <w:color w:val="000000" w:themeColor="text1"/>
        </w:rPr>
        <w:drawing>
          <wp:inline distT="0" distB="0" distL="0" distR="0" wp14:anchorId="3B7C2EB2" wp14:editId="25AADB2A">
            <wp:extent cx="5274310" cy="600519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0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60953" w14:textId="77777777" w:rsidR="00B72090" w:rsidRPr="00F400DD" w:rsidRDefault="00B72090" w:rsidP="00B72090">
      <w:pPr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FigS7. SENP3 de-SUMOylates Lactotransferrin (LTF)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and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blocks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its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proteasome-dependent degradation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.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A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 The LTF peptides identified through mass spectrometry are shown.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192A87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The LTF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expression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was detected under MG132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(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10μM)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or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L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eup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eptin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(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100μM)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treatment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="00192A87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="00192A87" w:rsidRPr="00F400DD">
        <w:rPr>
          <w:rFonts w:ascii="Times New Roman" w:hAnsi="Times New Roman" w:cs="Times New Roman"/>
          <w:color w:val="000000" w:themeColor="text1"/>
          <w:sz w:val="24"/>
        </w:rPr>
        <w:t>-</w:t>
      </w:r>
      <w:r w:rsidR="00192A87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The LTF expression was detected and quantified under CHX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(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10μg/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mL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treatment.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192A87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E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Schematic representation of the potential SUMOylation sites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on the acid amino sequence of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LTF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. (</w:t>
      </w:r>
      <w:r w:rsidR="00192A87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The ubiquitination of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GFP-LTF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was determined using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GFP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-beads and western blotting using antibody against HA. Statistical significance was analyzed using two-way ANOVA with Tukey’s test (D,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n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=3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5308387" w14:textId="36C6D497" w:rsidR="00D5197E" w:rsidRPr="00F400DD" w:rsidRDefault="00734E2D" w:rsidP="00734E2D">
      <w:pPr>
        <w:pStyle w:val="a3"/>
        <w:rPr>
          <w:color w:val="000000" w:themeColor="text1"/>
        </w:rPr>
      </w:pPr>
      <w:r w:rsidRPr="00F400DD">
        <w:rPr>
          <w:noProof/>
          <w:color w:val="000000" w:themeColor="text1"/>
        </w:rPr>
        <w:drawing>
          <wp:inline distT="0" distB="0" distL="0" distR="0" wp14:anchorId="27B9B65E" wp14:editId="12E0CD8C">
            <wp:extent cx="5274310" cy="6702425"/>
            <wp:effectExtent l="0" t="0" r="254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0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2ABBC" w14:textId="33A968A9" w:rsidR="00D5197E" w:rsidRPr="00F400DD" w:rsidRDefault="00D5197E" w:rsidP="00D5197E">
      <w:pPr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FigS</w:t>
      </w:r>
      <w:r w:rsidR="00E95E9F"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8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. METTL16/SENP3 </w:t>
      </w:r>
      <w:r w:rsidR="009D2E7A"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 xml:space="preserve">axis 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inhibits ferroptosis via regulating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the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iron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-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chelation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function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of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LTF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.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A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</w:t>
      </w:r>
      <w:r w:rsidR="004B482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4B482C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B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Intracellular ROS content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above)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Fe</w:t>
      </w:r>
      <w:r w:rsidRPr="00F400DD">
        <w:rPr>
          <w:rFonts w:ascii="Times New Roman" w:hAnsi="Times New Roman" w:cs="Times New Roman"/>
          <w:color w:val="000000" w:themeColor="text1"/>
          <w:sz w:val="24"/>
          <w:vertAlign w:val="superscript"/>
        </w:rPr>
        <w:t>2+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level (below) of PLC/PRF/5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(FAC:</w:t>
      </w:r>
      <w:r w:rsidR="00AB70E7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A158D4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1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00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8F704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</w:t>
      </w:r>
      <w:r w:rsidR="00A158D4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g</w:t>
      </w:r>
      <w:proofErr w:type="spellEnd"/>
      <w:r w:rsidR="00A158D4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/</w:t>
      </w:r>
      <w:r w:rsidR="008F704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m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, DFO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:</w:t>
      </w:r>
      <w:r w:rsidR="001E1EEC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100μ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M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were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o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bserved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u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sing ROS Assay Kit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FerroOrange probe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by fluorescence microscope and quantified by flow cytometry.</w:t>
      </w:r>
      <w:r w:rsidR="004B482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</w:t>
      </w:r>
      <w:r w:rsidR="004B482C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C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 </w:t>
      </w:r>
      <w:r w:rsidR="004B482C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D</w:t>
      </w:r>
      <w:r w:rsidR="004B482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="004B482C" w:rsidRPr="00F400DD">
        <w:rPr>
          <w:rFonts w:ascii="Times New Roman" w:hAnsi="Times New Roman" w:cs="Times New Roman"/>
          <w:color w:val="000000" w:themeColor="text1"/>
          <w:sz w:val="24"/>
        </w:rPr>
        <w:t xml:space="preserve"> Intracellular ROS content </w:t>
      </w:r>
      <w:r w:rsidR="004B482C" w:rsidRPr="00F400D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4B482C" w:rsidRPr="00F400DD">
        <w:rPr>
          <w:rFonts w:ascii="Times New Roman" w:hAnsi="Times New Roman" w:cs="Times New Roman"/>
          <w:color w:val="000000" w:themeColor="text1"/>
          <w:sz w:val="24"/>
        </w:rPr>
        <w:t xml:space="preserve">above) </w:t>
      </w:r>
      <w:r w:rsidR="004B482C" w:rsidRPr="00F400DD"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 w:rsidR="004B482C" w:rsidRPr="00F400DD">
        <w:rPr>
          <w:rFonts w:ascii="Times New Roman" w:hAnsi="Times New Roman" w:cs="Times New Roman"/>
          <w:color w:val="000000" w:themeColor="text1"/>
          <w:sz w:val="24"/>
        </w:rPr>
        <w:t xml:space="preserve"> Fe</w:t>
      </w:r>
      <w:r w:rsidR="004B482C" w:rsidRPr="00F400DD">
        <w:rPr>
          <w:rFonts w:ascii="Times New Roman" w:hAnsi="Times New Roman" w:cs="Times New Roman"/>
          <w:color w:val="000000" w:themeColor="text1"/>
          <w:sz w:val="24"/>
          <w:vertAlign w:val="superscript"/>
        </w:rPr>
        <w:t>2+</w:t>
      </w:r>
      <w:r w:rsidR="004B482C" w:rsidRPr="00F400DD">
        <w:rPr>
          <w:rFonts w:ascii="Times New Roman" w:hAnsi="Times New Roman" w:cs="Times New Roman"/>
          <w:color w:val="000000" w:themeColor="text1"/>
          <w:sz w:val="24"/>
        </w:rPr>
        <w:t xml:space="preserve"> level (below) of PLC/PRF/5 </w:t>
      </w:r>
      <w:r w:rsidR="004B482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(FAC:</w:t>
      </w:r>
      <w:r w:rsidR="004B482C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4B482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100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4B482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μg</w:t>
      </w:r>
      <w:proofErr w:type="spellEnd"/>
      <w:r w:rsidR="004B482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/mL)</w:t>
      </w:r>
      <w:r w:rsidR="004B482C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were</w:t>
      </w:r>
      <w:r w:rsidR="004B482C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B482C" w:rsidRPr="00F400DD">
        <w:rPr>
          <w:rFonts w:ascii="Times New Roman" w:hAnsi="Times New Roman" w:cs="Times New Roman" w:hint="eastAsia"/>
          <w:color w:val="000000" w:themeColor="text1"/>
          <w:sz w:val="24"/>
        </w:rPr>
        <w:t>o</w:t>
      </w:r>
      <w:r w:rsidR="004B482C" w:rsidRPr="00F400DD">
        <w:rPr>
          <w:rFonts w:ascii="Times New Roman" w:hAnsi="Times New Roman" w:cs="Times New Roman"/>
          <w:color w:val="000000" w:themeColor="text1"/>
          <w:sz w:val="24"/>
        </w:rPr>
        <w:t>bserved</w:t>
      </w:r>
      <w:r w:rsidR="004B482C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.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8F704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="008F704B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E</w:t>
      </w:r>
      <w:r w:rsidR="008F704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 </w:t>
      </w:r>
      <w:r w:rsidR="008F704B" w:rsidRPr="00F400DD">
        <w:rPr>
          <w:rFonts w:ascii="Times New Roman" w:hAnsi="Times New Roman" w:cs="Times New Roman"/>
          <w:color w:val="000000" w:themeColor="text1"/>
          <w:sz w:val="24"/>
        </w:rPr>
        <w:t>Intracellular GSH levels and MDA levels of PLC/PRF/5 were measured by corresponding assay kits</w:t>
      </w:r>
      <w:r w:rsidR="00EB2610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(FAC:</w:t>
      </w:r>
      <w:r w:rsidR="00EB261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100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μg</w:t>
      </w:r>
      <w:proofErr w:type="spellEnd"/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/mL</w:t>
      </w:r>
      <w:r w:rsidR="00EB2610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="008F704B" w:rsidRPr="00F400DD">
        <w:rPr>
          <w:rFonts w:ascii="Times New Roman" w:hAnsi="Times New Roman" w:cs="Times New Roman"/>
          <w:color w:val="000000" w:themeColor="text1"/>
          <w:sz w:val="24"/>
        </w:rPr>
        <w:t>. (</w:t>
      </w:r>
      <w:r w:rsidR="008F704B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="008F704B" w:rsidRPr="00F400DD">
        <w:rPr>
          <w:rFonts w:ascii="Times New Roman" w:hAnsi="Times New Roman" w:cs="Times New Roman"/>
          <w:color w:val="000000" w:themeColor="text1"/>
          <w:sz w:val="24"/>
        </w:rPr>
        <w:t>) The relative cell viabilit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>ies</w:t>
      </w:r>
      <w:r w:rsidR="008F704B" w:rsidRPr="00F400DD">
        <w:rPr>
          <w:rFonts w:ascii="Times New Roman" w:hAnsi="Times New Roman" w:cs="Times New Roman"/>
          <w:color w:val="000000" w:themeColor="text1"/>
          <w:sz w:val="24"/>
        </w:rPr>
        <w:t xml:space="preserve"> of PLC/PRF/5 were measured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 xml:space="preserve"> after FAC (</w:t>
      </w:r>
      <w:r w:rsidR="00B33015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50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B33015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μg</w:t>
      </w:r>
      <w:proofErr w:type="spellEnd"/>
      <w:r w:rsidR="00B33015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/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mL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>) or Vehicle treatment for 48h.</w:t>
      </w:r>
      <w:r w:rsidR="008F704B"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8F704B"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G</w:t>
      </w:r>
      <w:r w:rsidR="008F704B"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 xml:space="preserve"> Cell growth capacities of PLC/PRF/5</w:t>
      </w:r>
      <w:r w:rsidR="00B33015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>were measured by the colony formation assay</w:t>
      </w:r>
      <w:r w:rsidR="00ED6112" w:rsidRPr="00F400DD">
        <w:rPr>
          <w:rFonts w:ascii="Times New Roman" w:hAnsi="Times New Roman" w:cs="Times New Roman"/>
          <w:color w:val="000000" w:themeColor="text1"/>
          <w:sz w:val="24"/>
        </w:rPr>
        <w:t xml:space="preserve"> after FAC (</w:t>
      </w:r>
      <w:r w:rsidR="00ED6112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25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ED6112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μg</w:t>
      </w:r>
      <w:proofErr w:type="spellEnd"/>
      <w:r w:rsidR="00ED6112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/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mL</w:t>
      </w:r>
      <w:r w:rsidR="00ED6112" w:rsidRPr="00F400DD">
        <w:rPr>
          <w:rFonts w:ascii="Times New Roman" w:hAnsi="Times New Roman" w:cs="Times New Roman"/>
          <w:color w:val="000000" w:themeColor="text1"/>
          <w:sz w:val="24"/>
        </w:rPr>
        <w:t>) treatment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>.</w:t>
      </w:r>
      <w:r w:rsidR="00B33015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="00B33015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H</w:t>
      </w:r>
      <w:r w:rsidR="00B33015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-</w:t>
      </w:r>
      <w:r w:rsidR="00B33015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I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Intracellular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lipid peroxidation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content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above)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liable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iron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pool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level (below) of H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ep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G2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="008F704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FAC:</w:t>
      </w:r>
      <w:r w:rsidR="002E6042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8F704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150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8F704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μg</w:t>
      </w:r>
      <w:proofErr w:type="spellEnd"/>
      <w:r w:rsidR="008F704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/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mL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were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o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bserved.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</w:t>
      </w:r>
      <w:r w:rsidR="00B33015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J</w:t>
      </w:r>
      <w:r w:rsidR="00B33015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-</w:t>
      </w:r>
      <w:r w:rsidR="00B33015"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K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Intracellular ROS content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above)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Fe</w:t>
      </w:r>
      <w:r w:rsidRPr="00F400DD">
        <w:rPr>
          <w:rFonts w:ascii="Times New Roman" w:hAnsi="Times New Roman" w:cs="Times New Roman"/>
          <w:color w:val="000000" w:themeColor="text1"/>
          <w:sz w:val="24"/>
          <w:vertAlign w:val="superscript"/>
        </w:rPr>
        <w:t>2+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level (below) of H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ep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G2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="008F704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FAC:</w:t>
      </w:r>
      <w:r w:rsidR="002E6042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8F704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150</w:t>
      </w:r>
      <w:r w:rsidR="002D57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8F704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μg</w:t>
      </w:r>
      <w:proofErr w:type="spellEnd"/>
      <w:r w:rsidR="008F704B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/</w:t>
      </w:r>
      <w:r w:rsidR="00EB2610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mL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were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o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bserved.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Statistical significance was analyzed using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one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-way ANOVA with Tukey’s test (B,</w:t>
      </w:r>
      <w:r w:rsidR="002466CB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D,</w:t>
      </w:r>
      <w:r w:rsidR="002466CB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>E,</w:t>
      </w:r>
      <w:r w:rsidR="002466CB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>G,</w:t>
      </w:r>
      <w:r w:rsidR="002466CB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>I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>K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, n=3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33015" w:rsidRPr="00F400DD"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33015" w:rsidRPr="00F400DD">
        <w:rPr>
          <w:rFonts w:ascii="Times New Roman" w:hAnsi="Times New Roman" w:cs="Times New Roman" w:hint="eastAsia"/>
          <w:color w:val="000000" w:themeColor="text1"/>
          <w:sz w:val="24"/>
        </w:rPr>
        <w:t>two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>-way ANOVA with Tukey’s test (F</w:t>
      </w:r>
      <w:r w:rsidR="00B33015" w:rsidRPr="00F400DD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 w:rsidR="00B33015" w:rsidRPr="00F400DD">
        <w:rPr>
          <w:rFonts w:ascii="Times New Roman" w:hAnsi="Times New Roman" w:cs="Times New Roman"/>
          <w:color w:val="000000" w:themeColor="text1"/>
          <w:sz w:val="24"/>
        </w:rPr>
        <w:t xml:space="preserve"> n=3</w:t>
      </w:r>
      <w:r w:rsidR="00B33015"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2FF30F09" w14:textId="0B8B5487" w:rsidR="00D5197E" w:rsidRPr="00D52FAE" w:rsidRDefault="00D5197E" w:rsidP="00734E2D">
      <w:pPr>
        <w:pStyle w:val="a3"/>
        <w:rPr>
          <w:color w:val="000000" w:themeColor="text1"/>
          <w:lang w:val="en-US"/>
        </w:rPr>
      </w:pPr>
    </w:p>
    <w:p w14:paraId="4F20869C" w14:textId="1BA2CE0C" w:rsidR="00D5197E" w:rsidRDefault="00734E2D" w:rsidP="00734E2D">
      <w:pPr>
        <w:pStyle w:val="a3"/>
        <w:rPr>
          <w:color w:val="000000" w:themeColor="text1"/>
        </w:rPr>
      </w:pPr>
      <w:r w:rsidRPr="00F400DD">
        <w:rPr>
          <w:noProof/>
          <w:color w:val="000000" w:themeColor="text1"/>
        </w:rPr>
        <w:drawing>
          <wp:inline distT="0" distB="0" distL="0" distR="0" wp14:anchorId="5E7057C9" wp14:editId="720D15F1">
            <wp:extent cx="5274310" cy="600075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7C927" w14:textId="77777777" w:rsidR="00D52FAE" w:rsidRPr="00F400DD" w:rsidRDefault="00D52FAE" w:rsidP="00D52FAE">
      <w:pPr>
        <w:rPr>
          <w:rFonts w:ascii="Times New Roman" w:hAnsi="Times New Roman" w:cs="Times New Roman"/>
          <w:color w:val="000000" w:themeColor="text1"/>
          <w:sz w:val="24"/>
        </w:rPr>
      </w:pP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FigS9. METTL16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 xml:space="preserve"> and 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SENP3 are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elevated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and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c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l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inically relevant with poor survival in HCC patients.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A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 CERES scores of a series of METTL family members from CRISPR Cas9 knockout screening datasets across 903 human cell lines from </w:t>
      </w:r>
      <w:proofErr w:type="spellStart"/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DepMap</w:t>
      </w:r>
      <w:proofErr w:type="spellEnd"/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Another CRISPR Cas9 knockout screening datasets across 15 human HCC cell lines were analyzed. MYC and BRD4 w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ere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identified as the positive control, which was recognized as the promising cancer therapeutic target.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METTL16 and SENP3 mRNA expression in the CHCC cohort.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Correlational analysis of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METTL16 and SENP3 mRNA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in the CHCC cohort.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E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 E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xpression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of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METTL16 and SENP3 in the TCGA-LIHC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c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ohort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based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on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individual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cancer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stages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from UALCAN.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color w:val="000000" w:themeColor="text1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The difference in Overall Survival between patients with high and low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METTL16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or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SENP3 expression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 TCGA-LIHC patients.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2D57CD">
        <w:rPr>
          <w:rFonts w:ascii="Times New Roman" w:hAnsi="Times New Roman" w:cs="Times New Roman"/>
          <w:b/>
          <w:bCs/>
          <w:color w:val="000000" w:themeColor="text1"/>
          <w:sz w:val="24"/>
        </w:rPr>
        <w:t>G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The difference in Overall Survival between patients with high and low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METTL16 </w:t>
      </w:r>
      <w:r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or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SENP3 expression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 the CHCC cohort.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H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color w:val="000000" w:themeColor="text1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Overall survival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analysis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using combinations of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METTL16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and SENP3 expression levels.</w:t>
      </w:r>
      <w:r w:rsidRPr="00F400DD">
        <w:rPr>
          <w:color w:val="000000" w:themeColor="text1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Statistical significance was analyzed using (paired) two-tailed Student’s t test (C), Spearman correlation analysis (D) , one-way ANOVA with Tukey’s test (E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L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og-rank test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(F, G and H).</w:t>
      </w:r>
    </w:p>
    <w:p w14:paraId="46C1FC6D" w14:textId="77777777" w:rsidR="00D52FAE" w:rsidRPr="00F400DD" w:rsidRDefault="00D52FAE" w:rsidP="00D52FAE">
      <w:pPr>
        <w:rPr>
          <w:rFonts w:ascii="Times New Roman" w:hAnsi="Times New Roman" w:cs="Times New Roman"/>
          <w:color w:val="000000" w:themeColor="text1"/>
          <w:sz w:val="24"/>
        </w:rPr>
      </w:pPr>
      <w:r w:rsidRPr="00F400DD">
        <w:rPr>
          <w:noProof/>
          <w:color w:val="000000" w:themeColor="text1"/>
        </w:rPr>
        <w:drawing>
          <wp:inline distT="0" distB="0" distL="0" distR="0" wp14:anchorId="1AFDCA80" wp14:editId="154E4F5E">
            <wp:extent cx="5274310" cy="8107680"/>
            <wp:effectExtent l="0" t="0" r="254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0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FAE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FigS10. The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 xml:space="preserve">expression of 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METTL16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 xml:space="preserve">, 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SENP3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 xml:space="preserve"> and LTF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is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elevated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in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HCC patients</w:t>
      </w:r>
      <w:r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.</w:t>
      </w: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Pr="00D52FAE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A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Representative images of IHC staining of LTF expression in human normal liver tissues and HCC specimens (n = 90 per group) from Tissue Microarray. Scar bar</w:t>
      </w:r>
      <w:r w:rsidRPr="00F400DD">
        <w:rPr>
          <w:rFonts w:ascii="Times New Roman" w:hAnsi="Times New Roman" w:cs="Times New Roman" w:hint="eastAsia"/>
          <w:color w:val="000000" w:themeColor="text1"/>
          <w:sz w:val="24"/>
        </w:rPr>
        <w:t>: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50μm. (</w:t>
      </w:r>
      <w:r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Quantification study of LTF expression levels in liver tissues. (</w:t>
      </w:r>
      <w:r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-</w:t>
      </w:r>
      <w:r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>)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METTL16 and SENP3 protein expression in the CHCC cohort.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E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Correlational analysis of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METTL16, SENP3 and LTF protein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in the CHCC cohort.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Correlational analysis of 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METTL16 and SENP3 with preoperative AFP </w:t>
      </w:r>
      <w:r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in the CHCC cohort.</w:t>
      </w:r>
      <w:r w:rsidRPr="00F400DD">
        <w:rPr>
          <w:rFonts w:ascii="Times New Roman" w:hAnsi="Times New Roman" w:cs="Times New Roman"/>
          <w:color w:val="000000" w:themeColor="text1"/>
          <w:sz w:val="24"/>
        </w:rPr>
        <w:t xml:space="preserve"> Statistical significance was analyzed using Chi-square test (B), (paired) two-tailed Student’s t test (C and D), Pearson correlation analysis (E) and Spearman correlation analysis (F).</w:t>
      </w:r>
    </w:p>
    <w:p w14:paraId="66DA0752" w14:textId="77777777" w:rsidR="00D52FAE" w:rsidRPr="00D52FAE" w:rsidRDefault="00D52FAE" w:rsidP="00734E2D">
      <w:pPr>
        <w:pStyle w:val="a3"/>
        <w:rPr>
          <w:color w:val="000000" w:themeColor="text1"/>
          <w:lang w:val="en-US"/>
        </w:rPr>
      </w:pPr>
    </w:p>
    <w:p w14:paraId="744E876A" w14:textId="77519512" w:rsidR="00B33015" w:rsidRPr="00F400DD" w:rsidRDefault="00734E2D" w:rsidP="00734E2D">
      <w:pPr>
        <w:pStyle w:val="a3"/>
        <w:rPr>
          <w:color w:val="000000" w:themeColor="text1"/>
        </w:rPr>
      </w:pPr>
      <w:r w:rsidRPr="00F400DD">
        <w:rPr>
          <w:noProof/>
          <w:color w:val="000000" w:themeColor="text1"/>
        </w:rPr>
        <w:drawing>
          <wp:inline distT="0" distB="0" distL="0" distR="0" wp14:anchorId="15F145F9" wp14:editId="38A85E36">
            <wp:extent cx="5274310" cy="7711440"/>
            <wp:effectExtent l="0" t="0" r="254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1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DF103" w14:textId="5E5623D5" w:rsidR="0009681E" w:rsidRPr="00F400DD" w:rsidRDefault="00B33015">
      <w:pPr>
        <w:rPr>
          <w:rFonts w:ascii="Times New Roman" w:hAnsi="Times New Roman" w:cs="Times New Roman"/>
          <w:color w:val="000000" w:themeColor="text1"/>
          <w:sz w:val="24"/>
        </w:rPr>
      </w:pPr>
      <w:r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FigS11. </w:t>
      </w:r>
      <w:r w:rsidR="00871DC3"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METTL16 increases the sorafenib </w:t>
      </w:r>
      <w:r w:rsidR="00192A87"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resistant</w:t>
      </w:r>
      <w:r w:rsidR="00871DC3" w:rsidRPr="00F400DD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of HCC</w:t>
      </w:r>
      <w:r w:rsidR="00871DC3" w:rsidRPr="00F400D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.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871DC3"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 xml:space="preserve">) The cell growth capacities of Huh7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(Sorafenib:</w:t>
      </w:r>
      <w:r w:rsidR="0022431D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5</w:t>
      </w:r>
      <w:r w:rsidR="00D52FAE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μM</w:t>
      </w:r>
      <w:proofErr w:type="spellEnd"/>
      <w:r w:rsidR="00871DC3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="0022431D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with or without METTL16 overexpression</w:t>
      </w:r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>were measured by the colony formation assay. (</w:t>
      </w:r>
      <w:r w:rsidR="00871DC3"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>) The relative cell viabilities of Huh7 were</w:t>
      </w:r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 xml:space="preserve">measured </w:t>
      </w:r>
      <w:r w:rsidR="004C2521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via CCK-8 assay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 xml:space="preserve">after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Sorafenib (5</w:t>
      </w:r>
      <w:r w:rsidR="00D52FAE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μM</w:t>
      </w:r>
      <w:proofErr w:type="spellEnd"/>
      <w:r w:rsidR="00871DC3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>or Vehicle treatment for 48h. (</w:t>
      </w:r>
      <w:r w:rsidR="00871DC3"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 xml:space="preserve">) The cell growth capacities of HCCLM3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(Sorafenib:</w:t>
      </w:r>
      <w:r w:rsidR="00B8383B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10</w:t>
      </w:r>
      <w:r w:rsidR="00D52FAE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μM</w:t>
      </w:r>
      <w:proofErr w:type="spellEnd"/>
      <w:r w:rsidR="00871DC3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B162E7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with or without METTL16 knockdown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>were measured by the colony formation assay. (</w:t>
      </w:r>
      <w:r w:rsidR="00871DC3"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>) The relative cell viabilities of HCCLM3 were</w:t>
      </w:r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 xml:space="preserve">measured after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Sorafenib (10</w:t>
      </w:r>
      <w:r w:rsidR="00D52FAE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μM</w:t>
      </w:r>
      <w:proofErr w:type="spellEnd"/>
      <w:r w:rsidR="00871DC3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)</w:t>
      </w:r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 xml:space="preserve">or Vehicle treatment for 48h. </w:t>
      </w:r>
      <w:r w:rsidR="00871DC3" w:rsidRPr="00F400D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871DC3"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E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 xml:space="preserve">) Paired line scatter plot showing METTL16 and SENP3 mRNA expression in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Sorafenib-</w:t>
      </w:r>
      <w:r w:rsidR="00871DC3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sens</w:t>
      </w:r>
      <w:r w:rsidR="006D7736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i</w:t>
      </w:r>
      <w:r w:rsidR="00871DC3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tive</w:t>
      </w:r>
      <w:r w:rsidR="006D7736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>(green dot)</w:t>
      </w:r>
      <w:r w:rsidR="006D7736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versus </w:t>
      </w:r>
      <w:r w:rsidR="006D7736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Sorafenib-</w:t>
      </w:r>
      <w:r w:rsidR="006D7736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resistant</w:t>
      </w:r>
      <w:r w:rsidR="006D7736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871DC3" w:rsidRPr="00F400DD">
        <w:rPr>
          <w:rFonts w:ascii="Times New Roman" w:hAnsi="Times New Roman" w:cs="Times New Roman"/>
          <w:color w:val="000000" w:themeColor="text1"/>
          <w:sz w:val="24"/>
        </w:rPr>
        <w:t>(orange dot)</w:t>
      </w:r>
      <w:r w:rsidR="006D7736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D7736" w:rsidRPr="00F400DD">
        <w:rPr>
          <w:rFonts w:ascii="Times New Roman" w:hAnsi="Times New Roman" w:cs="Times New Roman" w:hint="eastAsia"/>
          <w:color w:val="000000" w:themeColor="text1"/>
          <w:sz w:val="24"/>
        </w:rPr>
        <w:t>primary</w:t>
      </w:r>
      <w:r w:rsidR="006D7736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D7736" w:rsidRPr="00F400DD">
        <w:rPr>
          <w:rFonts w:ascii="Times New Roman" w:hAnsi="Times New Roman" w:cs="Times New Roman" w:hint="eastAsia"/>
          <w:color w:val="000000" w:themeColor="text1"/>
          <w:sz w:val="24"/>
        </w:rPr>
        <w:t>l</w:t>
      </w:r>
      <w:r w:rsidR="006D7736" w:rsidRPr="00F400DD">
        <w:rPr>
          <w:rFonts w:ascii="Times New Roman" w:hAnsi="Times New Roman" w:cs="Times New Roman"/>
          <w:color w:val="000000" w:themeColor="text1"/>
          <w:sz w:val="24"/>
        </w:rPr>
        <w:t>i</w:t>
      </w:r>
      <w:r w:rsidR="006D7736" w:rsidRPr="00F400DD">
        <w:rPr>
          <w:rFonts w:ascii="Times New Roman" w:hAnsi="Times New Roman" w:cs="Times New Roman" w:hint="eastAsia"/>
          <w:color w:val="000000" w:themeColor="text1"/>
          <w:sz w:val="24"/>
        </w:rPr>
        <w:t>ver</w:t>
      </w:r>
      <w:r w:rsidR="006D7736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D7736" w:rsidRPr="00F400DD">
        <w:rPr>
          <w:rFonts w:ascii="Times New Roman" w:hAnsi="Times New Roman" w:cs="Times New Roman" w:hint="eastAsia"/>
          <w:color w:val="000000" w:themeColor="text1"/>
          <w:sz w:val="24"/>
        </w:rPr>
        <w:t>cancer</w:t>
      </w:r>
      <w:r w:rsidR="006D7736" w:rsidRPr="00F400DD">
        <w:rPr>
          <w:rFonts w:ascii="Times New Roman" w:hAnsi="Times New Roman" w:cs="Times New Roman"/>
          <w:color w:val="000000" w:themeColor="text1"/>
          <w:sz w:val="24"/>
        </w:rPr>
        <w:t xml:space="preserve"> organoid</w:t>
      </w:r>
      <w:r w:rsidR="006D7736" w:rsidRPr="00F400DD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="006D7736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D7736" w:rsidRPr="00F400DD">
        <w:rPr>
          <w:rFonts w:ascii="Times New Roman" w:hAnsi="Times New Roman" w:cs="Times New Roman" w:hint="eastAsia"/>
          <w:color w:val="000000" w:themeColor="text1"/>
          <w:sz w:val="24"/>
        </w:rPr>
        <w:t>from</w:t>
      </w:r>
      <w:r w:rsidR="006D7736" w:rsidRPr="00F400DD">
        <w:rPr>
          <w:rFonts w:ascii="Times New Roman" w:hAnsi="Times New Roman" w:cs="Times New Roman"/>
          <w:color w:val="000000" w:themeColor="text1"/>
          <w:sz w:val="24"/>
        </w:rPr>
        <w:t xml:space="preserve"> GSE182593. </w:t>
      </w:r>
      <w:r w:rsidR="006D7736" w:rsidRPr="00F400D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6D7736"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="006D7736" w:rsidRPr="00F400DD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>T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</w:rPr>
        <w:t>he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</w:rPr>
        <w:t>M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ETTL16 and SENP3 mRNA expression 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</w:rPr>
        <w:t>levels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 in </w:t>
      </w:r>
      <w:r w:rsidR="006B1C34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Sorafenib-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sensitive</w:t>
      </w:r>
      <w:r w:rsidR="006B1C34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clones</w:t>
      </w:r>
      <w:r w:rsidR="006B1C34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versus </w:t>
      </w:r>
      <w:r w:rsidR="006B1C34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Sorafenib-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resistant</w:t>
      </w:r>
      <w:r w:rsidR="006B1C34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clones</w:t>
      </w:r>
      <w:r w:rsidR="006B1C34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</w:rPr>
        <w:t>of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 H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</w:rPr>
        <w:t>ep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3B 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</w:rPr>
        <w:t>from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 GSE248769. </w:t>
      </w:r>
      <w:r w:rsidR="00DB52AF"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="00DB52AF"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G</w:t>
      </w:r>
      <w:r w:rsidR="00DB52AF"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DB52AF" w:rsidRPr="00F400DD">
        <w:rPr>
          <w:rFonts w:ascii="Times New Roman" w:hAnsi="Times New Roman" w:cs="Times New Roman"/>
          <w:color w:val="000000" w:themeColor="text1"/>
          <w:sz w:val="24"/>
        </w:rPr>
        <w:t xml:space="preserve"> T</w:t>
      </w:r>
      <w:r w:rsidR="00DB52AF" w:rsidRPr="00F400DD">
        <w:rPr>
          <w:rFonts w:ascii="Times New Roman" w:hAnsi="Times New Roman" w:cs="Times New Roman" w:hint="eastAsia"/>
          <w:color w:val="000000" w:themeColor="text1"/>
          <w:sz w:val="24"/>
        </w:rPr>
        <w:t>he</w:t>
      </w:r>
      <w:r w:rsidR="00DB52AF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B52AF" w:rsidRPr="00F400DD">
        <w:rPr>
          <w:rFonts w:ascii="Times New Roman" w:hAnsi="Times New Roman" w:cs="Times New Roman" w:hint="eastAsia"/>
          <w:color w:val="000000" w:themeColor="text1"/>
          <w:sz w:val="24"/>
        </w:rPr>
        <w:t>correlation</w:t>
      </w:r>
      <w:r w:rsidR="00DB52AF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B52AF" w:rsidRPr="00F400DD">
        <w:rPr>
          <w:rFonts w:ascii="Times New Roman" w:hAnsi="Times New Roman" w:cs="Times New Roman" w:hint="eastAsia"/>
          <w:color w:val="000000" w:themeColor="text1"/>
          <w:sz w:val="24"/>
        </w:rPr>
        <w:t>of</w:t>
      </w:r>
      <w:r w:rsidR="00DB52AF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B52AF" w:rsidRPr="00F400DD">
        <w:rPr>
          <w:rFonts w:ascii="Times New Roman" w:hAnsi="Times New Roman" w:cs="Times New Roman" w:hint="eastAsia"/>
          <w:color w:val="000000" w:themeColor="text1"/>
          <w:sz w:val="24"/>
        </w:rPr>
        <w:t>M</w:t>
      </w:r>
      <w:r w:rsidR="00DB52AF" w:rsidRPr="00F400DD">
        <w:rPr>
          <w:rFonts w:ascii="Times New Roman" w:hAnsi="Times New Roman" w:cs="Times New Roman"/>
          <w:color w:val="000000" w:themeColor="text1"/>
          <w:sz w:val="24"/>
        </w:rPr>
        <w:t>ETTL16 expression with S</w:t>
      </w:r>
      <w:r w:rsidR="00DB52AF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orafenib </w:t>
      </w:r>
      <w:r w:rsidR="00DB52AF" w:rsidRPr="00F400DD">
        <w:rPr>
          <w:rFonts w:ascii="Times New Roman" w:hAnsi="Times New Roman" w:cs="Times New Roman"/>
          <w:color w:val="000000" w:themeColor="text1"/>
          <w:sz w:val="24"/>
        </w:rPr>
        <w:t xml:space="preserve">IC50 from the CTRP database in GSE109211. 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="00DB52AF"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H</w:t>
      </w:r>
      <w:r w:rsidR="00DB52AF" w:rsidRPr="00F400DD">
        <w:rPr>
          <w:rFonts w:ascii="Times New Roman" w:hAnsi="Times New Roman" w:cs="Times New Roman"/>
          <w:color w:val="000000" w:themeColor="text1"/>
          <w:sz w:val="24"/>
        </w:rPr>
        <w:t>-</w:t>
      </w:r>
      <w:r w:rsidR="00DB52AF"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I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 Stacked bar graphs show the proportion of "responder" or "non-responder" patients with populations stratified by METTL16 (</w:t>
      </w:r>
      <w:r w:rsidR="00DB52AF"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H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="002466CB" w:rsidRPr="00F400DD">
        <w:rPr>
          <w:rFonts w:ascii="Times New Roman" w:hAnsi="Times New Roman" w:cs="Times New Roman" w:hint="eastAsia"/>
          <w:color w:val="000000" w:themeColor="text1"/>
          <w:sz w:val="24"/>
        </w:rPr>
        <w:t>or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 SENP3 (</w:t>
      </w:r>
      <w:r w:rsidR="00192A87" w:rsidRPr="00D52FAE">
        <w:rPr>
          <w:rFonts w:ascii="Times New Roman" w:hAnsi="Times New Roman" w:cs="Times New Roman"/>
          <w:b/>
          <w:bCs/>
          <w:color w:val="000000" w:themeColor="text1"/>
          <w:sz w:val="24"/>
        </w:rPr>
        <w:t>I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) expression 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</w:rPr>
        <w:t>level.</w:t>
      </w:r>
      <w:r w:rsidR="006B1C34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</w:t>
      </w:r>
      <w:r w:rsidR="006B1C34" w:rsidRPr="00D52FAE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J</w:t>
      </w:r>
      <w:r w:rsidR="006B1C34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>) The METTL16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6B1C34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expression 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i</w:t>
      </w:r>
      <w:r w:rsidR="006B1C34" w:rsidRPr="00F400D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n the indicated HCC 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>organoids. Statistical significance was analyzed using</w:t>
      </w:r>
      <w:r w:rsidR="00D15248" w:rsidRPr="00F400DD">
        <w:rPr>
          <w:rFonts w:ascii="Times New Roman" w:hAnsi="Times New Roman" w:cs="Times New Roman"/>
          <w:color w:val="000000" w:themeColor="text1"/>
          <w:sz w:val="24"/>
        </w:rPr>
        <w:t xml:space="preserve"> (paired) two-tailed Student’s t test (A, B, E and</w:t>
      </w:r>
      <w:r w:rsidR="00D15248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D15248" w:rsidRPr="00F400DD">
        <w:rPr>
          <w:rFonts w:ascii="Times New Roman" w:hAnsi="Times New Roman" w:cs="Times New Roman"/>
          <w:color w:val="000000" w:themeColor="text1"/>
          <w:sz w:val="24"/>
        </w:rPr>
        <w:t>F)</w:t>
      </w:r>
      <w:r w:rsidR="00D15248" w:rsidRPr="00F400DD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 w:rsidR="00D15248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>two-way ANOVA with Tukey’s test</w:t>
      </w:r>
      <w:r w:rsidR="00D15248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>(</w:t>
      </w:r>
      <w:r w:rsidR="000413AC" w:rsidRPr="00F400DD">
        <w:rPr>
          <w:rFonts w:ascii="Times New Roman" w:hAnsi="Times New Roman" w:cs="Times New Roman"/>
          <w:color w:val="000000" w:themeColor="text1"/>
          <w:sz w:val="24"/>
        </w:rPr>
        <w:t>C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>D)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413AC" w:rsidRPr="00F400DD">
        <w:rPr>
          <w:rFonts w:ascii="Times New Roman" w:hAnsi="Times New Roman" w:cs="Times New Roman"/>
          <w:color w:val="000000" w:themeColor="text1"/>
          <w:sz w:val="24"/>
        </w:rPr>
        <w:t>Pearson correlation analysis (G</w:t>
      </w:r>
      <w:r w:rsidR="000413AC" w:rsidRPr="00F400D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0413AC" w:rsidRPr="00F400DD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>Chi-square test (</w:t>
      </w:r>
      <w:r w:rsidR="000413AC" w:rsidRPr="00F400DD">
        <w:rPr>
          <w:rFonts w:ascii="Times New Roman" w:hAnsi="Times New Roman" w:cs="Times New Roman"/>
          <w:color w:val="000000" w:themeColor="text1"/>
          <w:sz w:val="24"/>
        </w:rPr>
        <w:t>H</w:t>
      </w:r>
      <w:r w:rsidR="006B1C34" w:rsidRPr="00F400DD">
        <w:rPr>
          <w:rFonts w:ascii="Times New Roman" w:hAnsi="Times New Roman" w:cs="Times New Roman" w:hint="eastAsia"/>
          <w:color w:val="000000" w:themeColor="text1"/>
          <w:sz w:val="24"/>
        </w:rPr>
        <w:t xml:space="preserve"> and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413AC" w:rsidRPr="00F400DD">
        <w:rPr>
          <w:rFonts w:ascii="Times New Roman" w:hAnsi="Times New Roman" w:cs="Times New Roman"/>
          <w:color w:val="000000" w:themeColor="text1"/>
          <w:sz w:val="24"/>
        </w:rPr>
        <w:t>I</w:t>
      </w:r>
      <w:r w:rsidR="006B1C34" w:rsidRPr="00F400DD">
        <w:rPr>
          <w:rFonts w:ascii="Times New Roman" w:hAnsi="Times New Roman" w:cs="Times New Roman"/>
          <w:color w:val="000000" w:themeColor="text1"/>
          <w:sz w:val="24"/>
        </w:rPr>
        <w:t>).</w:t>
      </w:r>
    </w:p>
    <w:sectPr w:rsidR="0009681E" w:rsidRPr="00F40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7E"/>
    <w:rsid w:val="0002461C"/>
    <w:rsid w:val="000413AC"/>
    <w:rsid w:val="0004453E"/>
    <w:rsid w:val="0009681E"/>
    <w:rsid w:val="000B1D24"/>
    <w:rsid w:val="000F5AF6"/>
    <w:rsid w:val="0012498E"/>
    <w:rsid w:val="0014259B"/>
    <w:rsid w:val="001449B7"/>
    <w:rsid w:val="00155EC0"/>
    <w:rsid w:val="0016685F"/>
    <w:rsid w:val="00167B7D"/>
    <w:rsid w:val="00177174"/>
    <w:rsid w:val="0019093D"/>
    <w:rsid w:val="00192A87"/>
    <w:rsid w:val="001E1EEC"/>
    <w:rsid w:val="0022431D"/>
    <w:rsid w:val="002329F2"/>
    <w:rsid w:val="002466CB"/>
    <w:rsid w:val="0028179D"/>
    <w:rsid w:val="002B0B2D"/>
    <w:rsid w:val="002C64E1"/>
    <w:rsid w:val="002D57CD"/>
    <w:rsid w:val="002E6042"/>
    <w:rsid w:val="002F253B"/>
    <w:rsid w:val="003371BA"/>
    <w:rsid w:val="00342FFC"/>
    <w:rsid w:val="00360209"/>
    <w:rsid w:val="003674AF"/>
    <w:rsid w:val="003713D2"/>
    <w:rsid w:val="003737F0"/>
    <w:rsid w:val="003B18B9"/>
    <w:rsid w:val="003C6C90"/>
    <w:rsid w:val="003F20B4"/>
    <w:rsid w:val="003F5545"/>
    <w:rsid w:val="00400474"/>
    <w:rsid w:val="004217F9"/>
    <w:rsid w:val="0043390F"/>
    <w:rsid w:val="004B482C"/>
    <w:rsid w:val="004C2521"/>
    <w:rsid w:val="004F1B45"/>
    <w:rsid w:val="004F4D91"/>
    <w:rsid w:val="00554D44"/>
    <w:rsid w:val="00560585"/>
    <w:rsid w:val="005841BA"/>
    <w:rsid w:val="0059462F"/>
    <w:rsid w:val="005E55BE"/>
    <w:rsid w:val="005F283A"/>
    <w:rsid w:val="005F70A9"/>
    <w:rsid w:val="00610AD8"/>
    <w:rsid w:val="00624643"/>
    <w:rsid w:val="00677789"/>
    <w:rsid w:val="00684F69"/>
    <w:rsid w:val="00692AD9"/>
    <w:rsid w:val="0069582D"/>
    <w:rsid w:val="006A78D5"/>
    <w:rsid w:val="006B1C34"/>
    <w:rsid w:val="006C15E4"/>
    <w:rsid w:val="006D7736"/>
    <w:rsid w:val="006F5081"/>
    <w:rsid w:val="00734E2D"/>
    <w:rsid w:val="00784EDB"/>
    <w:rsid w:val="007A12D5"/>
    <w:rsid w:val="007B1193"/>
    <w:rsid w:val="007C511E"/>
    <w:rsid w:val="007E579D"/>
    <w:rsid w:val="00821EBB"/>
    <w:rsid w:val="00834223"/>
    <w:rsid w:val="00855164"/>
    <w:rsid w:val="00871DC3"/>
    <w:rsid w:val="0087292A"/>
    <w:rsid w:val="0088753D"/>
    <w:rsid w:val="008C0F83"/>
    <w:rsid w:val="008C42E6"/>
    <w:rsid w:val="008D35E5"/>
    <w:rsid w:val="008F704B"/>
    <w:rsid w:val="00904667"/>
    <w:rsid w:val="0091089A"/>
    <w:rsid w:val="009231E9"/>
    <w:rsid w:val="00952323"/>
    <w:rsid w:val="00987C53"/>
    <w:rsid w:val="0099011E"/>
    <w:rsid w:val="009D2E7A"/>
    <w:rsid w:val="00A158D4"/>
    <w:rsid w:val="00A225BE"/>
    <w:rsid w:val="00A25221"/>
    <w:rsid w:val="00A5483B"/>
    <w:rsid w:val="00A56127"/>
    <w:rsid w:val="00A56EE0"/>
    <w:rsid w:val="00A60FBE"/>
    <w:rsid w:val="00A94ECC"/>
    <w:rsid w:val="00AB70E7"/>
    <w:rsid w:val="00B14999"/>
    <w:rsid w:val="00B162E7"/>
    <w:rsid w:val="00B208BC"/>
    <w:rsid w:val="00B33015"/>
    <w:rsid w:val="00B579EC"/>
    <w:rsid w:val="00B72090"/>
    <w:rsid w:val="00B773A0"/>
    <w:rsid w:val="00B77DF9"/>
    <w:rsid w:val="00B8383B"/>
    <w:rsid w:val="00B83BE8"/>
    <w:rsid w:val="00B85681"/>
    <w:rsid w:val="00B93F3B"/>
    <w:rsid w:val="00B95ECF"/>
    <w:rsid w:val="00BA0D34"/>
    <w:rsid w:val="00BB00AD"/>
    <w:rsid w:val="00BB5BC2"/>
    <w:rsid w:val="00BD4337"/>
    <w:rsid w:val="00BD7049"/>
    <w:rsid w:val="00C2795C"/>
    <w:rsid w:val="00C51AF4"/>
    <w:rsid w:val="00C54174"/>
    <w:rsid w:val="00C76100"/>
    <w:rsid w:val="00CD158C"/>
    <w:rsid w:val="00CD43B0"/>
    <w:rsid w:val="00CE7896"/>
    <w:rsid w:val="00D0226A"/>
    <w:rsid w:val="00D15248"/>
    <w:rsid w:val="00D5197E"/>
    <w:rsid w:val="00D52FAE"/>
    <w:rsid w:val="00D52FB0"/>
    <w:rsid w:val="00D9618A"/>
    <w:rsid w:val="00DB4041"/>
    <w:rsid w:val="00DB52AF"/>
    <w:rsid w:val="00DC0E19"/>
    <w:rsid w:val="00DC4452"/>
    <w:rsid w:val="00DD0CDE"/>
    <w:rsid w:val="00DF7947"/>
    <w:rsid w:val="00E012D2"/>
    <w:rsid w:val="00E02AAD"/>
    <w:rsid w:val="00E251FD"/>
    <w:rsid w:val="00E25729"/>
    <w:rsid w:val="00E371CA"/>
    <w:rsid w:val="00E410EB"/>
    <w:rsid w:val="00E66610"/>
    <w:rsid w:val="00E9066C"/>
    <w:rsid w:val="00E95E9F"/>
    <w:rsid w:val="00EA5B3A"/>
    <w:rsid w:val="00EB2610"/>
    <w:rsid w:val="00ED3B76"/>
    <w:rsid w:val="00ED6112"/>
    <w:rsid w:val="00ED7F9D"/>
    <w:rsid w:val="00EE4A49"/>
    <w:rsid w:val="00EE71E2"/>
    <w:rsid w:val="00F07D3A"/>
    <w:rsid w:val="00F400DD"/>
    <w:rsid w:val="00F666C7"/>
    <w:rsid w:val="00F74C1A"/>
    <w:rsid w:val="00F826B8"/>
    <w:rsid w:val="00F875DD"/>
    <w:rsid w:val="00FD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A1D4"/>
  <w15:docId w15:val="{E43EEB0B-3D97-C44C-9F44-379C6C0D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9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E2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0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15</Pages>
  <Words>1728</Words>
  <Characters>9852</Characters>
  <Application>Microsoft Office Word</Application>
  <DocSecurity>0</DocSecurity>
  <Lines>82</Lines>
  <Paragraphs>23</Paragraphs>
  <ScaleCrop>false</ScaleCrop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BEAKLEAN WANG</dc:creator>
  <cp:keywords/>
  <dc:description/>
  <cp:lastModifiedBy>BEAKLEAN WANG</cp:lastModifiedBy>
  <cp:revision>8</cp:revision>
  <cp:lastPrinted>2024-08-18T16:30:00Z</cp:lastPrinted>
  <dcterms:created xsi:type="dcterms:W3CDTF">2024-08-19T03:51:00Z</dcterms:created>
  <dcterms:modified xsi:type="dcterms:W3CDTF">2024-08-24T06:15:00Z</dcterms:modified>
</cp:coreProperties>
</file>