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09412" w14:textId="74D0B184" w:rsidR="008E6E0B" w:rsidRPr="008E6E0B" w:rsidRDefault="008E6E0B" w:rsidP="008E6E0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Supplementary </w:t>
      </w:r>
      <w:r w:rsidRPr="003979B1">
        <w:rPr>
          <w:rFonts w:ascii="Times New Roman" w:hAnsi="Times New Roman" w:cs="Times New Roman"/>
          <w:sz w:val="28"/>
          <w:szCs w:val="28"/>
        </w:rPr>
        <w:t>Methods</w:t>
      </w:r>
    </w:p>
    <w:p w14:paraId="2E0A0791" w14:textId="2F2173FC" w:rsidR="00BC2870" w:rsidRDefault="00BC2870" w:rsidP="00A64CF1">
      <w:pPr>
        <w:pStyle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 w:hint="eastAsia"/>
          <w:sz w:val="28"/>
        </w:rPr>
        <w:t>S</w:t>
      </w:r>
      <w:r>
        <w:rPr>
          <w:rFonts w:ascii="Times New Roman" w:hAnsi="Times New Roman" w:cs="Times New Roman"/>
          <w:sz w:val="28"/>
        </w:rPr>
        <w:t>tudy design</w:t>
      </w:r>
    </w:p>
    <w:p w14:paraId="7033BDC3" w14:textId="7C8E6331" w:rsidR="00BC2870" w:rsidRPr="007F5CCC" w:rsidRDefault="00BC2870" w:rsidP="00BC2870">
      <w:pPr>
        <w:spacing w:line="360" w:lineRule="auto"/>
        <w:rPr>
          <w:rFonts w:ascii="Times New Roman" w:eastAsia="微软雅黑" w:hAnsi="Times New Roman" w:cs="Times New Roman"/>
          <w:b/>
          <w:sz w:val="24"/>
          <w:u w:val="single"/>
        </w:rPr>
      </w:pPr>
      <w:r w:rsidRPr="007F5CCC">
        <w:rPr>
          <w:rFonts w:ascii="Times New Roman" w:eastAsia="微软雅黑" w:hAnsi="Times New Roman" w:cs="Times New Roman"/>
          <w:b/>
          <w:sz w:val="24"/>
          <w:u w:val="single"/>
        </w:rPr>
        <w:t>Dose-limiting toxicity</w:t>
      </w:r>
      <w:bookmarkStart w:id="0" w:name="_GoBack"/>
      <w:bookmarkEnd w:id="0"/>
    </w:p>
    <w:p w14:paraId="65F0DE25" w14:textId="44D2203E" w:rsidR="00BC2870" w:rsidRDefault="00BC2870" w:rsidP="00BC2870">
      <w:pPr>
        <w:spacing w:line="360" w:lineRule="auto"/>
        <w:rPr>
          <w:rFonts w:ascii="Times New Roman" w:eastAsia="微软雅黑" w:hAnsi="Times New Roman" w:cs="Times New Roman"/>
          <w:sz w:val="24"/>
        </w:rPr>
      </w:pPr>
      <w:bookmarkStart w:id="1" w:name="_Hlk177050323"/>
      <w:r w:rsidRPr="003979B1">
        <w:rPr>
          <w:rFonts w:ascii="Times New Roman" w:eastAsia="微软雅黑" w:hAnsi="Times New Roman" w:cs="Times New Roman"/>
          <w:sz w:val="24"/>
        </w:rPr>
        <w:t>Dose-limiting toxicity (DLT) was defined</w:t>
      </w:r>
      <w:bookmarkEnd w:id="1"/>
      <w:r w:rsidRPr="003979B1">
        <w:rPr>
          <w:rFonts w:ascii="Times New Roman" w:eastAsia="微软雅黑" w:hAnsi="Times New Roman" w:cs="Times New Roman"/>
          <w:sz w:val="24"/>
        </w:rPr>
        <w:t xml:space="preserve"> as any of the following adverse event (AE) related to IBI110 monotherapy or in combination with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sintilimab</w:t>
      </w:r>
      <w:proofErr w:type="spellEnd"/>
      <w:r w:rsidRPr="003979B1">
        <w:rPr>
          <w:rFonts w:ascii="Times New Roman" w:eastAsia="微软雅黑" w:hAnsi="Times New Roman" w:cs="Times New Roman" w:hint="eastAsia"/>
          <w:sz w:val="24"/>
        </w:rPr>
        <w:t xml:space="preserve"> within the DLT observation period of 28 days after the first dose: 1) hematological toxicities including grade 4 hematological toxicity, grade </w:t>
      </w:r>
      <w:r w:rsidRPr="003979B1">
        <w:rPr>
          <w:rFonts w:ascii="Times New Roman" w:eastAsia="微软雅黑" w:hAnsi="Times New Roman" w:cs="Times New Roman" w:hint="eastAsia"/>
          <w:sz w:val="24"/>
        </w:rPr>
        <w:t>≥</w:t>
      </w:r>
      <w:r w:rsidRPr="003979B1">
        <w:rPr>
          <w:rFonts w:ascii="Times New Roman" w:eastAsia="微软雅黑" w:hAnsi="Times New Roman" w:cs="Times New Roman" w:hint="eastAsia"/>
          <w:sz w:val="24"/>
        </w:rPr>
        <w:t xml:space="preserve">3 thrombocytopenia with bleeding tendency or need for platelet transfusion, grade </w:t>
      </w:r>
      <w:r w:rsidRPr="003979B1">
        <w:rPr>
          <w:rFonts w:ascii="Times New Roman" w:eastAsia="微软雅黑" w:hAnsi="Times New Roman" w:cs="Times New Roman" w:hint="eastAsia"/>
          <w:sz w:val="24"/>
        </w:rPr>
        <w:t>≥</w:t>
      </w:r>
      <w:r w:rsidRPr="003979B1">
        <w:rPr>
          <w:rFonts w:ascii="Times New Roman" w:eastAsia="微软雅黑" w:hAnsi="Times New Roman" w:cs="Times New Roman" w:hint="eastAsia"/>
          <w:sz w:val="24"/>
        </w:rPr>
        <w:t xml:space="preserve">3 febrile neutropenia; 2) non-hematological toxicities including grade </w:t>
      </w:r>
      <w:r w:rsidRPr="003979B1">
        <w:rPr>
          <w:rFonts w:ascii="Times New Roman" w:eastAsia="微软雅黑" w:hAnsi="Times New Roman" w:cs="Times New Roman" w:hint="eastAsia"/>
          <w:sz w:val="24"/>
        </w:rPr>
        <w:t>≥</w:t>
      </w:r>
      <w:r w:rsidRPr="003979B1">
        <w:rPr>
          <w:rFonts w:ascii="Times New Roman" w:eastAsia="微软雅黑" w:hAnsi="Times New Roman" w:cs="Times New Roman" w:hint="eastAsia"/>
          <w:sz w:val="24"/>
        </w:rPr>
        <w:t>3 immune-related adverse event (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irAE</w:t>
      </w:r>
      <w:proofErr w:type="spellEnd"/>
      <w:r w:rsidRPr="003979B1">
        <w:rPr>
          <w:rFonts w:ascii="Times New Roman" w:eastAsia="微软雅黑" w:hAnsi="Times New Roman" w:cs="Times New Roman" w:hint="eastAsia"/>
          <w:sz w:val="24"/>
        </w:rPr>
        <w:t xml:space="preserve">) (excluding asymptomatic grade 3 thyroid or adrenal or pituitary insufficiency and grade 3 inflammatory response at tumor site), any grade </w:t>
      </w:r>
      <w:r w:rsidRPr="003979B1">
        <w:rPr>
          <w:rFonts w:ascii="Times New Roman" w:eastAsia="微软雅黑" w:hAnsi="Times New Roman" w:cs="Times New Roman" w:hint="eastAsia"/>
          <w:sz w:val="24"/>
        </w:rPr>
        <w:t>≥</w:t>
      </w:r>
      <w:r w:rsidRPr="003979B1">
        <w:rPr>
          <w:rFonts w:ascii="Times New Roman" w:eastAsia="微软雅黑" w:hAnsi="Times New Roman" w:cs="Times New Roman" w:hint="eastAsia"/>
          <w:sz w:val="24"/>
        </w:rPr>
        <w:t xml:space="preserve">3 abnormal </w:t>
      </w:r>
      <w:r w:rsidRPr="003979B1">
        <w:rPr>
          <w:rFonts w:ascii="Times New Roman" w:eastAsia="微软雅黑" w:hAnsi="Times New Roman" w:cs="Times New Roman"/>
          <w:sz w:val="24"/>
        </w:rPr>
        <w:t>non-hematological laboratory test if need treatment or persist more than one week; 3) any grade 5 AE; 4) other AE of any grade leading to study discontinuation as determined by investigator and sponsor.</w:t>
      </w:r>
    </w:p>
    <w:p w14:paraId="4C2BC818" w14:textId="46A8250C" w:rsidR="007F5CCC" w:rsidRDefault="007F5CCC" w:rsidP="00BC2870">
      <w:pPr>
        <w:spacing w:line="360" w:lineRule="auto"/>
        <w:rPr>
          <w:rFonts w:ascii="Times New Roman" w:eastAsia="微软雅黑" w:hAnsi="Times New Roman" w:cs="Times New Roman"/>
          <w:sz w:val="24"/>
        </w:rPr>
      </w:pPr>
    </w:p>
    <w:p w14:paraId="3BA21F84" w14:textId="6047693D" w:rsidR="007F5CCC" w:rsidRPr="007F5CCC" w:rsidRDefault="007F5CCC" w:rsidP="00BC2870">
      <w:pPr>
        <w:spacing w:line="360" w:lineRule="auto"/>
        <w:rPr>
          <w:rFonts w:ascii="Times New Roman" w:eastAsia="微软雅黑" w:hAnsi="Times New Roman" w:cs="Times New Roman"/>
          <w:b/>
          <w:sz w:val="24"/>
          <w:u w:val="single"/>
        </w:rPr>
      </w:pPr>
      <w:r w:rsidRPr="007F5CCC">
        <w:rPr>
          <w:rFonts w:ascii="Times New Roman" w:eastAsia="微软雅黑" w:hAnsi="Times New Roman" w:cs="Times New Roman"/>
          <w:b/>
          <w:sz w:val="24"/>
          <w:u w:val="single"/>
        </w:rPr>
        <w:t>Patients</w:t>
      </w:r>
    </w:p>
    <w:p w14:paraId="63C48F97" w14:textId="2E9D2DB7" w:rsidR="007F5CCC" w:rsidRPr="00BC2870" w:rsidRDefault="007F5CCC" w:rsidP="00BC2870">
      <w:pPr>
        <w:spacing w:line="360" w:lineRule="auto"/>
        <w:rPr>
          <w:rFonts w:ascii="Times New Roman" w:eastAsia="微软雅黑" w:hAnsi="Times New Roman" w:cs="Times New Roman" w:hint="eastAsia"/>
          <w:sz w:val="24"/>
        </w:rPr>
      </w:pPr>
      <w:r w:rsidRPr="003979B1">
        <w:rPr>
          <w:rFonts w:ascii="Times New Roman" w:eastAsia="微软雅黑" w:hAnsi="Times New Roman" w:cs="Times New Roman"/>
          <w:sz w:val="24"/>
        </w:rPr>
        <w:t>The main inclusion criteria included: 1) age between 18 and 75 years with signed informed consent; 2) expected survival time</w:t>
      </w:r>
      <w:r w:rsidRPr="003979B1">
        <w:rPr>
          <w:rFonts w:ascii="Times New Roman" w:eastAsia="微软雅黑" w:hAnsi="Times New Roman" w:cs="Times New Roman" w:hint="eastAsia"/>
          <w:sz w:val="24"/>
        </w:rPr>
        <w:t>≥</w:t>
      </w:r>
      <w:r w:rsidRPr="003979B1">
        <w:rPr>
          <w:rFonts w:ascii="Times New Roman" w:eastAsia="微软雅黑" w:hAnsi="Times New Roman" w:cs="Times New Roman"/>
          <w:sz w:val="24"/>
        </w:rPr>
        <w:t xml:space="preserve">12weeks; 3) at least one tumor lesion according to response evaluation criteria in solid tumors (RECIST) v1.1; 4) Eastern Cooperative Oncology Group Performance Status (ECOG PS) of 0 or 1. Patients were excluded in phase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Ib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if they were previous treated with T cell immune checkpoint inhibitors such as anti-PD-1/PD-L1 antibodies. The phase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Ib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expansion was performed in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sqNSCLC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and </w:t>
      </w:r>
      <w:r w:rsidRPr="003979B1">
        <w:rPr>
          <w:rFonts w:ascii="Times New Roman" w:eastAsia="微软雅黑" w:hAnsi="Times New Roman" w:cs="Times New Roman"/>
          <w:sz w:val="24"/>
          <w:szCs w:val="24"/>
        </w:rPr>
        <w:t>HER-2 negative</w:t>
      </w:r>
      <w:r w:rsidRPr="003979B1">
        <w:rPr>
          <w:rFonts w:ascii="Times New Roman" w:eastAsia="微软雅黑" w:hAnsi="Times New Roman" w:cs="Times New Roman"/>
          <w:sz w:val="24"/>
        </w:rPr>
        <w:t xml:space="preserve"> GC cohorts. The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sqNSCLC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cohort enrolled patients </w:t>
      </w:r>
      <w:r w:rsidRPr="003979B1">
        <w:rPr>
          <w:rFonts w:ascii="Times New Roman" w:eastAsia="微软雅黑" w:hAnsi="Times New Roman" w:cs="Times New Roman"/>
          <w:sz w:val="24"/>
          <w:szCs w:val="24"/>
        </w:rPr>
        <w:t xml:space="preserve">with 1) </w:t>
      </w:r>
      <w:r w:rsidRPr="003979B1">
        <w:rPr>
          <w:rFonts w:ascii="Times New Roman" w:eastAsia="微软雅黑" w:hAnsi="Times New Roman" w:cs="Times New Roman"/>
          <w:sz w:val="24"/>
        </w:rPr>
        <w:t>pathologically/cytologically confirmed unresectable, recurrent or metastatic</w:t>
      </w:r>
      <w:r w:rsidRPr="003979B1">
        <w:rPr>
          <w:rFonts w:ascii="Times New Roman" w:eastAsia="微软雅黑" w:hAnsi="Times New Roman" w:cs="Times New Roman"/>
          <w:sz w:val="24"/>
          <w:szCs w:val="24"/>
        </w:rPr>
        <w:t xml:space="preserve"> </w:t>
      </w:r>
      <w:proofErr w:type="spellStart"/>
      <w:r w:rsidRPr="003979B1">
        <w:rPr>
          <w:rFonts w:ascii="Times New Roman" w:eastAsia="微软雅黑" w:hAnsi="Times New Roman" w:cs="Times New Roman"/>
          <w:sz w:val="24"/>
          <w:szCs w:val="24"/>
        </w:rPr>
        <w:t>sqNSCLC</w:t>
      </w:r>
      <w:proofErr w:type="spellEnd"/>
      <w:r w:rsidRPr="003979B1">
        <w:rPr>
          <w:rFonts w:ascii="Times New Roman" w:eastAsia="微软雅黑" w:hAnsi="Times New Roman" w:cs="Times New Roman"/>
          <w:sz w:val="24"/>
          <w:szCs w:val="24"/>
        </w:rPr>
        <w:t>; 2)</w:t>
      </w:r>
      <w:r w:rsidRPr="003979B1">
        <w:rPr>
          <w:rFonts w:ascii="Times New Roman" w:eastAsia="微软雅黑" w:hAnsi="Times New Roman" w:cs="Times New Roman"/>
          <w:sz w:val="24"/>
        </w:rPr>
        <w:t xml:space="preserve"> no history of systemic treatment for recurrent or metastatic disease; 3) </w:t>
      </w:r>
      <w:r w:rsidRPr="003979B1">
        <w:rPr>
          <w:rFonts w:ascii="Times New Roman" w:eastAsia="微软雅黑" w:hAnsi="Times New Roman" w:cs="Times New Roman"/>
          <w:sz w:val="24"/>
        </w:rPr>
        <w:lastRenderedPageBreak/>
        <w:t>more than 6 months since the end of previous neoadjuvant or adjuvant chemotherapy/radiotherapy to recurrence</w:t>
      </w:r>
      <w:r w:rsidRPr="003979B1">
        <w:rPr>
          <w:rFonts w:ascii="Times New Roman" w:eastAsia="微软雅黑" w:hAnsi="Times New Roman" w:cs="Times New Roman"/>
          <w:sz w:val="24"/>
          <w:szCs w:val="24"/>
        </w:rPr>
        <w:t>. The GC cohort</w:t>
      </w:r>
      <w:r w:rsidRPr="003979B1">
        <w:rPr>
          <w:rFonts w:ascii="Times New Roman" w:eastAsia="微软雅黑" w:hAnsi="Times New Roman" w:cs="Times New Roman"/>
          <w:sz w:val="24"/>
        </w:rPr>
        <w:t xml:space="preserve"> enrolled patients with 1) pathologically/cytologically confirmed unresectable, locally advanced, recurrent or metastatic GC; 2) no history of systemic treatment for recurrent or metastatic disease; 3) more than 6 months since the end of previous neoadjuvant or adjuvant chemotherapy/radiotherapy to recurrence; 4) tumor tissue test for HER-2 was negative. Other exclusion criteria of phase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Ia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and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Ib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mainly included: 1) previous exposure to any anti-LAG-3 antibody drugs; 2) last anti-tumor treatment within 4 weeks before the first dose of research drug.</w:t>
      </w:r>
    </w:p>
    <w:p w14:paraId="1A5A0D59" w14:textId="110954E1" w:rsidR="00A64CF1" w:rsidRPr="00A64CF1" w:rsidRDefault="00A64CF1" w:rsidP="00A64CF1">
      <w:pPr>
        <w:pStyle w:val="2"/>
        <w:rPr>
          <w:rFonts w:ascii="Times New Roman" w:hAnsi="Times New Roman" w:cs="Times New Roman"/>
          <w:sz w:val="28"/>
        </w:rPr>
      </w:pPr>
      <w:r w:rsidRPr="003979B1">
        <w:rPr>
          <w:rFonts w:ascii="Times New Roman" w:hAnsi="Times New Roman" w:cs="Times New Roman"/>
          <w:sz w:val="28"/>
        </w:rPr>
        <w:t>Preclinical study</w:t>
      </w:r>
    </w:p>
    <w:p w14:paraId="0E86C909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b/>
          <w:sz w:val="24"/>
          <w:u w:val="single"/>
        </w:rPr>
      </w:pPr>
      <w:r w:rsidRPr="003979B1">
        <w:rPr>
          <w:rFonts w:ascii="Times New Roman" w:eastAsia="微软雅黑" w:hAnsi="Times New Roman" w:cs="Times New Roman"/>
          <w:b/>
          <w:sz w:val="24"/>
          <w:u w:val="single"/>
        </w:rPr>
        <w:t>Affinity measurement of IBI110 with LAG-3</w:t>
      </w:r>
    </w:p>
    <w:p w14:paraId="63DB1890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  <w:r w:rsidRPr="003979B1">
        <w:rPr>
          <w:rFonts w:ascii="Times New Roman" w:eastAsia="微软雅黑" w:hAnsi="Times New Roman" w:cs="Times New Roman"/>
          <w:sz w:val="24"/>
        </w:rPr>
        <w:t xml:space="preserve">The binding affinity and kinetics were measured by </w:t>
      </w:r>
      <w:bookmarkStart w:id="2" w:name="_Hlk176877741"/>
      <w:r w:rsidRPr="003979B1">
        <w:rPr>
          <w:rFonts w:ascii="Times New Roman" w:eastAsia="微软雅黑" w:hAnsi="Times New Roman" w:cs="Times New Roman"/>
          <w:sz w:val="24"/>
        </w:rPr>
        <w:t>biolayer interferometry</w:t>
      </w:r>
      <w:bookmarkEnd w:id="2"/>
      <w:r w:rsidRPr="003979B1">
        <w:rPr>
          <w:rFonts w:ascii="Times New Roman" w:eastAsia="微软雅黑" w:hAnsi="Times New Roman" w:cs="Times New Roman"/>
          <w:sz w:val="24"/>
        </w:rPr>
        <w:t xml:space="preserve"> (BLI) using a </w:t>
      </w:r>
      <w:bookmarkStart w:id="3" w:name="OLE_LINK14"/>
      <w:proofErr w:type="spellStart"/>
      <w:r w:rsidRPr="003979B1">
        <w:rPr>
          <w:rFonts w:ascii="Times New Roman" w:eastAsia="微软雅黑" w:hAnsi="Times New Roman" w:cs="Times New Roman"/>
          <w:sz w:val="24"/>
        </w:rPr>
        <w:t>Fortebio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Octet RED96</w:t>
      </w:r>
      <w:bookmarkEnd w:id="3"/>
      <w:r w:rsidRPr="003979B1">
        <w:rPr>
          <w:rFonts w:ascii="Times New Roman" w:eastAsia="微软雅黑" w:hAnsi="Times New Roman" w:cs="Times New Roman"/>
          <w:sz w:val="24"/>
        </w:rPr>
        <w:t xml:space="preserve">. Antibody IBI110 was loaded via AHC biosensors (18-5060,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Satorius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), and then LAG-3 proteins were associated for 300 sec and dissociated for 600 sec respectively. Data were analyzed using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Fortebio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data analysis software (Version 7.0) with a 1:1 binding model (Global fit).</w:t>
      </w:r>
    </w:p>
    <w:p w14:paraId="674A324A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</w:p>
    <w:p w14:paraId="247822E4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b/>
          <w:sz w:val="24"/>
          <w:u w:val="single"/>
        </w:rPr>
      </w:pPr>
      <w:r w:rsidRPr="003979B1">
        <w:rPr>
          <w:rFonts w:ascii="Times New Roman" w:eastAsia="微软雅黑" w:hAnsi="Times New Roman" w:cs="Times New Roman"/>
          <w:b/>
          <w:sz w:val="24"/>
          <w:u w:val="single"/>
        </w:rPr>
        <w:t>Binding activity of IBI110 to HEK293-hLAG-3 or human CD4+ T cells or cynomolgus monkey PBMC</w:t>
      </w:r>
    </w:p>
    <w:p w14:paraId="2FDF4EC9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  <w:r w:rsidRPr="003979B1">
        <w:rPr>
          <w:rFonts w:ascii="Times New Roman" w:eastAsia="微软雅黑" w:hAnsi="Times New Roman" w:cs="Times New Roman"/>
          <w:sz w:val="24"/>
        </w:rPr>
        <w:t xml:space="preserve">HEK293-hLAG-3 or activated human CD4+ T cells or activated cynomolgus monkey peripheral blood mononuclear cell (PBMC) were incubated together with serially diluted antibodies at 4 °C for 30 min. The cells washed 3 times with PBS. Then, 1:100 diluted Goat anti-human IgG-PE was added at 50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μl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>/well, and the mixture was incubated at 4 °C for 30 min away from light. After washed 3 times with PBS, the cells were resuspended and detected by flow cytometer.</w:t>
      </w:r>
    </w:p>
    <w:p w14:paraId="24DE3336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</w:p>
    <w:p w14:paraId="7B5F6F50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b/>
          <w:sz w:val="24"/>
          <w:u w:val="single"/>
        </w:rPr>
      </w:pPr>
      <w:r w:rsidRPr="003979B1">
        <w:rPr>
          <w:rFonts w:ascii="Times New Roman" w:eastAsia="微软雅黑" w:hAnsi="Times New Roman" w:cs="Times New Roman"/>
          <w:b/>
          <w:sz w:val="24"/>
          <w:u w:val="single"/>
        </w:rPr>
        <w:t>Protein based blocking assay</w:t>
      </w:r>
    </w:p>
    <w:p w14:paraId="173E41F5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  <w:r w:rsidRPr="003979B1">
        <w:rPr>
          <w:rFonts w:ascii="Times New Roman" w:eastAsia="微软雅黑" w:hAnsi="Times New Roman" w:cs="Times New Roman"/>
          <w:sz w:val="24"/>
        </w:rPr>
        <w:t xml:space="preserve">Human Tag1-LAG3 protein (50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) was added to 96-well plate at 4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μl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/well and mixed </w:t>
      </w:r>
      <w:r w:rsidRPr="003979B1">
        <w:rPr>
          <w:rFonts w:ascii="Times New Roman" w:eastAsia="微软雅黑" w:hAnsi="Times New Roman" w:cs="Times New Roman"/>
          <w:sz w:val="24"/>
        </w:rPr>
        <w:lastRenderedPageBreak/>
        <w:t xml:space="preserve">with titrated antibodies at 2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μl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/well. 4 µL of Tag2-MHC II protein (100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) was then added. The mixture was incubated for 15 min at room temperature before the addition of anti-Tag1-Tb3+ antibody and anti-Tag2-XL665 antibody mixture (10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μl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>/well). The mixture was incubated at room temperature overnight. The fluorescence signal intensity was determined with microplate reader.</w:t>
      </w:r>
    </w:p>
    <w:p w14:paraId="4A750B13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</w:p>
    <w:p w14:paraId="0736C527" w14:textId="77ABDB16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b/>
          <w:sz w:val="24"/>
          <w:u w:val="single"/>
        </w:rPr>
      </w:pPr>
      <w:r w:rsidRPr="003979B1">
        <w:rPr>
          <w:rFonts w:ascii="Times New Roman" w:eastAsia="微软雅黑" w:hAnsi="Times New Roman" w:cs="Times New Roman"/>
          <w:b/>
          <w:sz w:val="24"/>
          <w:u w:val="single"/>
        </w:rPr>
        <w:t>Cell</w:t>
      </w:r>
      <w:r w:rsidR="006F4745">
        <w:rPr>
          <w:rFonts w:ascii="Times New Roman" w:eastAsia="微软雅黑" w:hAnsi="Times New Roman" w:cs="Times New Roman"/>
          <w:b/>
          <w:sz w:val="24"/>
          <w:u w:val="single"/>
        </w:rPr>
        <w:t>-</w:t>
      </w:r>
      <w:r w:rsidRPr="003979B1">
        <w:rPr>
          <w:rFonts w:ascii="Times New Roman" w:eastAsia="微软雅黑" w:hAnsi="Times New Roman" w:cs="Times New Roman"/>
          <w:b/>
          <w:sz w:val="24"/>
          <w:u w:val="single"/>
        </w:rPr>
        <w:t>based blocking assay</w:t>
      </w:r>
    </w:p>
    <w:p w14:paraId="5B361633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  <w:r w:rsidRPr="003979B1">
        <w:rPr>
          <w:rFonts w:ascii="Times New Roman" w:eastAsia="微软雅黑" w:hAnsi="Times New Roman" w:cs="Times New Roman"/>
          <w:sz w:val="24"/>
        </w:rPr>
        <w:t>The MHC II/LAG-3 blocking activity of IBI110 was detected by flow cytometry. Firstly, CHO-DR cells were prepared. Serially diluted antibodies were incubated together with human LAG-3 protein with mouse IgG2a Fc Tag protein. The mixture incubated with the CHO-DR cells and then added with secondary antibodies. Finally, a flow cytometry was used to detect the cell fluorescence signal intensity and to reflect the MHC II/LAG-3 blocking activity.</w:t>
      </w:r>
    </w:p>
    <w:p w14:paraId="44FE82BC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</w:p>
    <w:p w14:paraId="72EA48D3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b/>
          <w:sz w:val="24"/>
          <w:u w:val="single"/>
        </w:rPr>
      </w:pPr>
      <w:r w:rsidRPr="003979B1">
        <w:rPr>
          <w:rFonts w:ascii="Times New Roman" w:eastAsia="微软雅黑" w:hAnsi="Times New Roman" w:cs="Times New Roman"/>
          <w:b/>
          <w:sz w:val="24"/>
          <w:u w:val="single"/>
        </w:rPr>
        <w:t>LAG-3 blockade reporter assay</w:t>
      </w:r>
    </w:p>
    <w:p w14:paraId="20F8C163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  <w:r w:rsidRPr="003979B1">
        <w:rPr>
          <w:rFonts w:ascii="Times New Roman" w:eastAsia="微软雅黑" w:hAnsi="Times New Roman" w:cs="Times New Roman"/>
          <w:sz w:val="24"/>
        </w:rPr>
        <w:t>Resuspending MHCII/APC cells at 4×105 cells/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mL.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The HA polypeptide was diluted at 10 µg/mL in 90% DMEM + 10% FBS medium. The MHCII/APC cell suspension was mixed with HA polypeptide at a ratio of 1:1. The mixture was then added into a 96-well white microplate, 100 µL/well. The cells were incubated in an incubator at 37 °C, 5% CO2 overnight. On the day of assay, resuspending LAG-3 effector cells at 2.0×106 cells/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mL.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95 µl medium was removed from the 96-well. 40 µL of serially diluted antibodies and 40 µL of LAG-3 Effector cells were added quickly into the 96-well. It was then incubated in a 37 °C, 5% CO2 incubator for 6 h. After 6 h, Bio-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Gio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>™ Reagent was added into 96-well white microplate at 80μl/well. The resulting mixture was placed at room temperature for 5–10 min, and read by the Multi-Mode Microplate Reader.</w:t>
      </w:r>
    </w:p>
    <w:p w14:paraId="021FBAD3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</w:p>
    <w:p w14:paraId="164EEB8D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b/>
          <w:sz w:val="24"/>
          <w:u w:val="single"/>
        </w:rPr>
      </w:pPr>
      <w:r w:rsidRPr="003979B1">
        <w:rPr>
          <w:rFonts w:ascii="Times New Roman" w:eastAsia="微软雅黑" w:hAnsi="Times New Roman" w:cs="Times New Roman"/>
          <w:b/>
          <w:sz w:val="24"/>
          <w:u w:val="single"/>
        </w:rPr>
        <w:t>Receptor Occupancy in the Human CD4+ T Cells</w:t>
      </w:r>
    </w:p>
    <w:p w14:paraId="6CAF2ADB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  <w:r w:rsidRPr="003979B1">
        <w:rPr>
          <w:rFonts w:ascii="Times New Roman" w:eastAsia="微软雅黑" w:hAnsi="Times New Roman" w:cs="Times New Roman"/>
          <w:sz w:val="24"/>
        </w:rPr>
        <w:t xml:space="preserve">The receptor occupancy in the human CD4+ T cells was detected by flow cytometer. Firstly, human CD4+ T cells had been activated were prepared, added serially diluted </w:t>
      </w:r>
      <w:r w:rsidRPr="003979B1">
        <w:rPr>
          <w:rFonts w:ascii="Times New Roman" w:eastAsia="微软雅黑" w:hAnsi="Times New Roman" w:cs="Times New Roman"/>
          <w:sz w:val="24"/>
        </w:rPr>
        <w:lastRenderedPageBreak/>
        <w:t xml:space="preserve">antibodies for incubation. Then the mixture was added with the corresponding antibodies that had been labeled with AF488 fluorescence for incubation. </w:t>
      </w:r>
      <w:proofErr w:type="gramStart"/>
      <w:r w:rsidRPr="003979B1">
        <w:rPr>
          <w:rFonts w:ascii="Times New Roman" w:eastAsia="微软雅黑" w:hAnsi="Times New Roman" w:cs="Times New Roman"/>
          <w:sz w:val="24"/>
        </w:rPr>
        <w:t>Finally</w:t>
      </w:r>
      <w:proofErr w:type="gramEnd"/>
      <w:r w:rsidRPr="003979B1">
        <w:rPr>
          <w:rFonts w:ascii="Times New Roman" w:eastAsia="微软雅黑" w:hAnsi="Times New Roman" w:cs="Times New Roman"/>
          <w:sz w:val="24"/>
        </w:rPr>
        <w:t xml:space="preserve"> the cells were detected by flow cytometry for fluorescence signal intensity.</w:t>
      </w:r>
    </w:p>
    <w:p w14:paraId="170C11F7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</w:p>
    <w:p w14:paraId="4519F4B1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b/>
          <w:sz w:val="24"/>
          <w:u w:val="single"/>
        </w:rPr>
      </w:pPr>
      <w:r w:rsidRPr="003979B1">
        <w:rPr>
          <w:rFonts w:ascii="Times New Roman" w:eastAsia="微软雅黑" w:hAnsi="Times New Roman" w:cs="Times New Roman"/>
          <w:b/>
          <w:sz w:val="24"/>
          <w:u w:val="single"/>
        </w:rPr>
        <w:t>Mixed leukocyte reaction</w:t>
      </w:r>
    </w:p>
    <w:p w14:paraId="0FCCFA7A" w14:textId="77777777" w:rsidR="00A64CF1" w:rsidRPr="003979B1" w:rsidRDefault="00A64CF1" w:rsidP="00A64CF1">
      <w:pPr>
        <w:spacing w:line="360" w:lineRule="auto"/>
        <w:rPr>
          <w:rFonts w:ascii="Times New Roman" w:eastAsia="微软雅黑" w:hAnsi="Times New Roman" w:cs="Times New Roman"/>
          <w:sz w:val="24"/>
        </w:rPr>
      </w:pPr>
      <w:r w:rsidRPr="003979B1">
        <w:rPr>
          <w:rFonts w:ascii="Times New Roman" w:eastAsia="微软雅黑" w:hAnsi="Times New Roman" w:cs="Times New Roman"/>
          <w:sz w:val="24"/>
        </w:rPr>
        <w:t xml:space="preserve">In Mixed leukocyte reaction study, the expression level of IL-2 released by human activated CD4+ T cells was detected to evaluate the activation effect of IBI110 on human T cells. Firstly, human CD4+ T cells were isolated and activated with CD3/CD28 beads. Then, mature DCs were added with serially diluted antibodies for 3 days incubation. Finally, the IL-2 expression levels in the culture supernatant were detected by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Cisbio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Human IL-2 kit to evaluate the activation of human T cell.</w:t>
      </w:r>
    </w:p>
    <w:p w14:paraId="5F724FD3" w14:textId="52CBFE46" w:rsidR="00A64CF1" w:rsidRDefault="00A64CF1"/>
    <w:p w14:paraId="09E11E16" w14:textId="13ED44DD" w:rsidR="008E6E0B" w:rsidRPr="003979B1" w:rsidRDefault="00493C1C" w:rsidP="008E6E0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Supplementary </w:t>
      </w:r>
      <w:r w:rsidR="008E6E0B" w:rsidRPr="003979B1">
        <w:rPr>
          <w:rFonts w:ascii="Times New Roman" w:hAnsi="Times New Roman" w:cs="Times New Roman"/>
          <w:sz w:val="28"/>
          <w:szCs w:val="28"/>
        </w:rPr>
        <w:t>Results</w:t>
      </w:r>
    </w:p>
    <w:p w14:paraId="1C4BD895" w14:textId="31E55905" w:rsidR="008E6E0B" w:rsidRPr="003979B1" w:rsidRDefault="008E6E0B" w:rsidP="008E6E0B">
      <w:pPr>
        <w:pStyle w:val="2"/>
      </w:pPr>
      <w:r w:rsidRPr="003979B1">
        <w:rPr>
          <w:rFonts w:ascii="Times New Roman" w:hAnsi="Times New Roman" w:cs="Times New Roman"/>
          <w:sz w:val="28"/>
        </w:rPr>
        <w:t>Preclinical study</w:t>
      </w:r>
      <w:r w:rsidR="00493C1C">
        <w:rPr>
          <w:rFonts w:ascii="Times New Roman" w:hAnsi="Times New Roman" w:cs="Times New Roman"/>
          <w:sz w:val="28"/>
        </w:rPr>
        <w:t xml:space="preserve"> of IBI110</w:t>
      </w:r>
    </w:p>
    <w:p w14:paraId="76E6A8A8" w14:textId="2529026B" w:rsidR="008E6E0B" w:rsidRDefault="006556D1" w:rsidP="001949DC">
      <w:pPr>
        <w:spacing w:line="360" w:lineRule="auto"/>
        <w:rPr>
          <w:rFonts w:ascii="Times New Roman" w:eastAsia="微软雅黑" w:hAnsi="Times New Roman" w:cs="Times New Roman"/>
          <w:sz w:val="24"/>
        </w:rPr>
      </w:pPr>
      <w:r w:rsidRPr="003979B1">
        <w:rPr>
          <w:rFonts w:ascii="Times New Roman" w:eastAsia="微软雅黑" w:hAnsi="Times New Roman" w:cs="Times New Roman"/>
          <w:sz w:val="24"/>
        </w:rPr>
        <w:t xml:space="preserve">IBI110 had high affinity with human LAG-3 (0.13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) and cynomolgus monkey LAG-3 (0.16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), but weaker affinity with mouse LAG-3 (2.7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) </w:t>
      </w:r>
      <w:r w:rsidR="001949DC">
        <w:rPr>
          <w:rFonts w:ascii="Times New Roman" w:eastAsia="微软雅黑" w:hAnsi="Times New Roman" w:cs="Times New Roman"/>
          <w:sz w:val="24"/>
        </w:rPr>
        <w:t xml:space="preserve">measured </w:t>
      </w:r>
      <w:r w:rsidR="001949DC" w:rsidRPr="003979B1">
        <w:rPr>
          <w:rFonts w:ascii="Times New Roman" w:eastAsia="微软雅黑" w:hAnsi="Times New Roman" w:cs="Times New Roman"/>
          <w:sz w:val="24"/>
        </w:rPr>
        <w:t>by biolayer interferometry</w:t>
      </w:r>
      <w:r w:rsidRPr="003979B1">
        <w:rPr>
          <w:rFonts w:ascii="Times New Roman" w:eastAsia="微软雅黑" w:hAnsi="Times New Roman" w:cs="Times New Roman"/>
          <w:sz w:val="24"/>
        </w:rPr>
        <w:t xml:space="preserve">. In vitro, IBI110 showed an EC50 of 0.305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for binding to human LAG-3 on HEK293-hLAG-3 cells, 0.019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to activated human CD4+ T cells, and 0.022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to cynomolgus monkey peripheral blood mononuclear cell (PBMC). The IC50 of IBI110 to disrupt hLAG-3/MHCII binding was 0.259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at molecular level and approximately 4.622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at cellular level, respectively. IBI110 </w:t>
      </w:r>
      <w:bookmarkStart w:id="4" w:name="OLE_LINK15"/>
      <w:r w:rsidRPr="003979B1">
        <w:rPr>
          <w:rFonts w:ascii="Times New Roman" w:eastAsia="微软雅黑" w:hAnsi="Times New Roman" w:cs="Times New Roman"/>
          <w:sz w:val="24"/>
        </w:rPr>
        <w:t xml:space="preserve">disrupts </w:t>
      </w:r>
      <w:bookmarkEnd w:id="4"/>
      <w:r w:rsidRPr="003979B1">
        <w:rPr>
          <w:rFonts w:ascii="Times New Roman" w:eastAsia="微软雅黑" w:hAnsi="Times New Roman" w:cs="Times New Roman"/>
          <w:sz w:val="24"/>
        </w:rPr>
        <w:t xml:space="preserve">MHCII/LAG-3 binding and triggers downstream signaling with an EC50 of 0.903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nM.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It achieves 50% receptor occupancy of LAG-3 on activated human CD4+ T cells at 0.041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nM.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When used alone, IBI110 does not induce IL-2 secretion by human CD4+ T cells. When used in combination with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sintilimab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, enhanced IL-2 secretion in a dose-dependent manner was observed than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sintilimab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alone. In vivo, IBI110 alone did not show significant antitumor effects in the MC38-hPD-L1 mouse model. Combination of </w:t>
      </w:r>
      <w:r w:rsidRPr="003979B1">
        <w:rPr>
          <w:rFonts w:ascii="Times New Roman" w:eastAsia="微软雅黑" w:hAnsi="Times New Roman" w:cs="Times New Roman"/>
          <w:sz w:val="24"/>
        </w:rPr>
        <w:lastRenderedPageBreak/>
        <w:t>IBI110 (1 mg /kg) with the mouse anti-PD-1 antibody (11430, 1 mg/kg) resulted in a more favorable antitumor effect with tumor growth inhibition percentage of 98%. In addition, IBI110 showed an excellent safety profile in cynomolgus monkeys with the no observed adverse effect level (NOAEL) identified as 200mg/kg in 4-week repeat-dose toxicity study after weekly administration of IBI110 for a total of 5 doses.</w:t>
      </w:r>
    </w:p>
    <w:p w14:paraId="314E7BAB" w14:textId="2AEB1CD3" w:rsidR="00493C1C" w:rsidRDefault="00493C1C" w:rsidP="001949DC">
      <w:pPr>
        <w:spacing w:line="360" w:lineRule="auto"/>
        <w:rPr>
          <w:rFonts w:ascii="Times New Roman" w:eastAsia="微软雅黑" w:hAnsi="Times New Roman" w:cs="Times New Roman"/>
          <w:sz w:val="24"/>
        </w:rPr>
      </w:pPr>
    </w:p>
    <w:p w14:paraId="3AB051BC" w14:textId="64969B45" w:rsidR="00493C1C" w:rsidRPr="003979B1" w:rsidRDefault="00493C1C" w:rsidP="00493C1C">
      <w:pPr>
        <w:pStyle w:val="2"/>
        <w:rPr>
          <w:rFonts w:ascii="Times New Roman" w:hAnsi="Times New Roman" w:cs="Times New Roman"/>
          <w:sz w:val="28"/>
        </w:rPr>
      </w:pPr>
      <w:r w:rsidRPr="003979B1">
        <w:rPr>
          <w:rFonts w:ascii="Times New Roman" w:hAnsi="Times New Roman" w:cs="Times New Roman"/>
          <w:sz w:val="28"/>
        </w:rPr>
        <w:t>PD</w:t>
      </w:r>
      <w:r>
        <w:rPr>
          <w:rFonts w:ascii="Times New Roman" w:hAnsi="Times New Roman" w:cs="Times New Roman"/>
          <w:sz w:val="28"/>
        </w:rPr>
        <w:t xml:space="preserve"> analysis of IBI110</w:t>
      </w:r>
    </w:p>
    <w:p w14:paraId="47A331E7" w14:textId="3082D062" w:rsidR="00493C1C" w:rsidRDefault="00493C1C" w:rsidP="00493C1C">
      <w:pPr>
        <w:spacing w:line="360" w:lineRule="auto"/>
        <w:rPr>
          <w:rFonts w:ascii="Times New Roman" w:eastAsia="微软雅黑" w:hAnsi="Times New Roman" w:cs="Times New Roman"/>
          <w:sz w:val="24"/>
        </w:rPr>
      </w:pPr>
      <w:r w:rsidRPr="003979B1">
        <w:rPr>
          <w:rFonts w:ascii="Times New Roman" w:eastAsia="微软雅黑" w:hAnsi="Times New Roman" w:cs="Times New Roman"/>
          <w:sz w:val="24"/>
        </w:rPr>
        <w:t xml:space="preserve">Activation of immune cells such as T cells and dendritic cells are induced to express LAG-3 which could shed from the cell membrane and become soluble LAG3. In phase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Ia</w:t>
      </w:r>
      <w:proofErr w:type="spellEnd"/>
      <w:r w:rsidRPr="003979B1">
        <w:rPr>
          <w:rFonts w:ascii="Times New Roman" w:eastAsia="微软雅黑" w:hAnsi="Times New Roman" w:cs="Times New Roman" w:hint="eastAsia"/>
          <w:sz w:val="24"/>
        </w:rPr>
        <w:t xml:space="preserve">, concentrations of soluble LAG-3 were increased with escalating dose of IBI110 monotherapy from 0.01 to 20 mg/kg and reached the plateau when dose level </w:t>
      </w:r>
      <w:r w:rsidRPr="003979B1">
        <w:rPr>
          <w:rFonts w:ascii="Times New Roman" w:eastAsia="微软雅黑" w:hAnsi="Times New Roman" w:cs="Times New Roman" w:hint="eastAsia"/>
          <w:sz w:val="24"/>
        </w:rPr>
        <w:t>≥</w:t>
      </w:r>
      <w:r w:rsidRPr="003979B1">
        <w:rPr>
          <w:rFonts w:ascii="Times New Roman" w:eastAsia="微软雅黑" w:hAnsi="Times New Roman" w:cs="Times New Roman" w:hint="eastAsia"/>
          <w:sz w:val="24"/>
        </w:rPr>
        <w:t xml:space="preserve"> 10 </w:t>
      </w:r>
      <w:r w:rsidRPr="003979B1">
        <w:rPr>
          <w:rFonts w:ascii="Times New Roman" w:eastAsia="微软雅黑" w:hAnsi="Times New Roman" w:cs="Times New Roman"/>
          <w:sz w:val="24"/>
        </w:rPr>
        <w:t xml:space="preserve">mg/kg (Supplement Figure S1A). When IBI110 was administered with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sintilimab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in phase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Ib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>, increased concentrations of soluble LAG-3 were also observed but were less dependent of IBI110 dose levels. The peak concentration of soluble LAG-3 was reached at 10 mg/kg IBI110 (Supplement Figure S1D). These results indicated that IBI110 activated immune cells and 10 mg/kg (600 mg) might be the maximum effective dose. In addition, our study observed activation of CD4</w:t>
      </w:r>
      <w:r w:rsidRPr="003979B1">
        <w:rPr>
          <w:rFonts w:ascii="Times New Roman" w:eastAsia="微软雅黑" w:hAnsi="Times New Roman" w:cs="Times New Roman"/>
          <w:sz w:val="24"/>
          <w:vertAlign w:val="superscript"/>
        </w:rPr>
        <w:t>+</w:t>
      </w:r>
      <w:r w:rsidRPr="003979B1">
        <w:rPr>
          <w:rFonts w:ascii="Times New Roman" w:eastAsia="微软雅黑" w:hAnsi="Times New Roman" w:cs="Times New Roman"/>
          <w:sz w:val="24"/>
        </w:rPr>
        <w:t xml:space="preserve"> and CD8</w:t>
      </w:r>
      <w:r w:rsidRPr="003979B1">
        <w:rPr>
          <w:rFonts w:ascii="Times New Roman" w:eastAsia="微软雅黑" w:hAnsi="Times New Roman" w:cs="Times New Roman"/>
          <w:sz w:val="24"/>
          <w:vertAlign w:val="superscript"/>
        </w:rPr>
        <w:t>+</w:t>
      </w:r>
      <w:r w:rsidRPr="003979B1">
        <w:rPr>
          <w:rFonts w:ascii="Times New Roman" w:eastAsia="微软雅黑" w:hAnsi="Times New Roman" w:cs="Times New Roman"/>
          <w:sz w:val="24"/>
        </w:rPr>
        <w:t xml:space="preserve"> T cells during phase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Ib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combination escalation of IBI110 (3 to 10 mg/kg) plus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sintilimab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(Supplement Figure S1E and S1F). Meanwhile, no changes in activation of CD4</w:t>
      </w:r>
      <w:r w:rsidRPr="003979B1">
        <w:rPr>
          <w:rFonts w:ascii="Times New Roman" w:eastAsia="微软雅黑" w:hAnsi="Times New Roman" w:cs="Times New Roman"/>
          <w:sz w:val="24"/>
          <w:vertAlign w:val="superscript"/>
        </w:rPr>
        <w:t>+</w:t>
      </w:r>
      <w:r w:rsidRPr="003979B1">
        <w:rPr>
          <w:rFonts w:ascii="Times New Roman" w:eastAsia="微软雅黑" w:hAnsi="Times New Roman" w:cs="Times New Roman"/>
          <w:sz w:val="24"/>
        </w:rPr>
        <w:t xml:space="preserve"> and CD8</w:t>
      </w:r>
      <w:r w:rsidRPr="003979B1">
        <w:rPr>
          <w:rFonts w:ascii="Times New Roman" w:eastAsia="微软雅黑" w:hAnsi="Times New Roman" w:cs="Times New Roman"/>
          <w:sz w:val="24"/>
          <w:vertAlign w:val="superscript"/>
        </w:rPr>
        <w:t>+</w:t>
      </w:r>
      <w:r w:rsidRPr="003979B1">
        <w:rPr>
          <w:rFonts w:ascii="Times New Roman" w:eastAsia="微软雅黑" w:hAnsi="Times New Roman" w:cs="Times New Roman"/>
          <w:sz w:val="24"/>
        </w:rPr>
        <w:t xml:space="preserve"> T cells were observed during phase </w:t>
      </w:r>
      <w:proofErr w:type="spellStart"/>
      <w:r w:rsidRPr="003979B1">
        <w:rPr>
          <w:rFonts w:ascii="Times New Roman" w:eastAsia="微软雅黑" w:hAnsi="Times New Roman" w:cs="Times New Roman"/>
          <w:sz w:val="24"/>
        </w:rPr>
        <w:t>Ia</w:t>
      </w:r>
      <w:proofErr w:type="spellEnd"/>
      <w:r w:rsidRPr="003979B1">
        <w:rPr>
          <w:rFonts w:ascii="Times New Roman" w:eastAsia="微软雅黑" w:hAnsi="Times New Roman" w:cs="Times New Roman"/>
          <w:sz w:val="24"/>
        </w:rPr>
        <w:t xml:space="preserve"> escalation of IBI110 monotherapy (Supplement Figure S1B and S1C).</w:t>
      </w:r>
    </w:p>
    <w:p w14:paraId="2580FBB2" w14:textId="6044A910" w:rsidR="007954EB" w:rsidRDefault="007954EB" w:rsidP="00493C1C">
      <w:pPr>
        <w:spacing w:line="360" w:lineRule="auto"/>
        <w:rPr>
          <w:rFonts w:ascii="Times New Roman" w:eastAsia="微软雅黑" w:hAnsi="Times New Roman" w:cs="Times New Roman"/>
          <w:sz w:val="24"/>
        </w:rPr>
      </w:pPr>
    </w:p>
    <w:p w14:paraId="18BD8BFE" w14:textId="77777777" w:rsidR="00493C1C" w:rsidRPr="00493C1C" w:rsidRDefault="00493C1C" w:rsidP="001949DC">
      <w:pPr>
        <w:spacing w:line="360" w:lineRule="auto"/>
        <w:rPr>
          <w:rFonts w:ascii="Times New Roman" w:eastAsia="微软雅黑" w:hAnsi="Times New Roman" w:cs="Times New Roman"/>
          <w:sz w:val="24"/>
        </w:rPr>
      </w:pPr>
    </w:p>
    <w:sectPr w:rsidR="00493C1C" w:rsidRPr="00493C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9636B" w14:textId="77777777" w:rsidR="003C7CD7" w:rsidRDefault="003C7CD7" w:rsidP="00A64CF1">
      <w:r>
        <w:separator/>
      </w:r>
    </w:p>
  </w:endnote>
  <w:endnote w:type="continuationSeparator" w:id="0">
    <w:p w14:paraId="6DCEB5D7" w14:textId="77777777" w:rsidR="003C7CD7" w:rsidRDefault="003C7CD7" w:rsidP="00A6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?????????§???|????????ì??????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96DF5" w14:textId="77777777" w:rsidR="003C7CD7" w:rsidRDefault="003C7CD7" w:rsidP="00A64CF1">
      <w:r>
        <w:separator/>
      </w:r>
    </w:p>
  </w:footnote>
  <w:footnote w:type="continuationSeparator" w:id="0">
    <w:p w14:paraId="03DD83F6" w14:textId="77777777" w:rsidR="003C7CD7" w:rsidRDefault="003C7CD7" w:rsidP="00A64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09"/>
    <w:rsid w:val="001949DC"/>
    <w:rsid w:val="002F0D93"/>
    <w:rsid w:val="003C7CD7"/>
    <w:rsid w:val="0045395D"/>
    <w:rsid w:val="00493C1C"/>
    <w:rsid w:val="005D2595"/>
    <w:rsid w:val="006556D1"/>
    <w:rsid w:val="006F4745"/>
    <w:rsid w:val="007954EB"/>
    <w:rsid w:val="007F5CCC"/>
    <w:rsid w:val="008E6E0B"/>
    <w:rsid w:val="00A64CF1"/>
    <w:rsid w:val="00B97B09"/>
    <w:rsid w:val="00BC2870"/>
    <w:rsid w:val="00F36DB3"/>
    <w:rsid w:val="00FE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C031E"/>
  <w15:chartTrackingRefBased/>
  <w15:docId w15:val="{AA9BB37E-584C-484D-925B-219A70AE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6E0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64C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C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4C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4C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4CF1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A64CF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8E6E0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1297</Words>
  <Characters>7395</Characters>
  <Application>Microsoft Office Word</Application>
  <DocSecurity>0</DocSecurity>
  <Lines>61</Lines>
  <Paragraphs>17</Paragraphs>
  <ScaleCrop>false</ScaleCrop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周禹稀(Yuxi Zhou)</dc:creator>
  <cp:keywords/>
  <dc:description/>
  <cp:lastModifiedBy>周禹稀(Yuxi Zhou)</cp:lastModifiedBy>
  <cp:revision>7</cp:revision>
  <dcterms:created xsi:type="dcterms:W3CDTF">2024-09-10T07:19:00Z</dcterms:created>
  <dcterms:modified xsi:type="dcterms:W3CDTF">2024-09-12T09:41:00Z</dcterms:modified>
</cp:coreProperties>
</file>